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contextualSpacing/>
        <w:jc w:val="center"/>
        <w:rPr>
          <w:rFonts w:eastAsiaTheme="minorEastAsia"/>
          <w:sz w:val="44"/>
          <w:szCs w:val="44"/>
        </w:rPr>
      </w:pPr>
      <w:bookmarkStart w:id="0" w:name="_Toc20255"/>
      <w:bookmarkStart w:id="1" w:name="_Toc10294"/>
    </w:p>
    <w:p>
      <w:pPr>
        <w:pStyle w:val="2"/>
        <w:ind w:left="480" w:firstLine="480"/>
      </w:pPr>
    </w:p>
    <w:p>
      <w:pPr>
        <w:spacing w:line="360" w:lineRule="auto"/>
        <w:contextualSpacing/>
        <w:jc w:val="center"/>
        <w:rPr>
          <w:rFonts w:eastAsia="楷体"/>
          <w:b/>
          <w:bCs/>
          <w:spacing w:val="2"/>
          <w:w w:val="90"/>
          <w:sz w:val="48"/>
          <w:szCs w:val="48"/>
        </w:rPr>
      </w:pPr>
      <w:r>
        <w:rPr>
          <w:rFonts w:hint="eastAsia" w:eastAsia="楷体"/>
          <w:b/>
          <w:bCs/>
          <w:spacing w:val="2"/>
          <w:w w:val="90"/>
          <w:sz w:val="48"/>
          <w:szCs w:val="48"/>
        </w:rPr>
        <w:t>年产38万吨新能源汽车轻量化铝合金材料项目</w:t>
      </w:r>
    </w:p>
    <w:p>
      <w:pPr>
        <w:spacing w:line="360" w:lineRule="auto"/>
        <w:contextualSpacing/>
        <w:jc w:val="center"/>
        <w:rPr>
          <w:rFonts w:eastAsia="楷体"/>
          <w:b/>
          <w:bCs/>
          <w:spacing w:val="2"/>
          <w:w w:val="90"/>
          <w:sz w:val="48"/>
          <w:szCs w:val="48"/>
        </w:rPr>
      </w:pPr>
      <w:r>
        <w:rPr>
          <w:rFonts w:eastAsia="楷体"/>
          <w:b/>
          <w:bCs/>
          <w:spacing w:val="2"/>
          <w:w w:val="90"/>
          <w:sz w:val="48"/>
          <w:szCs w:val="48"/>
        </w:rPr>
        <w:t>环境影响报告书</w:t>
      </w:r>
    </w:p>
    <w:p>
      <w:pPr>
        <w:spacing w:line="360" w:lineRule="auto"/>
        <w:contextualSpacing/>
        <w:jc w:val="center"/>
        <w:rPr>
          <w:rFonts w:eastAsia="楷体"/>
          <w:b/>
          <w:bCs/>
          <w:spacing w:val="2"/>
          <w:sz w:val="36"/>
          <w:szCs w:val="36"/>
        </w:rPr>
      </w:pPr>
      <w:r>
        <w:rPr>
          <w:rFonts w:eastAsia="楷体"/>
          <w:b/>
          <w:bCs/>
          <w:spacing w:val="2"/>
          <w:sz w:val="36"/>
          <w:szCs w:val="36"/>
        </w:rPr>
        <w:t>（</w:t>
      </w:r>
      <w:r>
        <w:rPr>
          <w:rFonts w:hint="eastAsia" w:eastAsia="楷体"/>
          <w:b/>
          <w:bCs/>
          <w:spacing w:val="2"/>
          <w:sz w:val="36"/>
          <w:szCs w:val="36"/>
        </w:rPr>
        <w:t>送审</w:t>
      </w:r>
      <w:r>
        <w:rPr>
          <w:rFonts w:eastAsia="楷体"/>
          <w:b/>
          <w:bCs/>
          <w:spacing w:val="2"/>
          <w:sz w:val="36"/>
          <w:szCs w:val="36"/>
        </w:rPr>
        <w:t>稿）</w:t>
      </w: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360" w:lineRule="auto"/>
        <w:contextualSpacing/>
        <w:jc w:val="center"/>
        <w:rPr>
          <w:rFonts w:eastAsia="楷体"/>
          <w:b/>
          <w:bCs/>
          <w:sz w:val="32"/>
          <w:szCs w:val="32"/>
        </w:rPr>
      </w:pPr>
    </w:p>
    <w:p>
      <w:pPr>
        <w:spacing w:line="460" w:lineRule="exact"/>
        <w:ind w:firstLine="1807" w:firstLineChars="600"/>
        <w:contextualSpacing/>
        <w:rPr>
          <w:rFonts w:eastAsia="楷体"/>
          <w:b/>
          <w:bCs/>
          <w:sz w:val="30"/>
          <w:szCs w:val="30"/>
        </w:rPr>
      </w:pPr>
      <w:r>
        <w:rPr>
          <w:rFonts w:eastAsia="楷体"/>
          <w:b/>
          <w:bCs/>
          <w:sz w:val="30"/>
          <w:szCs w:val="30"/>
        </w:rPr>
        <w:t>委托单位：</w:t>
      </w:r>
      <w:r>
        <w:rPr>
          <w:rFonts w:hint="eastAsia" w:eastAsia="楷体"/>
          <w:b/>
          <w:bCs/>
          <w:sz w:val="30"/>
          <w:szCs w:val="30"/>
        </w:rPr>
        <w:t>云南创格新材料科技有限公司</w:t>
      </w:r>
    </w:p>
    <w:p>
      <w:pPr>
        <w:spacing w:line="460" w:lineRule="exact"/>
        <w:ind w:firstLine="1807" w:firstLineChars="600"/>
        <w:contextualSpacing/>
        <w:rPr>
          <w:rFonts w:eastAsia="楷体"/>
          <w:b/>
          <w:bCs/>
          <w:sz w:val="30"/>
          <w:szCs w:val="30"/>
        </w:rPr>
      </w:pPr>
      <w:r>
        <w:rPr>
          <w:rFonts w:eastAsia="楷体"/>
          <w:b/>
          <w:bCs/>
          <w:sz w:val="30"/>
          <w:szCs w:val="30"/>
        </w:rPr>
        <w:t>编制单位：云南湖柏环保科技有限公司</w:t>
      </w:r>
    </w:p>
    <w:p>
      <w:pPr>
        <w:spacing w:line="460" w:lineRule="exact"/>
        <w:ind w:firstLine="1807" w:firstLineChars="600"/>
        <w:contextualSpacing/>
        <w:rPr>
          <w:rFonts w:eastAsia="楷体"/>
          <w:b/>
          <w:bCs/>
          <w:spacing w:val="1"/>
          <w:sz w:val="30"/>
          <w:szCs w:val="30"/>
        </w:rPr>
      </w:pPr>
      <w:r>
        <w:rPr>
          <w:rFonts w:eastAsia="楷体"/>
          <w:b/>
          <w:bCs/>
          <w:sz w:val="30"/>
          <w:szCs w:val="30"/>
        </w:rPr>
        <w:t>编制时间：二0二</w:t>
      </w:r>
      <w:r>
        <w:rPr>
          <w:rFonts w:hint="eastAsia" w:eastAsia="楷体"/>
          <w:b/>
          <w:bCs/>
          <w:sz w:val="30"/>
          <w:szCs w:val="30"/>
        </w:rPr>
        <w:t>二</w:t>
      </w:r>
      <w:r>
        <w:rPr>
          <w:rFonts w:eastAsia="楷体"/>
          <w:b/>
          <w:bCs/>
          <w:spacing w:val="1"/>
          <w:sz w:val="30"/>
          <w:szCs w:val="30"/>
        </w:rPr>
        <w:t>年</w:t>
      </w:r>
      <w:r>
        <w:rPr>
          <w:rFonts w:hint="eastAsia" w:eastAsia="楷体"/>
          <w:b/>
          <w:bCs/>
          <w:spacing w:val="1"/>
          <w:sz w:val="30"/>
          <w:szCs w:val="30"/>
          <w:lang w:val="en-US" w:eastAsia="zh-CN"/>
        </w:rPr>
        <w:t>六</w:t>
      </w:r>
      <w:r>
        <w:rPr>
          <w:rFonts w:eastAsia="楷体"/>
          <w:b/>
          <w:bCs/>
          <w:spacing w:val="1"/>
          <w:sz w:val="30"/>
          <w:szCs w:val="30"/>
        </w:rPr>
        <w:t>月</w:t>
      </w:r>
    </w:p>
    <w:p>
      <w:pPr>
        <w:pStyle w:val="21"/>
        <w:rPr>
          <w:rFonts w:eastAsiaTheme="minorEastAsia"/>
        </w:rPr>
        <w:sectPr>
          <w:footerReference r:id="rId3" w:type="default"/>
          <w:pgSz w:w="11906" w:h="16838"/>
          <w:pgMar w:top="1440" w:right="1588" w:bottom="1440" w:left="1418" w:header="851" w:footer="992" w:gutter="0"/>
          <w:pgNumType w:fmt="upperRoman" w:start="1"/>
          <w:cols w:space="425" w:num="1"/>
          <w:docGrid w:linePitch="312" w:charSpace="0"/>
        </w:sectPr>
      </w:pPr>
    </w:p>
    <w:p>
      <w:pPr>
        <w:pStyle w:val="6"/>
      </w:pPr>
      <w:bookmarkStart w:id="2" w:name="_Toc21140"/>
      <w:r>
        <w:t>目</w:t>
      </w:r>
      <w:r>
        <w:rPr>
          <w:rFonts w:hint="eastAsia"/>
        </w:rPr>
        <w:t xml:space="preserve"> </w:t>
      </w:r>
      <w:r>
        <w:t>录</w:t>
      </w:r>
      <w:bookmarkEnd w:id="2"/>
    </w:p>
    <w:p>
      <w:pPr>
        <w:pStyle w:val="21"/>
        <w:tabs>
          <w:tab w:val="right" w:leader="dot" w:pos="8306"/>
        </w:tabs>
      </w:pPr>
      <w:r>
        <w:rPr>
          <w:rFonts w:hint="eastAsia"/>
        </w:rPr>
        <w:fldChar w:fldCharType="begin"/>
      </w:r>
      <w:r>
        <w:rPr>
          <w:rFonts w:hint="eastAsia"/>
        </w:rPr>
        <w:instrText xml:space="preserve">TOC \o "1-2" \h \u </w:instrText>
      </w:r>
      <w:r>
        <w:rPr>
          <w:rFonts w:hint="eastAsia"/>
        </w:rPr>
        <w:fldChar w:fldCharType="separate"/>
      </w:r>
      <w:r>
        <w:rPr>
          <w:rFonts w:hint="eastAsia"/>
        </w:rPr>
        <w:fldChar w:fldCharType="begin"/>
      </w:r>
      <w:r>
        <w:rPr>
          <w:rFonts w:hint="eastAsia"/>
        </w:rPr>
        <w:instrText xml:space="preserve"> HYPERLINK \l _Toc21140 </w:instrText>
      </w:r>
      <w:r>
        <w:rPr>
          <w:rFonts w:hint="eastAsia"/>
        </w:rPr>
        <w:fldChar w:fldCharType="separate"/>
      </w:r>
      <w:r>
        <w:t>目</w:t>
      </w:r>
      <w:r>
        <w:rPr>
          <w:rFonts w:hint="eastAsia"/>
        </w:rPr>
        <w:t xml:space="preserve"> </w:t>
      </w:r>
      <w:r>
        <w:t>录</w:t>
      </w:r>
      <w:r>
        <w:tab/>
      </w:r>
      <w:r>
        <w:fldChar w:fldCharType="begin"/>
      </w:r>
      <w:r>
        <w:instrText xml:space="preserve"> PAGEREF _Toc21140 \h </w:instrText>
      </w:r>
      <w:r>
        <w:fldChar w:fldCharType="separate"/>
      </w:r>
      <w:r>
        <w:t>I</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_Toc6146 </w:instrText>
      </w:r>
      <w:r>
        <w:rPr>
          <w:rFonts w:hint="eastAsia"/>
        </w:rPr>
        <w:fldChar w:fldCharType="separate"/>
      </w:r>
      <w:r>
        <w:rPr>
          <w:rFonts w:hint="eastAsia"/>
        </w:rPr>
        <w:t>1</w:t>
      </w:r>
      <w:r>
        <w:rPr>
          <w:rFonts w:hint="eastAsia"/>
          <w:lang w:val="en-US" w:eastAsia="zh-CN"/>
        </w:rPr>
        <w:t xml:space="preserve"> </w:t>
      </w:r>
      <w:r>
        <w:t>概述</w:t>
      </w:r>
      <w:r>
        <w:tab/>
      </w:r>
      <w:r>
        <w:fldChar w:fldCharType="begin"/>
      </w:r>
      <w:r>
        <w:instrText xml:space="preserve"> PAGEREF _Toc6146 \h </w:instrText>
      </w:r>
      <w:r>
        <w:fldChar w:fldCharType="separate"/>
      </w:r>
      <w:r>
        <w:t>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_Toc12713 </w:instrText>
      </w:r>
      <w:r>
        <w:rPr>
          <w:rFonts w:hint="eastAsia"/>
        </w:rPr>
        <w:fldChar w:fldCharType="separate"/>
      </w:r>
      <w:r>
        <w:rPr>
          <w:rFonts w:hint="eastAsia"/>
        </w:rPr>
        <w:t>1.1项目由来</w:t>
      </w:r>
      <w:r>
        <w:tab/>
      </w:r>
      <w:r>
        <w:fldChar w:fldCharType="begin"/>
      </w:r>
      <w:r>
        <w:instrText xml:space="preserve"> PAGEREF _Toc12713 \h </w:instrText>
      </w:r>
      <w:r>
        <w:fldChar w:fldCharType="separate"/>
      </w:r>
      <w:r>
        <w:t>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_Toc27026 </w:instrText>
      </w:r>
      <w:r>
        <w:rPr>
          <w:rFonts w:hint="eastAsia"/>
        </w:rPr>
        <w:fldChar w:fldCharType="separate"/>
      </w:r>
      <w:r>
        <w:rPr>
          <w:rFonts w:hint="eastAsia"/>
        </w:rPr>
        <w:t>1.2环境影响评价工作过程</w:t>
      </w:r>
      <w:r>
        <w:tab/>
      </w:r>
      <w:r>
        <w:fldChar w:fldCharType="begin"/>
      </w:r>
      <w:r>
        <w:instrText xml:space="preserve"> PAGEREF _Toc27026 \h </w:instrText>
      </w:r>
      <w:r>
        <w:fldChar w:fldCharType="separate"/>
      </w:r>
      <w:r>
        <w:t>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_Toc11055 </w:instrText>
      </w:r>
      <w:r>
        <w:rPr>
          <w:rFonts w:hint="eastAsia"/>
        </w:rPr>
        <w:fldChar w:fldCharType="separate"/>
      </w:r>
      <w:r>
        <w:rPr>
          <w:rFonts w:hint="eastAsia"/>
        </w:rPr>
        <w:t>1.3分析判定相关情况</w:t>
      </w:r>
      <w:r>
        <w:tab/>
      </w:r>
      <w:r>
        <w:fldChar w:fldCharType="begin"/>
      </w:r>
      <w:r>
        <w:instrText xml:space="preserve"> PAGEREF _Toc11055 \h </w:instrText>
      </w:r>
      <w:r>
        <w:fldChar w:fldCharType="separate"/>
      </w:r>
      <w:r>
        <w:t>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_Toc638 </w:instrText>
      </w:r>
      <w:r>
        <w:rPr>
          <w:rFonts w:hint="eastAsia"/>
        </w:rPr>
        <w:fldChar w:fldCharType="separate"/>
      </w:r>
      <w:r>
        <w:rPr>
          <w:rFonts w:hint="eastAsia"/>
        </w:rPr>
        <w:t>1.4环评关注的主要环境问题</w:t>
      </w:r>
      <w:r>
        <w:tab/>
      </w:r>
      <w:r>
        <w:fldChar w:fldCharType="begin"/>
      </w:r>
      <w:r>
        <w:instrText xml:space="preserve"> PAGEREF _Toc638 \h </w:instrText>
      </w:r>
      <w:r>
        <w:fldChar w:fldCharType="separate"/>
      </w:r>
      <w:r>
        <w:t>16</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_Toc24459 </w:instrText>
      </w:r>
      <w:r>
        <w:rPr>
          <w:rFonts w:hint="eastAsia"/>
        </w:rPr>
        <w:fldChar w:fldCharType="separate"/>
      </w:r>
      <w:r>
        <w:rPr>
          <w:rFonts w:hint="eastAsia"/>
        </w:rPr>
        <w:t>1.5环境影响评价的主要结论</w:t>
      </w:r>
      <w:r>
        <w:tab/>
      </w:r>
      <w:r>
        <w:fldChar w:fldCharType="begin"/>
      </w:r>
      <w:r>
        <w:instrText xml:space="preserve"> PAGEREF _Toc24459 \h </w:instrText>
      </w:r>
      <w:r>
        <w:fldChar w:fldCharType="separate"/>
      </w:r>
      <w:r>
        <w:t>16</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_Toc14629 </w:instrText>
      </w:r>
      <w:r>
        <w:rPr>
          <w:rFonts w:hint="eastAsia"/>
        </w:rPr>
        <w:fldChar w:fldCharType="separate"/>
      </w:r>
      <w:r>
        <w:rPr>
          <w:rFonts w:hint="eastAsia"/>
        </w:rPr>
        <w:t>2 总论</w:t>
      </w:r>
      <w:r>
        <w:tab/>
      </w:r>
      <w:r>
        <w:fldChar w:fldCharType="begin"/>
      </w:r>
      <w:r>
        <w:instrText xml:space="preserve"> PAGEREF _Toc14629 \h </w:instrText>
      </w:r>
      <w:r>
        <w:fldChar w:fldCharType="separate"/>
      </w:r>
      <w:r>
        <w:t>17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_Toc19720 </w:instrText>
      </w:r>
      <w:r>
        <w:rPr>
          <w:rFonts w:hint="eastAsia"/>
        </w:rPr>
        <w:fldChar w:fldCharType="separate"/>
      </w:r>
      <w:r>
        <w:rPr>
          <w:rFonts w:hint="eastAsia"/>
        </w:rPr>
        <w:t>2.1评价原则和目的</w:t>
      </w:r>
      <w:r>
        <w:tab/>
      </w:r>
      <w:r>
        <w:fldChar w:fldCharType="begin"/>
      </w:r>
      <w:r>
        <w:instrText xml:space="preserve"> PAGEREF _Toc19720 \h </w:instrText>
      </w:r>
      <w:r>
        <w:fldChar w:fldCharType="separate"/>
      </w:r>
      <w:r>
        <w:t>17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_Toc5757 </w:instrText>
      </w:r>
      <w:r>
        <w:rPr>
          <w:rFonts w:hint="eastAsia"/>
        </w:rPr>
        <w:fldChar w:fldCharType="separate"/>
      </w:r>
      <w:r>
        <w:rPr>
          <w:rFonts w:hint="eastAsia"/>
        </w:rPr>
        <w:t>2.2编制依据</w:t>
      </w:r>
      <w:r>
        <w:tab/>
      </w:r>
      <w:r>
        <w:fldChar w:fldCharType="begin"/>
      </w:r>
      <w:r>
        <w:instrText xml:space="preserve"> PAGEREF _Toc5757 \h </w:instrText>
      </w:r>
      <w:r>
        <w:fldChar w:fldCharType="separate"/>
      </w:r>
      <w:r>
        <w:t>18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_Toc13615 </w:instrText>
      </w:r>
      <w:r>
        <w:rPr>
          <w:rFonts w:hint="eastAsia"/>
        </w:rPr>
        <w:fldChar w:fldCharType="separate"/>
      </w:r>
      <w:r>
        <w:rPr>
          <w:rFonts w:hint="eastAsia"/>
        </w:rPr>
        <w:t>2.3评价因子与评价标准</w:t>
      </w:r>
      <w:r>
        <w:tab/>
      </w:r>
      <w:r>
        <w:fldChar w:fldCharType="begin"/>
      </w:r>
      <w:r>
        <w:instrText xml:space="preserve"> PAGEREF _Toc13615 \h </w:instrText>
      </w:r>
      <w:r>
        <w:fldChar w:fldCharType="separate"/>
      </w:r>
      <w:r>
        <w:t>20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_Toc2200 </w:instrText>
      </w:r>
      <w:r>
        <w:rPr>
          <w:rFonts w:hint="eastAsia"/>
        </w:rPr>
        <w:fldChar w:fldCharType="separate"/>
      </w:r>
      <w:r>
        <w:rPr>
          <w:rFonts w:hint="eastAsia"/>
        </w:rPr>
        <w:t>2.4评价工作等级和评价范围</w:t>
      </w:r>
      <w:r>
        <w:tab/>
      </w:r>
      <w:r>
        <w:fldChar w:fldCharType="begin"/>
      </w:r>
      <w:r>
        <w:instrText xml:space="preserve"> PAGEREF _Toc2200 \h </w:instrText>
      </w:r>
      <w:r>
        <w:fldChar w:fldCharType="separate"/>
      </w:r>
      <w:r>
        <w:t>30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_Toc24017 </w:instrText>
      </w:r>
      <w:r>
        <w:rPr>
          <w:rFonts w:hint="eastAsia"/>
        </w:rPr>
        <w:fldChar w:fldCharType="separate"/>
      </w:r>
      <w:r>
        <w:rPr>
          <w:rFonts w:hint="eastAsia"/>
        </w:rPr>
        <w:t>2.5环境保护目标</w:t>
      </w:r>
      <w:r>
        <w:tab/>
      </w:r>
      <w:r>
        <w:fldChar w:fldCharType="begin"/>
      </w:r>
      <w:r>
        <w:instrText xml:space="preserve"> PAGEREF _Toc24017 \h </w:instrText>
      </w:r>
      <w:r>
        <w:fldChar w:fldCharType="separate"/>
      </w:r>
      <w:r>
        <w:t>40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_Toc5626 </w:instrText>
      </w:r>
      <w:r>
        <w:rPr>
          <w:rFonts w:hint="eastAsia"/>
        </w:rPr>
        <w:fldChar w:fldCharType="separate"/>
      </w:r>
      <w:r>
        <w:rPr>
          <w:rFonts w:hint="eastAsia"/>
        </w:rPr>
        <w:t>2.6评价工作程序</w:t>
      </w:r>
      <w:r>
        <w:tab/>
      </w:r>
      <w:r>
        <w:fldChar w:fldCharType="begin"/>
      </w:r>
      <w:r>
        <w:instrText xml:space="preserve"> PAGEREF _Toc5626 \h </w:instrText>
      </w:r>
      <w:r>
        <w:fldChar w:fldCharType="separate"/>
      </w:r>
      <w:r>
        <w:t>41</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_Toc4978 </w:instrText>
      </w:r>
      <w:r>
        <w:rPr>
          <w:rFonts w:hint="eastAsia"/>
        </w:rPr>
        <w:fldChar w:fldCharType="separate"/>
      </w:r>
      <w:r>
        <w:rPr>
          <w:rFonts w:hint="eastAsia"/>
        </w:rPr>
        <w:t>3 项目概况</w:t>
      </w:r>
      <w:r>
        <w:tab/>
      </w:r>
      <w:r>
        <w:fldChar w:fldCharType="begin"/>
      </w:r>
      <w:r>
        <w:instrText xml:space="preserve"> PAGEREF _Toc4978 \h </w:instrText>
      </w:r>
      <w:r>
        <w:fldChar w:fldCharType="separate"/>
      </w:r>
      <w:r>
        <w:t>43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_Toc227 </w:instrText>
      </w:r>
      <w:r>
        <w:rPr>
          <w:rFonts w:hint="eastAsia"/>
        </w:rPr>
        <w:fldChar w:fldCharType="separate"/>
      </w:r>
      <w:r>
        <w:rPr>
          <w:rFonts w:hint="eastAsia"/>
        </w:rPr>
        <w:t>3.1项目基本情况</w:t>
      </w:r>
      <w:r>
        <w:tab/>
      </w:r>
      <w:r>
        <w:fldChar w:fldCharType="begin"/>
      </w:r>
      <w:r>
        <w:instrText xml:space="preserve"> PAGEREF _Toc227 \h </w:instrText>
      </w:r>
      <w:r>
        <w:fldChar w:fldCharType="separate"/>
      </w:r>
      <w:r>
        <w:t>43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_Toc16373 </w:instrText>
      </w:r>
      <w:r>
        <w:rPr>
          <w:rFonts w:hint="eastAsia"/>
        </w:rPr>
        <w:fldChar w:fldCharType="separate"/>
      </w:r>
      <w:r>
        <w:rPr>
          <w:rFonts w:hint="eastAsia"/>
        </w:rPr>
        <w:t>3.2项目建设规模及产品方案</w:t>
      </w:r>
      <w:r>
        <w:tab/>
      </w:r>
      <w:r>
        <w:fldChar w:fldCharType="begin"/>
      </w:r>
      <w:r>
        <w:instrText xml:space="preserve"> PAGEREF _Toc16373 \h </w:instrText>
      </w:r>
      <w:r>
        <w:fldChar w:fldCharType="separate"/>
      </w:r>
      <w:r>
        <w:t>43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_Toc452 </w:instrText>
      </w:r>
      <w:r>
        <w:rPr>
          <w:rFonts w:hint="eastAsia"/>
        </w:rPr>
        <w:fldChar w:fldCharType="separate"/>
      </w:r>
      <w:r>
        <w:rPr>
          <w:rFonts w:hint="eastAsia"/>
        </w:rPr>
        <w:t>3.3项目组成</w:t>
      </w:r>
      <w:r>
        <w:tab/>
      </w:r>
      <w:r>
        <w:fldChar w:fldCharType="begin"/>
      </w:r>
      <w:r>
        <w:instrText xml:space="preserve"> PAGEREF _Toc452 \h </w:instrText>
      </w:r>
      <w:r>
        <w:fldChar w:fldCharType="separate"/>
      </w:r>
      <w:r>
        <w:t>44</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_Toc16309 </w:instrText>
      </w:r>
      <w:r>
        <w:rPr>
          <w:rFonts w:hint="eastAsia"/>
        </w:rPr>
        <w:fldChar w:fldCharType="separate"/>
      </w:r>
      <w:r>
        <w:rPr>
          <w:rFonts w:hint="eastAsia"/>
        </w:rPr>
        <w:t>3.4主要原辅材料</w:t>
      </w:r>
      <w:r>
        <w:tab/>
      </w:r>
      <w:r>
        <w:fldChar w:fldCharType="begin"/>
      </w:r>
      <w:r>
        <w:instrText xml:space="preserve"> PAGEREF _Toc16309 \h </w:instrText>
      </w:r>
      <w:r>
        <w:fldChar w:fldCharType="separate"/>
      </w:r>
      <w:r>
        <w:t>48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_Toc14962 </w:instrText>
      </w:r>
      <w:r>
        <w:rPr>
          <w:rFonts w:hint="eastAsia"/>
        </w:rPr>
        <w:fldChar w:fldCharType="separate"/>
      </w:r>
      <w:r>
        <w:rPr>
          <w:rFonts w:hint="eastAsia"/>
        </w:rPr>
        <w:t>3.5生产设备</w:t>
      </w:r>
      <w:r>
        <w:tab/>
      </w:r>
      <w:r>
        <w:fldChar w:fldCharType="begin"/>
      </w:r>
      <w:r>
        <w:instrText xml:space="preserve"> PAGEREF _Toc14962 \h </w:instrText>
      </w:r>
      <w:r>
        <w:fldChar w:fldCharType="separate"/>
      </w:r>
      <w:r>
        <w:t>52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_Toc12410 </w:instrText>
      </w:r>
      <w:r>
        <w:rPr>
          <w:rFonts w:hint="eastAsia"/>
        </w:rPr>
        <w:fldChar w:fldCharType="separate"/>
      </w:r>
      <w:r>
        <w:rPr>
          <w:rFonts w:hint="eastAsia"/>
        </w:rPr>
        <w:t>3.6辅助工程</w:t>
      </w:r>
      <w:r>
        <w:tab/>
      </w:r>
      <w:r>
        <w:fldChar w:fldCharType="begin"/>
      </w:r>
      <w:r>
        <w:instrText xml:space="preserve"> PAGEREF _Toc12410 \h </w:instrText>
      </w:r>
      <w:r>
        <w:fldChar w:fldCharType="separate"/>
      </w:r>
      <w:r>
        <w:t>54</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_Toc20436 </w:instrText>
      </w:r>
      <w:r>
        <w:rPr>
          <w:rFonts w:hint="eastAsia"/>
        </w:rPr>
        <w:fldChar w:fldCharType="separate"/>
      </w:r>
      <w:r>
        <w:rPr>
          <w:rFonts w:hint="eastAsia"/>
        </w:rPr>
        <w:t>3.7公用工程</w:t>
      </w:r>
      <w:r>
        <w:tab/>
      </w:r>
      <w:r>
        <w:fldChar w:fldCharType="begin"/>
      </w:r>
      <w:r>
        <w:instrText xml:space="preserve"> PAGEREF _Toc20436 \h </w:instrText>
      </w:r>
      <w:r>
        <w:fldChar w:fldCharType="separate"/>
      </w:r>
      <w:r>
        <w:t>55</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_Toc4321 </w:instrText>
      </w:r>
      <w:r>
        <w:rPr>
          <w:rFonts w:hint="eastAsia"/>
        </w:rPr>
        <w:fldChar w:fldCharType="separate"/>
      </w:r>
      <w:r>
        <w:rPr>
          <w:rFonts w:hint="eastAsia"/>
        </w:rPr>
        <w:t>3.8物料运输</w:t>
      </w:r>
      <w:r>
        <w:tab/>
      </w:r>
      <w:r>
        <w:fldChar w:fldCharType="begin"/>
      </w:r>
      <w:r>
        <w:instrText xml:space="preserve"> PAGEREF _Toc4321 \h </w:instrText>
      </w:r>
      <w:r>
        <w:fldChar w:fldCharType="separate"/>
      </w:r>
      <w:r>
        <w:t>57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_Toc17950 </w:instrText>
      </w:r>
      <w:r>
        <w:rPr>
          <w:rFonts w:hint="eastAsia"/>
        </w:rPr>
        <w:fldChar w:fldCharType="separate"/>
      </w:r>
      <w:r>
        <w:rPr>
          <w:rFonts w:hint="eastAsia"/>
        </w:rPr>
        <w:t>3.9工作制度、定员</w:t>
      </w:r>
      <w:r>
        <w:tab/>
      </w:r>
      <w:r>
        <w:fldChar w:fldCharType="begin"/>
      </w:r>
      <w:r>
        <w:instrText xml:space="preserve"> PAGEREF _Toc17950 \h </w:instrText>
      </w:r>
      <w:r>
        <w:fldChar w:fldCharType="separate"/>
      </w:r>
      <w:r>
        <w:t>57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_Toc31788 </w:instrText>
      </w:r>
      <w:r>
        <w:rPr>
          <w:rFonts w:hint="eastAsia"/>
        </w:rPr>
        <w:fldChar w:fldCharType="separate"/>
      </w:r>
      <w:r>
        <w:rPr>
          <w:rFonts w:hint="eastAsia"/>
        </w:rPr>
        <w:t>3.10项目建设计划</w:t>
      </w:r>
      <w:r>
        <w:tab/>
      </w:r>
      <w:r>
        <w:fldChar w:fldCharType="begin"/>
      </w:r>
      <w:r>
        <w:instrText xml:space="preserve"> PAGEREF _Toc31788 \h </w:instrText>
      </w:r>
      <w:r>
        <w:fldChar w:fldCharType="separate"/>
      </w:r>
      <w:r>
        <w:t>57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_Toc23518 </w:instrText>
      </w:r>
      <w:r>
        <w:rPr>
          <w:rFonts w:hint="eastAsia"/>
        </w:rPr>
        <w:fldChar w:fldCharType="separate"/>
      </w:r>
      <w:r>
        <w:rPr>
          <w:rFonts w:hint="eastAsia"/>
        </w:rPr>
        <w:t>3.11项目平面布置</w:t>
      </w:r>
      <w:r>
        <w:tab/>
      </w:r>
      <w:r>
        <w:fldChar w:fldCharType="begin"/>
      </w:r>
      <w:r>
        <w:instrText xml:space="preserve"> PAGEREF _Toc23518 \h </w:instrText>
      </w:r>
      <w:r>
        <w:fldChar w:fldCharType="separate"/>
      </w:r>
      <w:r>
        <w:t>57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_Toc28071 </w:instrText>
      </w:r>
      <w:r>
        <w:rPr>
          <w:rFonts w:hint="eastAsia"/>
        </w:rPr>
        <w:fldChar w:fldCharType="separate"/>
      </w:r>
      <w:r>
        <w:rPr>
          <w:rFonts w:hint="eastAsia"/>
        </w:rPr>
        <w:t>3.12经济技术指标</w:t>
      </w:r>
      <w:r>
        <w:tab/>
      </w:r>
      <w:r>
        <w:fldChar w:fldCharType="begin"/>
      </w:r>
      <w:r>
        <w:instrText xml:space="preserve"> PAGEREF _Toc28071 \h </w:instrText>
      </w:r>
      <w:r>
        <w:fldChar w:fldCharType="separate"/>
      </w:r>
      <w:r>
        <w:t>58</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_Toc16989 </w:instrText>
      </w:r>
      <w:r>
        <w:rPr>
          <w:rFonts w:hint="eastAsia"/>
        </w:rPr>
        <w:fldChar w:fldCharType="separate"/>
      </w:r>
      <w:r>
        <w:rPr>
          <w:rFonts w:hint="eastAsia"/>
        </w:rPr>
        <w:t>4 工程分析</w:t>
      </w:r>
      <w:r>
        <w:tab/>
      </w:r>
      <w:r>
        <w:fldChar w:fldCharType="begin"/>
      </w:r>
      <w:r>
        <w:instrText xml:space="preserve"> PAGEREF _Toc16989 \h </w:instrText>
      </w:r>
      <w:r>
        <w:fldChar w:fldCharType="separate"/>
      </w:r>
      <w:r>
        <w:t>59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_Toc4088 </w:instrText>
      </w:r>
      <w:r>
        <w:rPr>
          <w:rFonts w:hint="eastAsia"/>
        </w:rPr>
        <w:fldChar w:fldCharType="separate"/>
      </w:r>
      <w:r>
        <w:rPr>
          <w:rFonts w:hint="eastAsia"/>
        </w:rPr>
        <w:t>4.1施工工期工程分析</w:t>
      </w:r>
      <w:r>
        <w:tab/>
      </w:r>
      <w:r>
        <w:fldChar w:fldCharType="begin"/>
      </w:r>
      <w:r>
        <w:instrText xml:space="preserve"> PAGEREF _Toc4088 \h </w:instrText>
      </w:r>
      <w:r>
        <w:fldChar w:fldCharType="separate"/>
      </w:r>
      <w:r>
        <w:t>59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_Toc17958 </w:instrText>
      </w:r>
      <w:r>
        <w:rPr>
          <w:rFonts w:hint="eastAsia"/>
        </w:rPr>
        <w:fldChar w:fldCharType="separate"/>
      </w:r>
      <w:r>
        <w:rPr>
          <w:rFonts w:hint="eastAsia"/>
        </w:rPr>
        <w:t>4.2运营期生产工艺及产污环节分析</w:t>
      </w:r>
      <w:r>
        <w:tab/>
      </w:r>
      <w:r>
        <w:fldChar w:fldCharType="begin"/>
      </w:r>
      <w:r>
        <w:instrText xml:space="preserve"> PAGEREF _Toc17958 \h </w:instrText>
      </w:r>
      <w:r>
        <w:fldChar w:fldCharType="separate"/>
      </w:r>
      <w:r>
        <w:t>64</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_Toc13 </w:instrText>
      </w:r>
      <w:r>
        <w:rPr>
          <w:rFonts w:hint="eastAsia"/>
        </w:rPr>
        <w:fldChar w:fldCharType="separate"/>
      </w:r>
      <w:r>
        <w:rPr>
          <w:rFonts w:hint="eastAsia"/>
        </w:rPr>
        <w:t>4.3相关平衡分析</w:t>
      </w:r>
      <w:r>
        <w:tab/>
      </w:r>
      <w:r>
        <w:fldChar w:fldCharType="begin"/>
      </w:r>
      <w:r>
        <w:instrText xml:space="preserve"> PAGEREF _Toc13 \h </w:instrText>
      </w:r>
      <w:r>
        <w:fldChar w:fldCharType="separate"/>
      </w:r>
      <w:r>
        <w:t>75</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_Toc20661 </w:instrText>
      </w:r>
      <w:r>
        <w:rPr>
          <w:rFonts w:hint="eastAsia"/>
        </w:rPr>
        <w:fldChar w:fldCharType="separate"/>
      </w:r>
      <w:r>
        <w:rPr>
          <w:rFonts w:hint="eastAsia"/>
        </w:rPr>
        <w:t>4.4污染核算</w:t>
      </w:r>
      <w:r>
        <w:tab/>
      </w:r>
      <w:r>
        <w:fldChar w:fldCharType="begin"/>
      </w:r>
      <w:r>
        <w:instrText xml:space="preserve"> PAGEREF _Toc20661 \h </w:instrText>
      </w:r>
      <w:r>
        <w:fldChar w:fldCharType="separate"/>
      </w:r>
      <w:r>
        <w:t>89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_Toc26774 </w:instrText>
      </w:r>
      <w:r>
        <w:rPr>
          <w:rFonts w:hint="eastAsia"/>
        </w:rPr>
        <w:fldChar w:fldCharType="separate"/>
      </w:r>
      <w:r>
        <w:rPr>
          <w:rFonts w:hint="eastAsia"/>
        </w:rPr>
        <w:t>4.5污染物控制及达标排放分析</w:t>
      </w:r>
      <w:r>
        <w:tab/>
      </w:r>
      <w:r>
        <w:fldChar w:fldCharType="begin"/>
      </w:r>
      <w:r>
        <w:instrText xml:space="preserve"> PAGEREF _Toc26774 \h </w:instrText>
      </w:r>
      <w:r>
        <w:fldChar w:fldCharType="separate"/>
      </w:r>
      <w:r>
        <w:t>120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_Toc13461 </w:instrText>
      </w:r>
      <w:r>
        <w:rPr>
          <w:rFonts w:hint="eastAsia"/>
        </w:rPr>
        <w:fldChar w:fldCharType="separate"/>
      </w:r>
      <w:r>
        <w:rPr>
          <w:rFonts w:hint="eastAsia"/>
        </w:rPr>
        <w:t>4.6污染物排放汇总</w:t>
      </w:r>
      <w:r>
        <w:tab/>
      </w:r>
      <w:r>
        <w:fldChar w:fldCharType="begin"/>
      </w:r>
      <w:r>
        <w:instrText xml:space="preserve"> PAGEREF _Toc13461 \h </w:instrText>
      </w:r>
      <w:r>
        <w:fldChar w:fldCharType="separate"/>
      </w:r>
      <w:r>
        <w:t>125</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_Toc16934 </w:instrText>
      </w:r>
      <w:r>
        <w:rPr>
          <w:rFonts w:hint="eastAsia"/>
        </w:rPr>
        <w:fldChar w:fldCharType="separate"/>
      </w:r>
      <w:r>
        <w:rPr>
          <w:rFonts w:hint="eastAsia"/>
        </w:rPr>
        <w:t>4.7非正常工况下污染物产生与排放情况</w:t>
      </w:r>
      <w:r>
        <w:tab/>
      </w:r>
      <w:r>
        <w:fldChar w:fldCharType="begin"/>
      </w:r>
      <w:r>
        <w:instrText xml:space="preserve"> PAGEREF _Toc16934 \h </w:instrText>
      </w:r>
      <w:r>
        <w:fldChar w:fldCharType="separate"/>
      </w:r>
      <w:r>
        <w:t>126</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_Toc32631 </w:instrText>
      </w:r>
      <w:r>
        <w:rPr>
          <w:rFonts w:hint="eastAsia"/>
        </w:rPr>
        <w:fldChar w:fldCharType="separate"/>
      </w:r>
      <w:r>
        <w:rPr>
          <w:rFonts w:hint="eastAsia"/>
        </w:rPr>
        <w:t>4.8清洁生产分析</w:t>
      </w:r>
      <w:r>
        <w:tab/>
      </w:r>
      <w:r>
        <w:fldChar w:fldCharType="begin"/>
      </w:r>
      <w:r>
        <w:instrText xml:space="preserve"> PAGEREF _Toc32631 \h </w:instrText>
      </w:r>
      <w:r>
        <w:fldChar w:fldCharType="separate"/>
      </w:r>
      <w:r>
        <w:t>129</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_Toc9579 </w:instrText>
      </w:r>
      <w:r>
        <w:rPr>
          <w:rFonts w:hint="eastAsia"/>
        </w:rPr>
        <w:fldChar w:fldCharType="separate"/>
      </w:r>
      <w:r>
        <w:rPr>
          <w:rFonts w:hint="eastAsia"/>
        </w:rPr>
        <w:t>5 建设项目所处区域环境概况</w:t>
      </w:r>
      <w:r>
        <w:tab/>
      </w:r>
      <w:r>
        <w:fldChar w:fldCharType="begin"/>
      </w:r>
      <w:r>
        <w:instrText xml:space="preserve"> PAGEREF _Toc9579 \h </w:instrText>
      </w:r>
      <w:r>
        <w:fldChar w:fldCharType="separate"/>
      </w:r>
      <w:r>
        <w:t>133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_Toc10764 </w:instrText>
      </w:r>
      <w:r>
        <w:rPr>
          <w:rFonts w:hint="eastAsia"/>
        </w:rPr>
        <w:fldChar w:fldCharType="separate"/>
      </w:r>
      <w:r>
        <w:rPr>
          <w:rFonts w:hint="eastAsia"/>
        </w:rPr>
        <w:t>5.1自然环境概况</w:t>
      </w:r>
      <w:r>
        <w:tab/>
      </w:r>
      <w:r>
        <w:fldChar w:fldCharType="begin"/>
      </w:r>
      <w:r>
        <w:instrText xml:space="preserve"> PAGEREF _Toc10764 \h </w:instrText>
      </w:r>
      <w:r>
        <w:fldChar w:fldCharType="separate"/>
      </w:r>
      <w:r>
        <w:t>133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_Toc18464 </w:instrText>
      </w:r>
      <w:r>
        <w:rPr>
          <w:rFonts w:hint="eastAsia"/>
        </w:rPr>
        <w:fldChar w:fldCharType="separate"/>
      </w:r>
      <w:r>
        <w:rPr>
          <w:rFonts w:hint="eastAsia"/>
        </w:rPr>
        <w:t>5.2工业园区概况</w:t>
      </w:r>
      <w:r>
        <w:tab/>
      </w:r>
      <w:r>
        <w:fldChar w:fldCharType="begin"/>
      </w:r>
      <w:r>
        <w:instrText xml:space="preserve"> PAGEREF _Toc18464 \h </w:instrText>
      </w:r>
      <w:r>
        <w:fldChar w:fldCharType="separate"/>
      </w:r>
      <w:r>
        <w:t>137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_Toc31657 </w:instrText>
      </w:r>
      <w:r>
        <w:rPr>
          <w:rFonts w:hint="eastAsia"/>
        </w:rPr>
        <w:fldChar w:fldCharType="separate"/>
      </w:r>
      <w:r>
        <w:rPr>
          <w:rFonts w:hint="eastAsia"/>
        </w:rPr>
        <w:t>5.3环境质量现状</w:t>
      </w:r>
      <w:r>
        <w:tab/>
      </w:r>
      <w:r>
        <w:fldChar w:fldCharType="begin"/>
      </w:r>
      <w:r>
        <w:instrText xml:space="preserve"> PAGEREF _Toc31657 \h </w:instrText>
      </w:r>
      <w:r>
        <w:fldChar w:fldCharType="separate"/>
      </w:r>
      <w:r>
        <w:t>138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_Toc17069 </w:instrText>
      </w:r>
      <w:r>
        <w:rPr>
          <w:rFonts w:hint="eastAsia"/>
        </w:rPr>
        <w:fldChar w:fldCharType="separate"/>
      </w:r>
      <w:r>
        <w:rPr>
          <w:rFonts w:hint="eastAsia"/>
        </w:rPr>
        <w:t>5.4浴仙湖风景名胜区</w:t>
      </w:r>
      <w:r>
        <w:tab/>
      </w:r>
      <w:r>
        <w:fldChar w:fldCharType="begin"/>
      </w:r>
      <w:r>
        <w:instrText xml:space="preserve"> PAGEREF _Toc17069 \h </w:instrText>
      </w:r>
      <w:r>
        <w:fldChar w:fldCharType="separate"/>
      </w:r>
      <w:r>
        <w:t>164</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_Toc26616 </w:instrText>
      </w:r>
      <w:r>
        <w:rPr>
          <w:rFonts w:hint="eastAsia"/>
        </w:rPr>
        <w:fldChar w:fldCharType="separate"/>
      </w:r>
      <w:r>
        <w:rPr>
          <w:rFonts w:hint="eastAsia"/>
        </w:rPr>
        <w:t>5.5项目周边污染源现状调查</w:t>
      </w:r>
      <w:r>
        <w:tab/>
      </w:r>
      <w:r>
        <w:fldChar w:fldCharType="begin"/>
      </w:r>
      <w:r>
        <w:instrText xml:space="preserve"> PAGEREF _Toc26616 \h </w:instrText>
      </w:r>
      <w:r>
        <w:fldChar w:fldCharType="separate"/>
      </w:r>
      <w:r>
        <w:t>164</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_Toc27525 </w:instrText>
      </w:r>
      <w:r>
        <w:rPr>
          <w:rFonts w:hint="eastAsia"/>
        </w:rPr>
        <w:fldChar w:fldCharType="separate"/>
      </w:r>
      <w:r>
        <w:rPr>
          <w:rFonts w:hint="eastAsia"/>
        </w:rPr>
        <w:t>6 环境影响预测与评价</w:t>
      </w:r>
      <w:r>
        <w:tab/>
      </w:r>
      <w:r>
        <w:fldChar w:fldCharType="begin"/>
      </w:r>
      <w:r>
        <w:instrText xml:space="preserve"> PAGEREF _Toc27525 \h </w:instrText>
      </w:r>
      <w:r>
        <w:fldChar w:fldCharType="separate"/>
      </w:r>
      <w:r>
        <w:t>167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_Toc8004 </w:instrText>
      </w:r>
      <w:r>
        <w:rPr>
          <w:rFonts w:hint="eastAsia"/>
        </w:rPr>
        <w:fldChar w:fldCharType="separate"/>
      </w:r>
      <w:r>
        <w:rPr>
          <w:rFonts w:hint="eastAsia"/>
        </w:rPr>
        <w:t>6.1施工期环境的影响及控制</w:t>
      </w:r>
      <w:r>
        <w:tab/>
      </w:r>
      <w:r>
        <w:fldChar w:fldCharType="begin"/>
      </w:r>
      <w:r>
        <w:instrText xml:space="preserve"> PAGEREF _Toc8004 \h </w:instrText>
      </w:r>
      <w:r>
        <w:fldChar w:fldCharType="separate"/>
      </w:r>
      <w:r>
        <w:t>167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_Toc16072 </w:instrText>
      </w:r>
      <w:r>
        <w:rPr>
          <w:rFonts w:hint="eastAsia"/>
        </w:rPr>
        <w:fldChar w:fldCharType="separate"/>
      </w:r>
      <w:r>
        <w:rPr>
          <w:rFonts w:hint="eastAsia"/>
        </w:rPr>
        <w:t>6.2运行期空气环境影响预测评价</w:t>
      </w:r>
      <w:r>
        <w:tab/>
      </w:r>
      <w:r>
        <w:fldChar w:fldCharType="begin"/>
      </w:r>
      <w:r>
        <w:instrText xml:space="preserve"> PAGEREF _Toc16072 \h </w:instrText>
      </w:r>
      <w:r>
        <w:fldChar w:fldCharType="separate"/>
      </w:r>
      <w:r>
        <w:t>171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_Toc3623 </w:instrText>
      </w:r>
      <w:r>
        <w:rPr>
          <w:rFonts w:hint="eastAsia"/>
        </w:rPr>
        <w:fldChar w:fldCharType="separate"/>
      </w:r>
      <w:r>
        <w:rPr>
          <w:rFonts w:hint="eastAsia"/>
        </w:rPr>
        <w:t>6.3运行期地表水环境质量影响评价</w:t>
      </w:r>
      <w:r>
        <w:tab/>
      </w:r>
      <w:r>
        <w:fldChar w:fldCharType="begin"/>
      </w:r>
      <w:r>
        <w:instrText xml:space="preserve"> PAGEREF _Toc3623 \h </w:instrText>
      </w:r>
      <w:r>
        <w:fldChar w:fldCharType="separate"/>
      </w:r>
      <w:r>
        <w:t>223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_Toc15290 </w:instrText>
      </w:r>
      <w:r>
        <w:rPr>
          <w:rFonts w:hint="eastAsia"/>
        </w:rPr>
        <w:fldChar w:fldCharType="separate"/>
      </w:r>
      <w:r>
        <w:rPr>
          <w:rFonts w:hint="eastAsia"/>
        </w:rPr>
        <w:t>6.4运行期地下水环境影响预测与分析</w:t>
      </w:r>
      <w:r>
        <w:tab/>
      </w:r>
      <w:r>
        <w:fldChar w:fldCharType="begin"/>
      </w:r>
      <w:r>
        <w:instrText xml:space="preserve"> PAGEREF _Toc15290 \h </w:instrText>
      </w:r>
      <w:r>
        <w:fldChar w:fldCharType="separate"/>
      </w:r>
      <w:r>
        <w:t>230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_Toc12032 </w:instrText>
      </w:r>
      <w:r>
        <w:rPr>
          <w:rFonts w:hint="eastAsia"/>
        </w:rPr>
        <w:fldChar w:fldCharType="separate"/>
      </w:r>
      <w:r>
        <w:rPr>
          <w:rFonts w:hint="eastAsia"/>
        </w:rPr>
        <w:t>6.5运行期声环境质量影响评价</w:t>
      </w:r>
      <w:r>
        <w:tab/>
      </w:r>
      <w:r>
        <w:fldChar w:fldCharType="begin"/>
      </w:r>
      <w:r>
        <w:instrText xml:space="preserve"> PAGEREF _Toc12032 \h </w:instrText>
      </w:r>
      <w:r>
        <w:fldChar w:fldCharType="separate"/>
      </w:r>
      <w:r>
        <w:t>251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_Toc27866 </w:instrText>
      </w:r>
      <w:r>
        <w:rPr>
          <w:rFonts w:hint="eastAsia"/>
        </w:rPr>
        <w:fldChar w:fldCharType="separate"/>
      </w:r>
      <w:r>
        <w:rPr>
          <w:rFonts w:hint="eastAsia"/>
        </w:rPr>
        <w:t>6.6运行期固体废物产生及处置</w:t>
      </w:r>
      <w:r>
        <w:tab/>
      </w:r>
      <w:r>
        <w:fldChar w:fldCharType="begin"/>
      </w:r>
      <w:r>
        <w:instrText xml:space="preserve"> PAGEREF _Toc27866 \h </w:instrText>
      </w:r>
      <w:r>
        <w:fldChar w:fldCharType="separate"/>
      </w:r>
      <w:r>
        <w:t>255</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_Toc22476 </w:instrText>
      </w:r>
      <w:r>
        <w:rPr>
          <w:rFonts w:hint="eastAsia"/>
        </w:rPr>
        <w:fldChar w:fldCharType="separate"/>
      </w:r>
      <w:r>
        <w:rPr>
          <w:rFonts w:hint="eastAsia"/>
        </w:rPr>
        <w:t>6.7运行期生态环境影响分析</w:t>
      </w:r>
      <w:r>
        <w:tab/>
      </w:r>
      <w:r>
        <w:fldChar w:fldCharType="begin"/>
      </w:r>
      <w:r>
        <w:instrText xml:space="preserve"> PAGEREF _Toc22476 \h </w:instrText>
      </w:r>
      <w:r>
        <w:fldChar w:fldCharType="separate"/>
      </w:r>
      <w:r>
        <w:t>260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_Toc24620 </w:instrText>
      </w:r>
      <w:r>
        <w:rPr>
          <w:rFonts w:hint="eastAsia"/>
        </w:rPr>
        <w:fldChar w:fldCharType="separate"/>
      </w:r>
      <w:r>
        <w:rPr>
          <w:rFonts w:hint="eastAsia"/>
        </w:rPr>
        <w:t>6.8运行期土壤环境影响评价</w:t>
      </w:r>
      <w:r>
        <w:tab/>
      </w:r>
      <w:r>
        <w:fldChar w:fldCharType="begin"/>
      </w:r>
      <w:r>
        <w:instrText xml:space="preserve"> PAGEREF _Toc24620 \h </w:instrText>
      </w:r>
      <w:r>
        <w:fldChar w:fldCharType="separate"/>
      </w:r>
      <w:r>
        <w:t>261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_Toc1880 </w:instrText>
      </w:r>
      <w:r>
        <w:rPr>
          <w:rFonts w:hint="eastAsia"/>
        </w:rPr>
        <w:fldChar w:fldCharType="separate"/>
      </w:r>
      <w:r>
        <w:rPr>
          <w:rFonts w:hint="eastAsia"/>
        </w:rPr>
        <w:t>6.9铝水运输过程中影响分析</w:t>
      </w:r>
      <w:r>
        <w:tab/>
      </w:r>
      <w:r>
        <w:fldChar w:fldCharType="begin"/>
      </w:r>
      <w:r>
        <w:instrText xml:space="preserve"> PAGEREF _Toc1880 \h </w:instrText>
      </w:r>
      <w:r>
        <w:fldChar w:fldCharType="separate"/>
      </w:r>
      <w:r>
        <w:t>266</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_Toc15643 </w:instrText>
      </w:r>
      <w:r>
        <w:rPr>
          <w:rFonts w:hint="eastAsia"/>
        </w:rPr>
        <w:fldChar w:fldCharType="separate"/>
      </w:r>
      <w:r>
        <w:rPr>
          <w:rFonts w:hint="eastAsia"/>
        </w:rPr>
        <w:t>7</w:t>
      </w:r>
      <w:r>
        <w:rPr>
          <w:rFonts w:hint="eastAsia"/>
          <w:lang w:val="en-US" w:eastAsia="zh-CN"/>
        </w:rPr>
        <w:t xml:space="preserve"> </w:t>
      </w:r>
      <w:r>
        <w:rPr>
          <w:rFonts w:hint="eastAsia"/>
        </w:rPr>
        <w:t>环境风险评价</w:t>
      </w:r>
      <w:r>
        <w:tab/>
      </w:r>
      <w:r>
        <w:fldChar w:fldCharType="begin"/>
      </w:r>
      <w:r>
        <w:instrText xml:space="preserve"> PAGEREF _Toc15643 \h </w:instrText>
      </w:r>
      <w:r>
        <w:fldChar w:fldCharType="separate"/>
      </w:r>
      <w:r>
        <w:t>267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_Toc5483 </w:instrText>
      </w:r>
      <w:r>
        <w:rPr>
          <w:rFonts w:hint="eastAsia"/>
        </w:rPr>
        <w:fldChar w:fldCharType="separate"/>
      </w:r>
      <w:r>
        <w:rPr>
          <w:rFonts w:hint="eastAsia"/>
        </w:rPr>
        <w:t>7.1风险调查</w:t>
      </w:r>
      <w:r>
        <w:tab/>
      </w:r>
      <w:r>
        <w:fldChar w:fldCharType="begin"/>
      </w:r>
      <w:r>
        <w:instrText xml:space="preserve"> PAGEREF _Toc5483 \h </w:instrText>
      </w:r>
      <w:r>
        <w:fldChar w:fldCharType="separate"/>
      </w:r>
      <w:r>
        <w:t>267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_Toc28002 </w:instrText>
      </w:r>
      <w:r>
        <w:rPr>
          <w:rFonts w:hint="eastAsia"/>
        </w:rPr>
        <w:fldChar w:fldCharType="separate"/>
      </w:r>
      <w:r>
        <w:rPr>
          <w:rFonts w:hint="eastAsia"/>
        </w:rPr>
        <w:t>7.2环境风险潜势分析</w:t>
      </w:r>
      <w:r>
        <w:tab/>
      </w:r>
      <w:r>
        <w:fldChar w:fldCharType="begin"/>
      </w:r>
      <w:r>
        <w:instrText xml:space="preserve"> PAGEREF _Toc28002 \h </w:instrText>
      </w:r>
      <w:r>
        <w:fldChar w:fldCharType="separate"/>
      </w:r>
      <w:r>
        <w:t>273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_Toc6579 </w:instrText>
      </w:r>
      <w:r>
        <w:rPr>
          <w:rFonts w:hint="eastAsia"/>
        </w:rPr>
        <w:fldChar w:fldCharType="separate"/>
      </w:r>
      <w:r>
        <w:rPr>
          <w:rFonts w:hint="eastAsia"/>
        </w:rPr>
        <w:t>7.3环境风险识别</w:t>
      </w:r>
      <w:r>
        <w:tab/>
      </w:r>
      <w:r>
        <w:fldChar w:fldCharType="begin"/>
      </w:r>
      <w:r>
        <w:instrText xml:space="preserve"> PAGEREF _Toc6579 \h </w:instrText>
      </w:r>
      <w:r>
        <w:fldChar w:fldCharType="separate"/>
      </w:r>
      <w:r>
        <w:t>275</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_Toc13136 </w:instrText>
      </w:r>
      <w:r>
        <w:rPr>
          <w:rFonts w:hint="eastAsia"/>
        </w:rPr>
        <w:fldChar w:fldCharType="separate"/>
      </w:r>
      <w:r>
        <w:rPr>
          <w:rFonts w:hint="eastAsia"/>
        </w:rPr>
        <w:t>7.4环境风险分析</w:t>
      </w:r>
      <w:r>
        <w:tab/>
      </w:r>
      <w:r>
        <w:fldChar w:fldCharType="begin"/>
      </w:r>
      <w:r>
        <w:instrText xml:space="preserve"> PAGEREF _Toc13136 \h </w:instrText>
      </w:r>
      <w:r>
        <w:fldChar w:fldCharType="separate"/>
      </w:r>
      <w:r>
        <w:t>288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_Toc6455 </w:instrText>
      </w:r>
      <w:r>
        <w:rPr>
          <w:rFonts w:hint="eastAsia"/>
        </w:rPr>
        <w:fldChar w:fldCharType="separate"/>
      </w:r>
      <w:r>
        <w:rPr>
          <w:rFonts w:hint="eastAsia"/>
        </w:rPr>
        <w:t>7.5环境风险防范措施</w:t>
      </w:r>
      <w:r>
        <w:tab/>
      </w:r>
      <w:r>
        <w:fldChar w:fldCharType="begin"/>
      </w:r>
      <w:r>
        <w:instrText xml:space="preserve"> PAGEREF _Toc6455 \h </w:instrText>
      </w:r>
      <w:r>
        <w:fldChar w:fldCharType="separate"/>
      </w:r>
      <w:r>
        <w:t>291</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_Toc25594 </w:instrText>
      </w:r>
      <w:r>
        <w:rPr>
          <w:rFonts w:hint="eastAsia"/>
        </w:rPr>
        <w:fldChar w:fldCharType="separate"/>
      </w:r>
      <w:r>
        <w:rPr>
          <w:rFonts w:hint="eastAsia"/>
          <w:lang w:val="en-US" w:eastAsia="zh-CN"/>
        </w:rPr>
        <w:t>8 碳排放环境影响评价</w:t>
      </w:r>
      <w:r>
        <w:tab/>
      </w:r>
      <w:r>
        <w:fldChar w:fldCharType="begin"/>
      </w:r>
      <w:r>
        <w:instrText xml:space="preserve"> PAGEREF _Toc25594 \h </w:instrText>
      </w:r>
      <w:r>
        <w:fldChar w:fldCharType="separate"/>
      </w:r>
      <w:r>
        <w:t>307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_Toc4154 </w:instrText>
      </w:r>
      <w:r>
        <w:rPr>
          <w:rFonts w:hint="eastAsia"/>
        </w:rPr>
        <w:fldChar w:fldCharType="separate"/>
      </w:r>
      <w:r>
        <w:rPr>
          <w:rFonts w:hint="eastAsia"/>
          <w:lang w:val="en-US" w:eastAsia="zh-CN"/>
        </w:rPr>
        <w:t>8.1总则</w:t>
      </w:r>
      <w:r>
        <w:tab/>
      </w:r>
      <w:r>
        <w:fldChar w:fldCharType="begin"/>
      </w:r>
      <w:r>
        <w:instrText xml:space="preserve"> PAGEREF _Toc4154 \h </w:instrText>
      </w:r>
      <w:r>
        <w:fldChar w:fldCharType="separate"/>
      </w:r>
      <w:r>
        <w:t>307</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_Toc8209 </w:instrText>
      </w:r>
      <w:r>
        <w:rPr>
          <w:rFonts w:hint="eastAsia"/>
        </w:rPr>
        <w:fldChar w:fldCharType="separate"/>
      </w:r>
      <w:r>
        <w:rPr>
          <w:rFonts w:hint="eastAsia"/>
          <w:lang w:val="en-US" w:eastAsia="zh-CN"/>
        </w:rPr>
        <w:t>8.2碳排放政策符合性分析</w:t>
      </w:r>
      <w:r>
        <w:tab/>
      </w:r>
      <w:r>
        <w:fldChar w:fldCharType="begin"/>
      </w:r>
      <w:r>
        <w:instrText xml:space="preserve"> PAGEREF _Toc8209 \h </w:instrText>
      </w:r>
      <w:r>
        <w:fldChar w:fldCharType="separate"/>
      </w:r>
      <w:r>
        <w:t>308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_Toc17467 </w:instrText>
      </w:r>
      <w:r>
        <w:rPr>
          <w:rFonts w:hint="eastAsia"/>
        </w:rPr>
        <w:fldChar w:fldCharType="separate"/>
      </w:r>
      <w:r>
        <w:rPr>
          <w:rFonts w:hint="eastAsia"/>
          <w:lang w:val="en-US" w:eastAsia="zh-CN"/>
        </w:rPr>
        <w:t>8.3建设项目碳排放分析</w:t>
      </w:r>
      <w:r>
        <w:tab/>
      </w:r>
      <w:r>
        <w:fldChar w:fldCharType="begin"/>
      </w:r>
      <w:r>
        <w:instrText xml:space="preserve"> PAGEREF _Toc17467 \h </w:instrText>
      </w:r>
      <w:r>
        <w:fldChar w:fldCharType="separate"/>
      </w:r>
      <w:r>
        <w:t>311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_Toc26718 </w:instrText>
      </w:r>
      <w:r>
        <w:rPr>
          <w:rFonts w:hint="eastAsia"/>
        </w:rPr>
        <w:fldChar w:fldCharType="separate"/>
      </w:r>
      <w:r>
        <w:rPr>
          <w:rFonts w:hint="eastAsia"/>
          <w:lang w:val="en-US" w:eastAsia="zh-CN"/>
        </w:rPr>
        <w:t>8.4碳减排措施及其可行性论证</w:t>
      </w:r>
      <w:r>
        <w:tab/>
      </w:r>
      <w:r>
        <w:fldChar w:fldCharType="begin"/>
      </w:r>
      <w:r>
        <w:instrText xml:space="preserve"> PAGEREF _Toc26718 \h </w:instrText>
      </w:r>
      <w:r>
        <w:fldChar w:fldCharType="separate"/>
      </w:r>
      <w:r>
        <w:t>314</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_Toc26365 </w:instrText>
      </w:r>
      <w:r>
        <w:rPr>
          <w:rFonts w:hint="eastAsia"/>
        </w:rPr>
        <w:fldChar w:fldCharType="separate"/>
      </w:r>
      <w:r>
        <w:rPr>
          <w:rFonts w:hint="eastAsia"/>
          <w:lang w:val="en-US" w:eastAsia="zh-CN"/>
        </w:rPr>
        <w:t>8.5碳排放管理与监测计划</w:t>
      </w:r>
      <w:r>
        <w:tab/>
      </w:r>
      <w:r>
        <w:fldChar w:fldCharType="begin"/>
      </w:r>
      <w:r>
        <w:instrText xml:space="preserve"> PAGEREF _Toc26365 \h </w:instrText>
      </w:r>
      <w:r>
        <w:fldChar w:fldCharType="separate"/>
      </w:r>
      <w:r>
        <w:t>316</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_Toc4919 </w:instrText>
      </w:r>
      <w:r>
        <w:rPr>
          <w:rFonts w:hint="eastAsia"/>
        </w:rPr>
        <w:fldChar w:fldCharType="separate"/>
      </w:r>
      <w:r>
        <w:rPr>
          <w:rFonts w:hint="eastAsia"/>
          <w:lang w:val="en-US" w:eastAsia="zh-CN"/>
        </w:rPr>
        <w:t>8.6碳排放评价结论</w:t>
      </w:r>
      <w:r>
        <w:tab/>
      </w:r>
      <w:r>
        <w:fldChar w:fldCharType="begin"/>
      </w:r>
      <w:r>
        <w:instrText xml:space="preserve"> PAGEREF _Toc4919 \h </w:instrText>
      </w:r>
      <w:r>
        <w:fldChar w:fldCharType="separate"/>
      </w:r>
      <w:r>
        <w:t>317</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_Toc6839 </w:instrText>
      </w:r>
      <w:r>
        <w:rPr>
          <w:rFonts w:hint="eastAsia"/>
        </w:rPr>
        <w:fldChar w:fldCharType="separate"/>
      </w:r>
      <w:r>
        <w:rPr>
          <w:rFonts w:hint="eastAsia"/>
          <w:lang w:val="en-US" w:eastAsia="zh-CN"/>
        </w:rPr>
        <w:t>9</w:t>
      </w:r>
      <w:r>
        <w:rPr>
          <w:rFonts w:hint="eastAsia"/>
        </w:rPr>
        <w:t xml:space="preserve"> 环境保护措施及其可行性论证</w:t>
      </w:r>
      <w:r>
        <w:tab/>
      </w:r>
      <w:r>
        <w:fldChar w:fldCharType="begin"/>
      </w:r>
      <w:r>
        <w:instrText xml:space="preserve"> PAGEREF _Toc6839 \h </w:instrText>
      </w:r>
      <w:r>
        <w:fldChar w:fldCharType="separate"/>
      </w:r>
      <w:r>
        <w:t>319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_Toc4703 </w:instrText>
      </w:r>
      <w:r>
        <w:rPr>
          <w:rFonts w:hint="eastAsia"/>
        </w:rPr>
        <w:fldChar w:fldCharType="separate"/>
      </w:r>
      <w:r>
        <w:rPr>
          <w:rFonts w:hint="eastAsia"/>
          <w:lang w:val="en-US" w:eastAsia="zh-CN"/>
        </w:rPr>
        <w:t>9</w:t>
      </w:r>
      <w:r>
        <w:rPr>
          <w:rFonts w:hint="eastAsia"/>
        </w:rPr>
        <w:t>.1施工期间污染物控制</w:t>
      </w:r>
      <w:r>
        <w:tab/>
      </w:r>
      <w:r>
        <w:fldChar w:fldCharType="begin"/>
      </w:r>
      <w:r>
        <w:instrText xml:space="preserve"> PAGEREF _Toc4703 \h </w:instrText>
      </w:r>
      <w:r>
        <w:fldChar w:fldCharType="separate"/>
      </w:r>
      <w:r>
        <w:t>319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_Toc10461 </w:instrText>
      </w:r>
      <w:r>
        <w:rPr>
          <w:rFonts w:hint="eastAsia"/>
        </w:rPr>
        <w:fldChar w:fldCharType="separate"/>
      </w:r>
      <w:r>
        <w:rPr>
          <w:rFonts w:hint="eastAsia"/>
          <w:lang w:val="en-US" w:eastAsia="zh-CN"/>
        </w:rPr>
        <w:t>9</w:t>
      </w:r>
      <w:r>
        <w:rPr>
          <w:rFonts w:hint="eastAsia"/>
        </w:rPr>
        <w:t>.2运营期污染物治理措施</w:t>
      </w:r>
      <w:r>
        <w:tab/>
      </w:r>
      <w:r>
        <w:fldChar w:fldCharType="begin"/>
      </w:r>
      <w:r>
        <w:instrText xml:space="preserve"> PAGEREF _Toc10461 \h </w:instrText>
      </w:r>
      <w:r>
        <w:fldChar w:fldCharType="separate"/>
      </w:r>
      <w:r>
        <w:t>321</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_Toc13621 </w:instrText>
      </w:r>
      <w:r>
        <w:rPr>
          <w:rFonts w:hint="eastAsia"/>
        </w:rPr>
        <w:fldChar w:fldCharType="separate"/>
      </w:r>
      <w:r>
        <w:rPr>
          <w:rFonts w:hint="eastAsia"/>
          <w:lang w:val="en-US" w:eastAsia="zh-CN"/>
        </w:rPr>
        <w:t>9</w:t>
      </w:r>
      <w:r>
        <w:rPr>
          <w:rFonts w:hint="eastAsia"/>
        </w:rPr>
        <w:t>.3污染防治措施汇总表</w:t>
      </w:r>
      <w:r>
        <w:tab/>
      </w:r>
      <w:r>
        <w:fldChar w:fldCharType="begin"/>
      </w:r>
      <w:r>
        <w:instrText xml:space="preserve"> PAGEREF _Toc13621 \h </w:instrText>
      </w:r>
      <w:r>
        <w:fldChar w:fldCharType="separate"/>
      </w:r>
      <w:r>
        <w:t>333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_Toc2083 </w:instrText>
      </w:r>
      <w:r>
        <w:rPr>
          <w:rFonts w:hint="eastAsia"/>
        </w:rPr>
        <w:fldChar w:fldCharType="separate"/>
      </w:r>
      <w:r>
        <w:rPr>
          <w:rFonts w:hint="eastAsia"/>
          <w:lang w:val="en-US" w:eastAsia="zh-CN"/>
        </w:rPr>
        <w:t>9</w:t>
      </w:r>
      <w:r>
        <w:rPr>
          <w:rFonts w:hint="eastAsia"/>
        </w:rPr>
        <w:t>.4总量控制建议</w:t>
      </w:r>
      <w:r>
        <w:tab/>
      </w:r>
      <w:r>
        <w:fldChar w:fldCharType="begin"/>
      </w:r>
      <w:r>
        <w:instrText xml:space="preserve"> PAGEREF _Toc2083 \h </w:instrText>
      </w:r>
      <w:r>
        <w:fldChar w:fldCharType="separate"/>
      </w:r>
      <w:r>
        <w:t>337</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_Toc12582 </w:instrText>
      </w:r>
      <w:r>
        <w:rPr>
          <w:rFonts w:hint="eastAsia"/>
        </w:rPr>
        <w:fldChar w:fldCharType="separate"/>
      </w:r>
      <w:r>
        <w:rPr>
          <w:rFonts w:hint="eastAsia"/>
          <w:lang w:val="en-US" w:eastAsia="zh-CN"/>
        </w:rPr>
        <w:t>10</w:t>
      </w:r>
      <w:r>
        <w:rPr>
          <w:rFonts w:hint="eastAsia"/>
        </w:rPr>
        <w:t xml:space="preserve"> 环境影响经济损益分析</w:t>
      </w:r>
      <w:r>
        <w:tab/>
      </w:r>
      <w:r>
        <w:fldChar w:fldCharType="begin"/>
      </w:r>
      <w:r>
        <w:instrText xml:space="preserve"> PAGEREF _Toc12582 \h </w:instrText>
      </w:r>
      <w:r>
        <w:fldChar w:fldCharType="separate"/>
      </w:r>
      <w:r>
        <w:t>339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_Toc29609 </w:instrText>
      </w:r>
      <w:r>
        <w:rPr>
          <w:rFonts w:hint="eastAsia"/>
        </w:rPr>
        <w:fldChar w:fldCharType="separate"/>
      </w:r>
      <w:r>
        <w:rPr>
          <w:rFonts w:hint="eastAsia"/>
          <w:lang w:val="en-US" w:eastAsia="zh-CN"/>
        </w:rPr>
        <w:t>10</w:t>
      </w:r>
      <w:r>
        <w:rPr>
          <w:rFonts w:hint="eastAsia"/>
        </w:rPr>
        <w:t>.1社会经济效益分析</w:t>
      </w:r>
      <w:r>
        <w:tab/>
      </w:r>
      <w:r>
        <w:fldChar w:fldCharType="begin"/>
      </w:r>
      <w:r>
        <w:instrText xml:space="preserve"> PAGEREF _Toc29609 \h </w:instrText>
      </w:r>
      <w:r>
        <w:fldChar w:fldCharType="separate"/>
      </w:r>
      <w:r>
        <w:t>339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_Toc19116 </w:instrText>
      </w:r>
      <w:r>
        <w:rPr>
          <w:rFonts w:hint="eastAsia"/>
        </w:rPr>
        <w:fldChar w:fldCharType="separate"/>
      </w:r>
      <w:r>
        <w:rPr>
          <w:rFonts w:hint="eastAsia"/>
          <w:lang w:val="en-US" w:eastAsia="zh-CN"/>
        </w:rPr>
        <w:t>10</w:t>
      </w:r>
      <w:r>
        <w:rPr>
          <w:rFonts w:hint="eastAsia"/>
        </w:rPr>
        <w:t>.2环保设施项目组成及投资分析</w:t>
      </w:r>
      <w:r>
        <w:tab/>
      </w:r>
      <w:r>
        <w:fldChar w:fldCharType="begin"/>
      </w:r>
      <w:r>
        <w:instrText xml:space="preserve"> PAGEREF _Toc19116 \h </w:instrText>
      </w:r>
      <w:r>
        <w:fldChar w:fldCharType="separate"/>
      </w:r>
      <w:r>
        <w:t>339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_Toc9328 </w:instrText>
      </w:r>
      <w:r>
        <w:rPr>
          <w:rFonts w:hint="eastAsia"/>
        </w:rPr>
        <w:fldChar w:fldCharType="separate"/>
      </w:r>
      <w:r>
        <w:rPr>
          <w:rFonts w:hint="eastAsia"/>
          <w:lang w:val="en-US" w:eastAsia="zh-CN"/>
        </w:rPr>
        <w:t>10</w:t>
      </w:r>
      <w:r>
        <w:rPr>
          <w:rFonts w:hint="eastAsia"/>
        </w:rPr>
        <w:t>.3环保设施投资的经济损益及环境效益分析</w:t>
      </w:r>
      <w:r>
        <w:tab/>
      </w:r>
      <w:r>
        <w:fldChar w:fldCharType="begin"/>
      </w:r>
      <w:r>
        <w:instrText xml:space="preserve"> PAGEREF _Toc9328 \h </w:instrText>
      </w:r>
      <w:r>
        <w:fldChar w:fldCharType="separate"/>
      </w:r>
      <w:r>
        <w:t>341</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_Toc2925 </w:instrText>
      </w:r>
      <w:r>
        <w:rPr>
          <w:rFonts w:hint="eastAsia"/>
        </w:rPr>
        <w:fldChar w:fldCharType="separate"/>
      </w:r>
      <w:r>
        <w:rPr>
          <w:rFonts w:hint="eastAsia"/>
        </w:rPr>
        <w:t>1</w:t>
      </w:r>
      <w:r>
        <w:rPr>
          <w:rFonts w:hint="eastAsia"/>
          <w:lang w:val="en-US" w:eastAsia="zh-CN"/>
        </w:rPr>
        <w:t>1</w:t>
      </w:r>
      <w:r>
        <w:rPr>
          <w:rFonts w:hint="eastAsia"/>
        </w:rPr>
        <w:t xml:space="preserve"> 环境管理及监测计划</w:t>
      </w:r>
      <w:r>
        <w:tab/>
      </w:r>
      <w:r>
        <w:fldChar w:fldCharType="begin"/>
      </w:r>
      <w:r>
        <w:instrText xml:space="preserve"> PAGEREF _Toc2925 \h </w:instrText>
      </w:r>
      <w:r>
        <w:fldChar w:fldCharType="separate"/>
      </w:r>
      <w:r>
        <w:t>342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_Toc1927 </w:instrText>
      </w:r>
      <w:r>
        <w:rPr>
          <w:rFonts w:hint="eastAsia"/>
        </w:rPr>
        <w:fldChar w:fldCharType="separate"/>
      </w:r>
      <w:r>
        <w:rPr>
          <w:rFonts w:hint="eastAsia"/>
        </w:rPr>
        <w:t>1</w:t>
      </w:r>
      <w:r>
        <w:rPr>
          <w:rFonts w:hint="eastAsia"/>
          <w:lang w:val="en-US" w:eastAsia="zh-CN"/>
        </w:rPr>
        <w:t>1</w:t>
      </w:r>
      <w:r>
        <w:rPr>
          <w:rFonts w:hint="eastAsia"/>
        </w:rPr>
        <w:t>.1环境管理的目的及意义</w:t>
      </w:r>
      <w:r>
        <w:tab/>
      </w:r>
      <w:r>
        <w:fldChar w:fldCharType="begin"/>
      </w:r>
      <w:r>
        <w:instrText xml:space="preserve"> PAGEREF _Toc1927 \h </w:instrText>
      </w:r>
      <w:r>
        <w:fldChar w:fldCharType="separate"/>
      </w:r>
      <w:r>
        <w:t>342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_Toc5689 </w:instrText>
      </w:r>
      <w:r>
        <w:rPr>
          <w:rFonts w:hint="eastAsia"/>
        </w:rPr>
        <w:fldChar w:fldCharType="separate"/>
      </w:r>
      <w:r>
        <w:rPr>
          <w:rFonts w:hint="eastAsia"/>
        </w:rPr>
        <w:t>1</w:t>
      </w:r>
      <w:r>
        <w:rPr>
          <w:rFonts w:hint="eastAsia"/>
          <w:lang w:val="en-US" w:eastAsia="zh-CN"/>
        </w:rPr>
        <w:t>1</w:t>
      </w:r>
      <w:r>
        <w:rPr>
          <w:rFonts w:hint="eastAsia"/>
        </w:rPr>
        <w:t>.2环境管理基本原则</w:t>
      </w:r>
      <w:r>
        <w:tab/>
      </w:r>
      <w:r>
        <w:fldChar w:fldCharType="begin"/>
      </w:r>
      <w:r>
        <w:instrText xml:space="preserve"> PAGEREF _Toc5689 \h </w:instrText>
      </w:r>
      <w:r>
        <w:fldChar w:fldCharType="separate"/>
      </w:r>
      <w:r>
        <w:t>342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_Toc24209 </w:instrText>
      </w:r>
      <w:r>
        <w:rPr>
          <w:rFonts w:hint="eastAsia"/>
        </w:rPr>
        <w:fldChar w:fldCharType="separate"/>
      </w:r>
      <w:r>
        <w:rPr>
          <w:rFonts w:hint="eastAsia"/>
        </w:rPr>
        <w:t>1</w:t>
      </w:r>
      <w:r>
        <w:rPr>
          <w:rFonts w:hint="eastAsia"/>
          <w:lang w:val="en-US" w:eastAsia="zh-CN"/>
        </w:rPr>
        <w:t>1</w:t>
      </w:r>
      <w:r>
        <w:rPr>
          <w:rFonts w:hint="eastAsia"/>
        </w:rPr>
        <w:t>.3环境管理机构的设置与职责</w:t>
      </w:r>
      <w:r>
        <w:tab/>
      </w:r>
      <w:r>
        <w:fldChar w:fldCharType="begin"/>
      </w:r>
      <w:r>
        <w:instrText xml:space="preserve"> PAGEREF _Toc24209 \h </w:instrText>
      </w:r>
      <w:r>
        <w:fldChar w:fldCharType="separate"/>
      </w:r>
      <w:r>
        <w:t>342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_Toc28655 </w:instrText>
      </w:r>
      <w:r>
        <w:rPr>
          <w:rFonts w:hint="eastAsia"/>
        </w:rPr>
        <w:fldChar w:fldCharType="separate"/>
      </w:r>
      <w:r>
        <w:rPr>
          <w:rFonts w:hint="eastAsia"/>
        </w:rPr>
        <w:t>1</w:t>
      </w:r>
      <w:r>
        <w:rPr>
          <w:rFonts w:hint="eastAsia"/>
          <w:lang w:val="en-US" w:eastAsia="zh-CN"/>
        </w:rPr>
        <w:t>1</w:t>
      </w:r>
      <w:r>
        <w:rPr>
          <w:rFonts w:hint="eastAsia"/>
        </w:rPr>
        <w:t>.4施工期环境监理</w:t>
      </w:r>
      <w:r>
        <w:tab/>
      </w:r>
      <w:r>
        <w:fldChar w:fldCharType="begin"/>
      </w:r>
      <w:r>
        <w:instrText xml:space="preserve"> PAGEREF _Toc28655 \h </w:instrText>
      </w:r>
      <w:r>
        <w:fldChar w:fldCharType="separate"/>
      </w:r>
      <w:r>
        <w:t>345</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_Toc26006 </w:instrText>
      </w:r>
      <w:r>
        <w:rPr>
          <w:rFonts w:hint="eastAsia"/>
        </w:rPr>
        <w:fldChar w:fldCharType="separate"/>
      </w:r>
      <w:r>
        <w:rPr>
          <w:rFonts w:hint="eastAsia"/>
        </w:rPr>
        <w:t>1</w:t>
      </w:r>
      <w:r>
        <w:rPr>
          <w:rFonts w:hint="eastAsia"/>
          <w:lang w:val="en-US" w:eastAsia="zh-CN"/>
        </w:rPr>
        <w:t>1</w:t>
      </w:r>
      <w:r>
        <w:rPr>
          <w:rFonts w:hint="eastAsia"/>
        </w:rPr>
        <w:t>.5环境监测计划</w:t>
      </w:r>
      <w:r>
        <w:tab/>
      </w:r>
      <w:r>
        <w:fldChar w:fldCharType="begin"/>
      </w:r>
      <w:r>
        <w:instrText xml:space="preserve"> PAGEREF _Toc26006 \h </w:instrText>
      </w:r>
      <w:r>
        <w:fldChar w:fldCharType="separate"/>
      </w:r>
      <w:r>
        <w:t>346</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_Toc3218 </w:instrText>
      </w:r>
      <w:r>
        <w:rPr>
          <w:rFonts w:hint="eastAsia"/>
        </w:rPr>
        <w:fldChar w:fldCharType="separate"/>
      </w:r>
      <w:r>
        <w:rPr>
          <w:rFonts w:hint="eastAsia"/>
        </w:rPr>
        <w:t>1</w:t>
      </w:r>
      <w:r>
        <w:rPr>
          <w:rFonts w:hint="eastAsia"/>
          <w:lang w:val="en-US" w:eastAsia="zh-CN"/>
        </w:rPr>
        <w:t>1</w:t>
      </w:r>
      <w:r>
        <w:rPr>
          <w:rFonts w:hint="eastAsia"/>
        </w:rPr>
        <w:t>.6监测技术文件管理</w:t>
      </w:r>
      <w:r>
        <w:tab/>
      </w:r>
      <w:r>
        <w:fldChar w:fldCharType="begin"/>
      </w:r>
      <w:r>
        <w:instrText xml:space="preserve"> PAGEREF _Toc3218 \h </w:instrText>
      </w:r>
      <w:r>
        <w:fldChar w:fldCharType="separate"/>
      </w:r>
      <w:r>
        <w:t>349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_Toc12346 </w:instrText>
      </w:r>
      <w:r>
        <w:rPr>
          <w:rFonts w:hint="eastAsia"/>
        </w:rPr>
        <w:fldChar w:fldCharType="separate"/>
      </w:r>
      <w:r>
        <w:rPr>
          <w:rFonts w:hint="eastAsia"/>
        </w:rPr>
        <w:t>1</w:t>
      </w:r>
      <w:r>
        <w:rPr>
          <w:rFonts w:hint="eastAsia"/>
          <w:lang w:val="en-US" w:eastAsia="zh-CN"/>
        </w:rPr>
        <w:t>1</w:t>
      </w:r>
      <w:r>
        <w:rPr>
          <w:rFonts w:hint="eastAsia"/>
        </w:rPr>
        <w:t>.7排污口设置及规范管理</w:t>
      </w:r>
      <w:r>
        <w:tab/>
      </w:r>
      <w:r>
        <w:fldChar w:fldCharType="begin"/>
      </w:r>
      <w:r>
        <w:instrText xml:space="preserve"> PAGEREF _Toc12346 \h </w:instrText>
      </w:r>
      <w:r>
        <w:fldChar w:fldCharType="separate"/>
      </w:r>
      <w:r>
        <w:t>349</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_Toc10780 </w:instrText>
      </w:r>
      <w:r>
        <w:rPr>
          <w:rFonts w:hint="eastAsia"/>
        </w:rPr>
        <w:fldChar w:fldCharType="separate"/>
      </w:r>
      <w:r>
        <w:rPr>
          <w:rFonts w:hint="eastAsia"/>
        </w:rPr>
        <w:t>1</w:t>
      </w:r>
      <w:r>
        <w:rPr>
          <w:rFonts w:hint="eastAsia"/>
          <w:lang w:val="en-US" w:eastAsia="zh-CN"/>
        </w:rPr>
        <w:t>1</w:t>
      </w:r>
      <w:r>
        <w:rPr>
          <w:rFonts w:hint="eastAsia"/>
        </w:rPr>
        <w:t>.8排污口立标和建档</w:t>
      </w:r>
      <w:r>
        <w:tab/>
      </w:r>
      <w:r>
        <w:fldChar w:fldCharType="begin"/>
      </w:r>
      <w:r>
        <w:instrText xml:space="preserve"> PAGEREF _Toc10780 \h </w:instrText>
      </w:r>
      <w:r>
        <w:fldChar w:fldCharType="separate"/>
      </w:r>
      <w:r>
        <w:t>350</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_Toc16849 </w:instrText>
      </w:r>
      <w:r>
        <w:rPr>
          <w:rFonts w:hint="eastAsia"/>
        </w:rPr>
        <w:fldChar w:fldCharType="separate"/>
      </w:r>
      <w:r>
        <w:rPr>
          <w:rFonts w:hint="eastAsia"/>
        </w:rPr>
        <w:t>1</w:t>
      </w:r>
      <w:r>
        <w:rPr>
          <w:rFonts w:hint="eastAsia"/>
          <w:lang w:val="en-US" w:eastAsia="zh-CN"/>
        </w:rPr>
        <w:t>1</w:t>
      </w:r>
      <w:r>
        <w:rPr>
          <w:rFonts w:hint="eastAsia"/>
        </w:rPr>
        <w:t>.9污染物排放清单</w:t>
      </w:r>
      <w:r>
        <w:tab/>
      </w:r>
      <w:r>
        <w:fldChar w:fldCharType="begin"/>
      </w:r>
      <w:r>
        <w:instrText xml:space="preserve"> PAGEREF _Toc16849 \h </w:instrText>
      </w:r>
      <w:r>
        <w:fldChar w:fldCharType="separate"/>
      </w:r>
      <w:r>
        <w:t>352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_Toc3793 </w:instrText>
      </w:r>
      <w:r>
        <w:rPr>
          <w:rFonts w:hint="eastAsia"/>
        </w:rPr>
        <w:fldChar w:fldCharType="separate"/>
      </w:r>
      <w:r>
        <w:rPr>
          <w:rFonts w:hint="eastAsia"/>
        </w:rPr>
        <w:t>1</w:t>
      </w:r>
      <w:r>
        <w:rPr>
          <w:rFonts w:hint="eastAsia"/>
          <w:lang w:val="en-US" w:eastAsia="zh-CN"/>
        </w:rPr>
        <w:t>1</w:t>
      </w:r>
      <w:r>
        <w:rPr>
          <w:rFonts w:hint="eastAsia"/>
        </w:rPr>
        <w:t>.</w:t>
      </w:r>
      <w:r>
        <w:rPr>
          <w:rFonts w:hint="eastAsia"/>
          <w:lang w:val="en-US" w:eastAsia="zh-CN"/>
        </w:rPr>
        <w:t>10</w:t>
      </w:r>
      <w:r>
        <w:rPr>
          <w:rFonts w:hint="eastAsia"/>
        </w:rPr>
        <w:t>竣工验收</w:t>
      </w:r>
      <w:r>
        <w:tab/>
      </w:r>
      <w:r>
        <w:fldChar w:fldCharType="begin"/>
      </w:r>
      <w:r>
        <w:instrText xml:space="preserve"> PAGEREF _Toc3793 \h </w:instrText>
      </w:r>
      <w:r>
        <w:fldChar w:fldCharType="separate"/>
      </w:r>
      <w:r>
        <w:t>358</w:t>
      </w:r>
      <w:r>
        <w:fldChar w:fldCharType="end"/>
      </w:r>
      <w:r>
        <w:rPr>
          <w:rFonts w:hint="eastAsia"/>
        </w:rPr>
        <w:fldChar w:fldCharType="end"/>
      </w:r>
    </w:p>
    <w:p>
      <w:pPr>
        <w:pStyle w:val="21"/>
        <w:tabs>
          <w:tab w:val="right" w:leader="dot" w:pos="8306"/>
        </w:tabs>
      </w:pPr>
      <w:r>
        <w:rPr>
          <w:rFonts w:hint="eastAsia"/>
        </w:rPr>
        <w:fldChar w:fldCharType="begin"/>
      </w:r>
      <w:r>
        <w:rPr>
          <w:rFonts w:hint="eastAsia"/>
        </w:rPr>
        <w:instrText xml:space="preserve"> HYPERLINK \l _Toc16104 </w:instrText>
      </w:r>
      <w:r>
        <w:rPr>
          <w:rFonts w:hint="eastAsia"/>
        </w:rPr>
        <w:fldChar w:fldCharType="separate"/>
      </w:r>
      <w:r>
        <w:rPr>
          <w:rFonts w:hint="eastAsia"/>
        </w:rPr>
        <w:t>1</w:t>
      </w:r>
      <w:r>
        <w:rPr>
          <w:rFonts w:hint="eastAsia"/>
          <w:lang w:val="en-US" w:eastAsia="zh-CN"/>
        </w:rPr>
        <w:t>2</w:t>
      </w:r>
      <w:r>
        <w:rPr>
          <w:rFonts w:hint="eastAsia"/>
        </w:rPr>
        <w:t xml:space="preserve"> 环境影响评价结论</w:t>
      </w:r>
      <w:r>
        <w:tab/>
      </w:r>
      <w:r>
        <w:fldChar w:fldCharType="begin"/>
      </w:r>
      <w:r>
        <w:instrText xml:space="preserve"> PAGEREF _Toc16104 \h </w:instrText>
      </w:r>
      <w:r>
        <w:fldChar w:fldCharType="separate"/>
      </w:r>
      <w:r>
        <w:t>362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_Toc12050 </w:instrText>
      </w:r>
      <w:r>
        <w:rPr>
          <w:rFonts w:hint="eastAsia"/>
        </w:rPr>
        <w:fldChar w:fldCharType="separate"/>
      </w:r>
      <w:r>
        <w:rPr>
          <w:rFonts w:hint="eastAsia"/>
        </w:rPr>
        <w:t>1</w:t>
      </w:r>
      <w:r>
        <w:rPr>
          <w:rFonts w:hint="eastAsia"/>
          <w:lang w:val="en-US" w:eastAsia="zh-CN"/>
        </w:rPr>
        <w:t>2</w:t>
      </w:r>
      <w:r>
        <w:rPr>
          <w:rFonts w:hint="eastAsia"/>
        </w:rPr>
        <w:t>.1项目基本情况</w:t>
      </w:r>
      <w:r>
        <w:tab/>
      </w:r>
      <w:r>
        <w:fldChar w:fldCharType="begin"/>
      </w:r>
      <w:r>
        <w:instrText xml:space="preserve"> PAGEREF _Toc12050 \h </w:instrText>
      </w:r>
      <w:r>
        <w:fldChar w:fldCharType="separate"/>
      </w:r>
      <w:r>
        <w:t>362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_Toc19511 </w:instrText>
      </w:r>
      <w:r>
        <w:rPr>
          <w:rFonts w:hint="eastAsia"/>
        </w:rPr>
        <w:fldChar w:fldCharType="separate"/>
      </w:r>
      <w:r>
        <w:rPr>
          <w:rFonts w:hint="eastAsia"/>
        </w:rPr>
        <w:t>1</w:t>
      </w:r>
      <w:r>
        <w:rPr>
          <w:rFonts w:hint="eastAsia"/>
          <w:lang w:val="en-US" w:eastAsia="zh-CN"/>
        </w:rPr>
        <w:t>2</w:t>
      </w:r>
      <w:r>
        <w:rPr>
          <w:rFonts w:hint="eastAsia"/>
        </w:rPr>
        <w:t>.2产业政策符合性</w:t>
      </w:r>
      <w:r>
        <w:tab/>
      </w:r>
      <w:r>
        <w:fldChar w:fldCharType="begin"/>
      </w:r>
      <w:r>
        <w:instrText xml:space="preserve"> PAGEREF _Toc19511 \h </w:instrText>
      </w:r>
      <w:r>
        <w:fldChar w:fldCharType="separate"/>
      </w:r>
      <w:r>
        <w:t>362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_Toc7951 </w:instrText>
      </w:r>
      <w:r>
        <w:rPr>
          <w:rFonts w:hint="eastAsia"/>
        </w:rPr>
        <w:fldChar w:fldCharType="separate"/>
      </w:r>
      <w:r>
        <w:rPr>
          <w:rFonts w:hint="eastAsia"/>
        </w:rPr>
        <w:t>1</w:t>
      </w:r>
      <w:r>
        <w:rPr>
          <w:rFonts w:hint="eastAsia"/>
          <w:lang w:val="en-US" w:eastAsia="zh-CN"/>
        </w:rPr>
        <w:t>2</w:t>
      </w:r>
      <w:r>
        <w:rPr>
          <w:rFonts w:hint="eastAsia"/>
        </w:rPr>
        <w:t>.3工业园区规划</w:t>
      </w:r>
      <w:r>
        <w:tab/>
      </w:r>
      <w:r>
        <w:fldChar w:fldCharType="begin"/>
      </w:r>
      <w:r>
        <w:instrText xml:space="preserve"> PAGEREF _Toc7951 \h </w:instrText>
      </w:r>
      <w:r>
        <w:fldChar w:fldCharType="separate"/>
      </w:r>
      <w:r>
        <w:t>362</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_Toc3617 </w:instrText>
      </w:r>
      <w:r>
        <w:rPr>
          <w:rFonts w:hint="eastAsia"/>
        </w:rPr>
        <w:fldChar w:fldCharType="separate"/>
      </w:r>
      <w:r>
        <w:rPr>
          <w:rFonts w:hint="eastAsia"/>
        </w:rPr>
        <w:t>1</w:t>
      </w:r>
      <w:r>
        <w:rPr>
          <w:rFonts w:hint="eastAsia"/>
          <w:lang w:val="en-US" w:eastAsia="zh-CN"/>
        </w:rPr>
        <w:t>2</w:t>
      </w:r>
      <w:r>
        <w:rPr>
          <w:rFonts w:hint="eastAsia"/>
        </w:rPr>
        <w:t>.</w:t>
      </w:r>
      <w:r>
        <w:rPr>
          <w:rFonts w:hint="eastAsia"/>
          <w:lang w:val="en-US" w:eastAsia="zh-CN"/>
        </w:rPr>
        <w:t>4</w:t>
      </w:r>
      <w:r>
        <w:rPr>
          <w:rFonts w:hint="eastAsia"/>
        </w:rPr>
        <w:t>环境质量现状</w:t>
      </w:r>
      <w:r>
        <w:tab/>
      </w:r>
      <w:r>
        <w:fldChar w:fldCharType="begin"/>
      </w:r>
      <w:r>
        <w:instrText xml:space="preserve"> PAGEREF _Toc3617 \h </w:instrText>
      </w:r>
      <w:r>
        <w:fldChar w:fldCharType="separate"/>
      </w:r>
      <w:r>
        <w:t>363</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_Toc5833 </w:instrText>
      </w:r>
      <w:r>
        <w:rPr>
          <w:rFonts w:hint="eastAsia"/>
        </w:rPr>
        <w:fldChar w:fldCharType="separate"/>
      </w:r>
      <w:r>
        <w:rPr>
          <w:rFonts w:hint="eastAsia"/>
        </w:rPr>
        <w:t>1</w:t>
      </w:r>
      <w:r>
        <w:rPr>
          <w:rFonts w:hint="eastAsia"/>
          <w:lang w:val="en-US" w:eastAsia="zh-CN"/>
        </w:rPr>
        <w:t>2</w:t>
      </w:r>
      <w:r>
        <w:rPr>
          <w:rFonts w:hint="eastAsia"/>
        </w:rPr>
        <w:t>.</w:t>
      </w:r>
      <w:r>
        <w:rPr>
          <w:rFonts w:hint="eastAsia"/>
          <w:lang w:val="en-US" w:eastAsia="zh-CN"/>
        </w:rPr>
        <w:t>5</w:t>
      </w:r>
      <w:r>
        <w:rPr>
          <w:rFonts w:hint="eastAsia"/>
        </w:rPr>
        <w:t>环境影响分析结论</w:t>
      </w:r>
      <w:r>
        <w:tab/>
      </w:r>
      <w:r>
        <w:fldChar w:fldCharType="begin"/>
      </w:r>
      <w:r>
        <w:instrText xml:space="preserve"> PAGEREF _Toc5833 \h </w:instrText>
      </w:r>
      <w:r>
        <w:fldChar w:fldCharType="separate"/>
      </w:r>
      <w:r>
        <w:t>364</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_Toc5417 </w:instrText>
      </w:r>
      <w:r>
        <w:rPr>
          <w:rFonts w:hint="eastAsia"/>
        </w:rPr>
        <w:fldChar w:fldCharType="separate"/>
      </w:r>
      <w:r>
        <w:rPr>
          <w:rFonts w:hint="eastAsia"/>
          <w:lang w:val="en-US" w:eastAsia="zh-CN"/>
        </w:rPr>
        <w:t>12.6</w:t>
      </w:r>
      <w:r>
        <w:rPr>
          <w:rFonts w:hint="eastAsia"/>
        </w:rPr>
        <w:t>碳排放评价结论</w:t>
      </w:r>
      <w:r>
        <w:tab/>
      </w:r>
      <w:r>
        <w:fldChar w:fldCharType="begin"/>
      </w:r>
      <w:r>
        <w:instrText xml:space="preserve"> PAGEREF _Toc5417 \h </w:instrText>
      </w:r>
      <w:r>
        <w:fldChar w:fldCharType="separate"/>
      </w:r>
      <w:r>
        <w:t>368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_Toc17205 </w:instrText>
      </w:r>
      <w:r>
        <w:rPr>
          <w:rFonts w:hint="eastAsia"/>
        </w:rPr>
        <w:fldChar w:fldCharType="separate"/>
      </w:r>
      <w:r>
        <w:rPr>
          <w:rFonts w:hint="eastAsia"/>
        </w:rPr>
        <w:t>1</w:t>
      </w:r>
      <w:r>
        <w:rPr>
          <w:rFonts w:hint="eastAsia"/>
          <w:lang w:val="en-US" w:eastAsia="zh-CN"/>
        </w:rPr>
        <w:t>2</w:t>
      </w:r>
      <w:r>
        <w:rPr>
          <w:rFonts w:hint="eastAsia"/>
        </w:rPr>
        <w:t>.</w:t>
      </w:r>
      <w:r>
        <w:rPr>
          <w:rFonts w:hint="eastAsia"/>
          <w:lang w:val="en-US" w:eastAsia="zh-CN"/>
        </w:rPr>
        <w:t>7</w:t>
      </w:r>
      <w:r>
        <w:rPr>
          <w:rFonts w:hint="eastAsia"/>
        </w:rPr>
        <w:t>公众意见采纳情况</w:t>
      </w:r>
      <w:r>
        <w:tab/>
      </w:r>
      <w:r>
        <w:fldChar w:fldCharType="begin"/>
      </w:r>
      <w:r>
        <w:instrText xml:space="preserve"> PAGEREF _Toc17205 \h </w:instrText>
      </w:r>
      <w:r>
        <w:fldChar w:fldCharType="separate"/>
      </w:r>
      <w:r>
        <w:t>368</w:t>
      </w:r>
      <w:r>
        <w:fldChar w:fldCharType="end"/>
      </w:r>
      <w:r>
        <w:rPr>
          <w:rFonts w:hint="eastAsia"/>
        </w:rPr>
        <w:fldChar w:fldCharType="end"/>
      </w:r>
    </w:p>
    <w:p>
      <w:pPr>
        <w:pStyle w:val="23"/>
        <w:tabs>
          <w:tab w:val="right" w:leader="dot" w:pos="8306"/>
        </w:tabs>
      </w:pPr>
      <w:r>
        <w:rPr>
          <w:rFonts w:hint="eastAsia"/>
        </w:rPr>
        <w:fldChar w:fldCharType="begin"/>
      </w:r>
      <w:r>
        <w:rPr>
          <w:rFonts w:hint="eastAsia"/>
        </w:rPr>
        <w:instrText xml:space="preserve"> HYPERLINK \l _Toc9981 </w:instrText>
      </w:r>
      <w:r>
        <w:rPr>
          <w:rFonts w:hint="eastAsia"/>
        </w:rPr>
        <w:fldChar w:fldCharType="separate"/>
      </w:r>
      <w:r>
        <w:rPr>
          <w:rFonts w:hint="eastAsia"/>
        </w:rPr>
        <w:t>1</w:t>
      </w:r>
      <w:r>
        <w:rPr>
          <w:rFonts w:hint="eastAsia"/>
          <w:lang w:val="en-US" w:eastAsia="zh-CN"/>
        </w:rPr>
        <w:t>2</w:t>
      </w:r>
      <w:r>
        <w:rPr>
          <w:rFonts w:hint="eastAsia"/>
        </w:rPr>
        <w:t>.</w:t>
      </w:r>
      <w:r>
        <w:rPr>
          <w:rFonts w:hint="eastAsia"/>
          <w:lang w:val="en-US" w:eastAsia="zh-CN"/>
        </w:rPr>
        <w:t>8</w:t>
      </w:r>
      <w:r>
        <w:rPr>
          <w:rFonts w:hint="eastAsia"/>
        </w:rPr>
        <w:t>结论</w:t>
      </w:r>
      <w:r>
        <w:tab/>
      </w:r>
      <w:r>
        <w:fldChar w:fldCharType="begin"/>
      </w:r>
      <w:r>
        <w:instrText xml:space="preserve"> PAGEREF _Toc9981 \h </w:instrText>
      </w:r>
      <w:r>
        <w:fldChar w:fldCharType="separate"/>
      </w:r>
      <w:r>
        <w:t>368</w:t>
      </w:r>
      <w:r>
        <w:fldChar w:fldCharType="end"/>
      </w:r>
      <w:r>
        <w:rPr>
          <w:rFonts w:hint="eastAsia"/>
        </w:rPr>
        <w:fldChar w:fldCharType="end"/>
      </w:r>
    </w:p>
    <w:p>
      <w:pPr>
        <w:pStyle w:val="7"/>
        <w:ind w:firstLine="0" w:firstLineChars="0"/>
      </w:pPr>
      <w:r>
        <w:rPr>
          <w:rFonts w:hint="eastAsia"/>
        </w:rPr>
        <w:fldChar w:fldCharType="end"/>
      </w:r>
    </w:p>
    <w:p>
      <w:pPr>
        <w:pStyle w:val="7"/>
        <w:ind w:firstLine="0" w:firstLineChars="0"/>
        <w:rPr>
          <w:b/>
          <w:bCs/>
        </w:rPr>
      </w:pPr>
      <w:r>
        <w:rPr>
          <w:rFonts w:hint="eastAsia"/>
          <w:b/>
          <w:bCs/>
        </w:rPr>
        <w:t>附表</w:t>
      </w:r>
    </w:p>
    <w:p>
      <w:pPr>
        <w:pStyle w:val="7"/>
        <w:ind w:firstLine="480"/>
        <w:rPr>
          <w:color w:val="auto"/>
        </w:rPr>
      </w:pPr>
      <w:r>
        <w:rPr>
          <w:rFonts w:hint="eastAsia"/>
          <w:color w:val="auto"/>
        </w:rPr>
        <w:t>附表1 建设项目环评审批基础信息表</w:t>
      </w:r>
    </w:p>
    <w:p>
      <w:pPr>
        <w:pStyle w:val="7"/>
        <w:ind w:firstLine="480"/>
        <w:rPr>
          <w:rFonts w:hint="eastAsia"/>
          <w:color w:val="auto"/>
        </w:rPr>
      </w:pPr>
      <w:r>
        <w:rPr>
          <w:rFonts w:hint="eastAsia"/>
          <w:color w:val="auto"/>
        </w:rPr>
        <w:t>附表2 大气环境影响评价自查表</w:t>
      </w:r>
    </w:p>
    <w:p>
      <w:pPr>
        <w:pStyle w:val="7"/>
        <w:bidi w:val="0"/>
        <w:rPr>
          <w:rFonts w:ascii="宋体" w:hAnsi="宋体" w:eastAsia="宋体" w:cs="宋体"/>
          <w:color w:val="auto"/>
          <w:sz w:val="24"/>
          <w:szCs w:val="24"/>
        </w:rPr>
      </w:pPr>
      <w:r>
        <w:rPr>
          <w:rFonts w:hint="eastAsia"/>
          <w:color w:val="auto"/>
          <w:lang w:val="en-US" w:eastAsia="zh-CN"/>
        </w:rPr>
        <w:t xml:space="preserve">附表3 </w:t>
      </w:r>
      <w:r>
        <w:rPr>
          <w:rFonts w:ascii="宋体" w:hAnsi="宋体" w:eastAsia="宋体" w:cs="宋体"/>
          <w:b w:val="0"/>
          <w:bCs w:val="0"/>
          <w:i w:val="0"/>
          <w:iCs w:val="0"/>
          <w:color w:val="auto"/>
          <w:sz w:val="24"/>
          <w:szCs w:val="24"/>
        </w:rPr>
        <w:t>地表水环境影响评价自查表</w:t>
      </w:r>
      <w:r>
        <w:rPr>
          <w:rFonts w:ascii="宋体" w:hAnsi="宋体" w:eastAsia="宋体" w:cs="宋体"/>
          <w:color w:val="auto"/>
          <w:sz w:val="24"/>
          <w:szCs w:val="24"/>
        </w:rPr>
        <w:t xml:space="preserve"> </w:t>
      </w:r>
    </w:p>
    <w:p>
      <w:pPr>
        <w:pStyle w:val="7"/>
        <w:bidi w:val="0"/>
        <w:rPr>
          <w:rFonts w:hint="default"/>
          <w:color w:val="auto"/>
          <w:lang w:val="en-US" w:eastAsia="zh-CN"/>
        </w:rPr>
      </w:pPr>
      <w:r>
        <w:rPr>
          <w:rFonts w:hint="eastAsia"/>
          <w:color w:val="auto"/>
          <w:lang w:val="en-US" w:eastAsia="zh-CN"/>
        </w:rPr>
        <w:t>附表4 声环境影响评价自查表</w:t>
      </w:r>
    </w:p>
    <w:p>
      <w:pPr>
        <w:pStyle w:val="7"/>
        <w:ind w:firstLine="480"/>
        <w:rPr>
          <w:rFonts w:hint="eastAsia"/>
          <w:color w:val="auto"/>
        </w:rPr>
      </w:pPr>
      <w:r>
        <w:rPr>
          <w:rFonts w:hint="eastAsia"/>
          <w:color w:val="auto"/>
        </w:rPr>
        <w:t>附表</w:t>
      </w:r>
      <w:r>
        <w:rPr>
          <w:rFonts w:hint="eastAsia"/>
          <w:color w:val="auto"/>
          <w:lang w:val="en-US" w:eastAsia="zh-CN"/>
        </w:rPr>
        <w:t>5</w:t>
      </w:r>
      <w:r>
        <w:rPr>
          <w:rFonts w:hint="eastAsia"/>
          <w:color w:val="auto"/>
        </w:rPr>
        <w:t xml:space="preserve"> 土壤环境影响评价自查表</w:t>
      </w:r>
    </w:p>
    <w:p>
      <w:pPr>
        <w:pStyle w:val="7"/>
        <w:ind w:firstLine="480"/>
        <w:rPr>
          <w:rFonts w:hint="eastAsia"/>
          <w:color w:val="auto"/>
        </w:rPr>
      </w:pPr>
      <w:r>
        <w:rPr>
          <w:rFonts w:hint="eastAsia"/>
          <w:color w:val="auto"/>
        </w:rPr>
        <w:t>附表</w:t>
      </w:r>
      <w:r>
        <w:rPr>
          <w:rFonts w:hint="eastAsia"/>
          <w:color w:val="auto"/>
          <w:lang w:val="en-US" w:eastAsia="zh-CN"/>
        </w:rPr>
        <w:t>6</w:t>
      </w:r>
      <w:r>
        <w:rPr>
          <w:rFonts w:hint="eastAsia"/>
          <w:color w:val="auto"/>
        </w:rPr>
        <w:t xml:space="preserve"> 环境风险评价自查表</w:t>
      </w:r>
    </w:p>
    <w:p>
      <w:pPr>
        <w:pStyle w:val="7"/>
        <w:ind w:firstLine="0" w:firstLineChars="0"/>
        <w:rPr>
          <w:b/>
          <w:bCs/>
        </w:rPr>
      </w:pPr>
      <w:r>
        <w:rPr>
          <w:rFonts w:hint="eastAsia"/>
          <w:b/>
          <w:bCs/>
        </w:rPr>
        <w:t>附图</w:t>
      </w:r>
    </w:p>
    <w:p>
      <w:pPr>
        <w:pStyle w:val="7"/>
        <w:ind w:firstLine="480"/>
      </w:pPr>
      <w:r>
        <w:rPr>
          <w:rFonts w:hint="eastAsia"/>
        </w:rPr>
        <w:t>附图1：地理位置图</w:t>
      </w:r>
    </w:p>
    <w:p>
      <w:pPr>
        <w:pStyle w:val="7"/>
        <w:ind w:firstLine="480"/>
      </w:pPr>
      <w:r>
        <w:rPr>
          <w:rFonts w:hint="eastAsia"/>
        </w:rPr>
        <w:t>附图2：评价范围及敏感点位图</w:t>
      </w:r>
    </w:p>
    <w:p>
      <w:pPr>
        <w:pStyle w:val="7"/>
        <w:ind w:firstLine="480"/>
      </w:pPr>
      <w:r>
        <w:rPr>
          <w:rFonts w:hint="eastAsia"/>
        </w:rPr>
        <w:t>附图3：平面布置图</w:t>
      </w:r>
    </w:p>
    <w:p>
      <w:pPr>
        <w:pStyle w:val="7"/>
        <w:ind w:firstLine="480"/>
      </w:pPr>
      <w:r>
        <w:rPr>
          <w:rFonts w:hint="eastAsia"/>
        </w:rPr>
        <w:t>附图4：水系图</w:t>
      </w:r>
    </w:p>
    <w:p>
      <w:pPr>
        <w:pStyle w:val="7"/>
        <w:ind w:firstLine="480"/>
      </w:pPr>
      <w:r>
        <w:rPr>
          <w:rFonts w:hint="eastAsia"/>
        </w:rPr>
        <w:t>附图5：地下水评价范围及水文地质图</w:t>
      </w:r>
    </w:p>
    <w:p>
      <w:pPr>
        <w:pStyle w:val="7"/>
        <w:ind w:firstLine="480"/>
      </w:pPr>
      <w:r>
        <w:rPr>
          <w:rFonts w:hint="eastAsia"/>
        </w:rPr>
        <w:t>附图6：监测点位图</w:t>
      </w:r>
    </w:p>
    <w:p>
      <w:pPr>
        <w:pStyle w:val="7"/>
        <w:ind w:firstLine="480"/>
      </w:pPr>
      <w:r>
        <w:rPr>
          <w:rFonts w:hint="eastAsia"/>
        </w:rPr>
        <w:t>附图7：排水规划图</w:t>
      </w:r>
    </w:p>
    <w:p>
      <w:pPr>
        <w:pStyle w:val="7"/>
        <w:ind w:firstLine="480"/>
      </w:pPr>
      <w:r>
        <w:rPr>
          <w:rFonts w:hint="eastAsia"/>
        </w:rPr>
        <w:t>附件8：产业功能布局图</w:t>
      </w:r>
    </w:p>
    <w:p>
      <w:pPr>
        <w:pStyle w:val="7"/>
        <w:ind w:firstLine="480"/>
      </w:pPr>
      <w:r>
        <w:rPr>
          <w:rFonts w:hint="eastAsia"/>
        </w:rPr>
        <w:t>附件9：用地规划图</w:t>
      </w:r>
    </w:p>
    <w:p>
      <w:pPr>
        <w:pStyle w:val="7"/>
        <w:ind w:firstLine="480"/>
      </w:pPr>
      <w:r>
        <w:rPr>
          <w:rFonts w:hint="eastAsia"/>
        </w:rPr>
        <w:t>附图10：分区防渗图</w:t>
      </w:r>
    </w:p>
    <w:p>
      <w:pPr>
        <w:pStyle w:val="7"/>
        <w:ind w:firstLine="0" w:firstLineChars="0"/>
        <w:rPr>
          <w:b/>
          <w:bCs/>
        </w:rPr>
      </w:pPr>
      <w:r>
        <w:rPr>
          <w:rFonts w:hint="eastAsia"/>
          <w:b/>
          <w:bCs/>
        </w:rPr>
        <w:t>附件</w:t>
      </w:r>
    </w:p>
    <w:p>
      <w:pPr>
        <w:pStyle w:val="7"/>
        <w:ind w:firstLine="480"/>
      </w:pPr>
      <w:r>
        <w:rPr>
          <w:rFonts w:hint="eastAsia"/>
        </w:rPr>
        <w:t>附件1：委托书</w:t>
      </w:r>
    </w:p>
    <w:p>
      <w:pPr>
        <w:pStyle w:val="7"/>
        <w:ind w:firstLine="480"/>
      </w:pPr>
      <w:r>
        <w:rPr>
          <w:rFonts w:hint="eastAsia"/>
        </w:rPr>
        <w:t>附件2：备案证</w:t>
      </w:r>
    </w:p>
    <w:p>
      <w:pPr>
        <w:pStyle w:val="7"/>
        <w:ind w:firstLine="480"/>
      </w:pPr>
      <w:r>
        <w:rPr>
          <w:rFonts w:hint="eastAsia"/>
        </w:rPr>
        <w:t>附件3：厂址租赁协议</w:t>
      </w:r>
    </w:p>
    <w:p>
      <w:pPr>
        <w:pStyle w:val="7"/>
        <w:ind w:firstLine="480"/>
      </w:pPr>
      <w:r>
        <w:rPr>
          <w:rFonts w:hint="eastAsia"/>
        </w:rPr>
        <w:t>附件4：标准确认函</w:t>
      </w:r>
    </w:p>
    <w:p>
      <w:pPr>
        <w:pStyle w:val="7"/>
        <w:ind w:firstLine="480"/>
      </w:pPr>
      <w:r>
        <w:rPr>
          <w:rFonts w:hint="eastAsia"/>
        </w:rPr>
        <w:t>附件5：生态红线查询意见</w:t>
      </w:r>
    </w:p>
    <w:p>
      <w:pPr>
        <w:pStyle w:val="7"/>
        <w:ind w:firstLine="480"/>
      </w:pPr>
      <w:r>
        <w:rPr>
          <w:rFonts w:hint="eastAsia"/>
        </w:rPr>
        <w:t>附件6：排水意见</w:t>
      </w:r>
    </w:p>
    <w:p>
      <w:pPr>
        <w:pStyle w:val="7"/>
        <w:ind w:firstLine="480"/>
      </w:pPr>
      <w:r>
        <w:rPr>
          <w:rFonts w:hint="eastAsia"/>
        </w:rPr>
        <w:t>附件7：项目环境质量现状监测报告</w:t>
      </w:r>
    </w:p>
    <w:p>
      <w:pPr>
        <w:pStyle w:val="7"/>
        <w:ind w:firstLine="480"/>
      </w:pPr>
      <w:r>
        <w:rPr>
          <w:rFonts w:hint="eastAsia"/>
        </w:rPr>
        <w:t>附件8：工业园区规划环评审查意见</w:t>
      </w:r>
    </w:p>
    <w:p>
      <w:pPr>
        <w:pStyle w:val="7"/>
        <w:ind w:firstLine="480"/>
      </w:pPr>
      <w:r>
        <w:rPr>
          <w:rFonts w:hint="eastAsia"/>
        </w:rPr>
        <w:t>附件9：循环冷却水检测报告</w:t>
      </w:r>
    </w:p>
    <w:p>
      <w:pPr>
        <w:pStyle w:val="7"/>
        <w:ind w:firstLine="480"/>
      </w:pPr>
      <w:r>
        <w:rPr>
          <w:rFonts w:hint="eastAsia"/>
        </w:rPr>
        <w:t>附件10：废过滤板的危废鉴别检测报告</w:t>
      </w:r>
    </w:p>
    <w:p>
      <w:pPr>
        <w:pStyle w:val="7"/>
        <w:ind w:firstLine="480"/>
        <w:rPr>
          <w:highlight w:val="none"/>
        </w:rPr>
      </w:pPr>
      <w:r>
        <w:rPr>
          <w:rFonts w:hint="eastAsia"/>
          <w:highlight w:val="none"/>
        </w:rPr>
        <w:t>附件11：砚山县水务局印发《砚山县工业园区周边村寨供水水源替代工作方案》通知</w:t>
      </w:r>
    </w:p>
    <w:p>
      <w:pPr>
        <w:pStyle w:val="7"/>
        <w:ind w:firstLine="480"/>
      </w:pPr>
    </w:p>
    <w:p>
      <w:pPr>
        <w:pStyle w:val="7"/>
        <w:ind w:firstLine="480"/>
        <w:sectPr>
          <w:headerReference r:id="rId4" w:type="default"/>
          <w:footerReference r:id="rId5" w:type="default"/>
          <w:pgSz w:w="11906" w:h="16838"/>
          <w:pgMar w:top="1440" w:right="1800" w:bottom="1440" w:left="1800" w:header="851" w:footer="992" w:gutter="0"/>
          <w:pgNumType w:fmt="upperRoman" w:start="1"/>
          <w:cols w:space="425" w:num="1"/>
          <w:docGrid w:type="lines" w:linePitch="312" w:charSpace="0"/>
        </w:sectPr>
      </w:pPr>
    </w:p>
    <w:p>
      <w:pPr>
        <w:pStyle w:val="4"/>
      </w:pPr>
      <w:bookmarkStart w:id="3" w:name="_Toc46215036"/>
      <w:bookmarkStart w:id="4" w:name="_Toc6146"/>
      <w:r>
        <w:rPr>
          <w:rFonts w:hint="eastAsia"/>
        </w:rPr>
        <w:t>1</w:t>
      </w:r>
      <w:r>
        <w:rPr>
          <w:rFonts w:hint="eastAsia"/>
          <w:lang w:val="en-US" w:eastAsia="zh-CN"/>
        </w:rPr>
        <w:t xml:space="preserve"> </w:t>
      </w:r>
      <w:r>
        <w:t>概</w:t>
      </w:r>
      <w:r>
        <w:rPr>
          <w:rFonts w:hint="eastAsia"/>
        </w:rPr>
        <w:t xml:space="preserve"> </w:t>
      </w:r>
      <w:r>
        <w:t>述</w:t>
      </w:r>
      <w:bookmarkEnd w:id="3"/>
      <w:bookmarkEnd w:id="4"/>
    </w:p>
    <w:p>
      <w:pPr>
        <w:pStyle w:val="5"/>
      </w:pPr>
      <w:bookmarkStart w:id="5" w:name="_Toc28480"/>
      <w:bookmarkStart w:id="6" w:name="_Toc18451"/>
      <w:bookmarkStart w:id="7" w:name="_Toc249"/>
      <w:bookmarkStart w:id="8" w:name="_Toc12713"/>
      <w:bookmarkStart w:id="9" w:name="_Toc32718"/>
      <w:bookmarkStart w:id="10" w:name="_Toc28998"/>
      <w:r>
        <w:rPr>
          <w:rFonts w:hint="eastAsia"/>
        </w:rPr>
        <w:t>1.1项目</w:t>
      </w:r>
      <w:bookmarkEnd w:id="5"/>
      <w:bookmarkEnd w:id="6"/>
      <w:bookmarkEnd w:id="7"/>
      <w:r>
        <w:rPr>
          <w:rFonts w:hint="eastAsia"/>
        </w:rPr>
        <w:t>由来</w:t>
      </w:r>
      <w:bookmarkEnd w:id="8"/>
      <w:bookmarkEnd w:id="9"/>
      <w:bookmarkEnd w:id="10"/>
    </w:p>
    <w:p>
      <w:pPr>
        <w:pStyle w:val="7"/>
        <w:ind w:firstLine="480"/>
      </w:pPr>
      <w:r>
        <w:rPr>
          <w:rFonts w:hint="eastAsia"/>
        </w:rPr>
        <w:t>近年来，随着我国国民经济和高新技术的稳定、持续、快速发展，促使我国铝型材全行业的产量和消费量迅猛增长，而我国也一跃成为世界上最大的铝型材生产基地和消费市场。目前铝加工低端产品生产能力过剩，产品同质化明显，市场处于饱和，竞争异常激烈，而高端产品则生产能力不足，品种规格偏少，满足不了国内市场需要，每年还需进口。</w:t>
      </w:r>
    </w:p>
    <w:p>
      <w:pPr>
        <w:pStyle w:val="7"/>
        <w:ind w:firstLine="480"/>
      </w:pPr>
      <w:r>
        <w:rPr>
          <w:rFonts w:hint="eastAsia"/>
        </w:rPr>
        <w:t>云南创新合金有限公司从自身发展的角度出发，针对市场供需现状及同行业现有的技术水平，决定利用企业自身技术优势及云南省资源优势、政策优势，引进先进设备，直接以云南宏泰新型材料有限公司“年产203万吨电解铝建设项目”生产的电解铝水为原料，采用短流程微合金化生产工艺技术，建设“年产38万吨新能源汽车轻量化铝合金材料项目”，本项目产品方案主要选择发展前景看好、国家鼓励发展的1、3、5、6、8等系列铝合金产品，符合市场发展的需要。</w:t>
      </w:r>
    </w:p>
    <w:p>
      <w:pPr>
        <w:pStyle w:val="7"/>
        <w:ind w:firstLine="480"/>
      </w:pPr>
      <w:r>
        <w:rPr>
          <w:rFonts w:hint="eastAsia"/>
        </w:rPr>
        <w:t>本项目位于</w:t>
      </w:r>
      <w:r>
        <w:t>砚山工业园</w:t>
      </w:r>
      <w:r>
        <w:rPr>
          <w:rFonts w:hint="eastAsia"/>
        </w:rPr>
        <w:t>布标片区，占地面积123845m</w:t>
      </w:r>
      <w:r>
        <w:rPr>
          <w:rFonts w:hint="eastAsia"/>
          <w:vertAlign w:val="superscript"/>
        </w:rPr>
        <w:t>2</w:t>
      </w:r>
      <w:r>
        <w:rPr>
          <w:rFonts w:hint="eastAsia"/>
        </w:rPr>
        <w:t>。该地块原为云南创新合金有限公司“年产10万吨铝合金导线项目”建设用地，“年产10万吨铝合金导线项目”</w:t>
      </w:r>
      <w:r>
        <w:rPr>
          <w:rFonts w:hint="eastAsia"/>
          <w:lang w:eastAsia="zh-CN"/>
        </w:rPr>
        <w:t>截至目前</w:t>
      </w:r>
      <w:r>
        <w:rPr>
          <w:rFonts w:hint="eastAsia"/>
        </w:rPr>
        <w:t>还未投入建设，厂址现状为空地。因市场原因及公司发展规划，云南创新合金有限公司决定“年产10万吨铝合金导线项目”另行择址建设，将该地块出租给本项目作为本项目生产用地。租赁协议见附件。</w:t>
      </w:r>
    </w:p>
    <w:p>
      <w:pPr>
        <w:pStyle w:val="7"/>
        <w:ind w:firstLine="480"/>
      </w:pPr>
      <w:r>
        <w:rPr>
          <w:rFonts w:hint="eastAsia"/>
        </w:rPr>
        <w:t>本项目于2021年12月20日取得云南省固定资产投资项目备案证（见附件），项目代码：2112-532622-04-01-519393。根据备案，项目总占地面积123845m</w:t>
      </w:r>
      <w:r>
        <w:rPr>
          <w:rFonts w:hint="eastAsia"/>
          <w:vertAlign w:val="superscript"/>
        </w:rPr>
        <w:t>2</w:t>
      </w:r>
      <w:r>
        <w:rPr>
          <w:rFonts w:hint="eastAsia"/>
        </w:rPr>
        <w:t>，建筑面积67828m</w:t>
      </w:r>
      <w:r>
        <w:rPr>
          <w:rFonts w:hint="eastAsia"/>
          <w:vertAlign w:val="superscript"/>
        </w:rPr>
        <w:t>2</w:t>
      </w:r>
      <w:r>
        <w:rPr>
          <w:rFonts w:hint="eastAsia"/>
        </w:rPr>
        <w:t>。项目分二期建设，其中一期工程新建一期生产车间、综合楼、宿舍楼、氯气站、循环水池及其他公辅设施；购置安装熔保炉、铸造机、均质炉、除尘器等主要设备；一期工程达到年产高端铝合金圆铸锭16万吨、铝合金板锭16万吨规模。二期工程新建二期生产车间、循环水池及其他公辅设施。购置安装熔保炉、保温炉、铸轧机、除尘器等主要设备；二期工程达到年产高档铝合金铸轧板6万吨规模。</w:t>
      </w:r>
    </w:p>
    <w:p>
      <w:pPr>
        <w:pStyle w:val="7"/>
        <w:ind w:firstLine="480"/>
      </w:pPr>
    </w:p>
    <w:p>
      <w:pPr>
        <w:pStyle w:val="5"/>
      </w:pPr>
      <w:bookmarkStart w:id="11" w:name="_Toc27026"/>
      <w:bookmarkStart w:id="12" w:name="_Toc15330"/>
      <w:bookmarkStart w:id="13" w:name="_Toc2659"/>
      <w:bookmarkStart w:id="14" w:name="_Toc5545"/>
      <w:bookmarkStart w:id="15" w:name="_Toc28468"/>
      <w:bookmarkStart w:id="16" w:name="_Toc1654"/>
      <w:bookmarkStart w:id="17" w:name="_Toc14719"/>
      <w:bookmarkStart w:id="18" w:name="_Toc28534"/>
      <w:r>
        <w:rPr>
          <w:rFonts w:hint="eastAsia"/>
        </w:rPr>
        <w:t>1.2环境影响评价工作过程</w:t>
      </w:r>
      <w:bookmarkEnd w:id="11"/>
    </w:p>
    <w:p>
      <w:pPr>
        <w:pStyle w:val="7"/>
        <w:ind w:firstLine="480"/>
      </w:pPr>
      <w:r>
        <w:rPr>
          <w:rFonts w:hint="eastAsia"/>
        </w:rPr>
        <w:t>根据《中华人民共和国环境保护法》、《中华人民共和国环境影响评价法》、中华人民共和国国务院第682号令《建设项目环境保护管理条例》及云南省有关环境保护的有关规定，该项目应进行环境影响评价，编制环境影响报告书。</w:t>
      </w:r>
    </w:p>
    <w:p>
      <w:pPr>
        <w:pStyle w:val="7"/>
        <w:ind w:firstLine="480"/>
      </w:pPr>
      <w:r>
        <w:rPr>
          <w:rFonts w:hint="eastAsia"/>
        </w:rPr>
        <w:t>2022年3月5日云南湖柏环保科技有限公司受云南创格新材料科技有限公司委托开展“年产38万吨新能源汽车轻量化铝合金材料项目”环境影响评价工作。接受委托后，我单位迅速组成项目工作小组，按《环境影响评价技术导则》所规定的原则、方法、内容和要求开展工作。在调研、收集和核实有关资料的基础上进行实地踏勘、现场监测、公众参与调查以及报告编制等工作。</w:t>
      </w:r>
    </w:p>
    <w:p>
      <w:pPr>
        <w:pStyle w:val="7"/>
        <w:ind w:firstLine="480"/>
      </w:pPr>
      <w:r>
        <w:rPr>
          <w:rFonts w:hint="eastAsia"/>
        </w:rPr>
        <w:t>本项目具体环境影响评价工作过程如下：</w:t>
      </w:r>
    </w:p>
    <w:p>
      <w:pPr>
        <w:pStyle w:val="7"/>
        <w:ind w:firstLine="480"/>
      </w:pPr>
      <w:r>
        <w:rPr>
          <w:rFonts w:hint="eastAsia"/>
          <w:highlight w:val="none"/>
        </w:rPr>
        <w:t>（1）2022年3月8日，组织踏勘了项目场址，考察了项目周围地区的环境</w:t>
      </w:r>
      <w:r>
        <w:rPr>
          <w:rFonts w:hint="eastAsia"/>
        </w:rPr>
        <w:t>状况，收集了本项目相关资料。</w:t>
      </w:r>
    </w:p>
    <w:p>
      <w:pPr>
        <w:pStyle w:val="7"/>
        <w:ind w:firstLine="480"/>
      </w:pPr>
      <w:r>
        <w:rPr>
          <w:rFonts w:hint="eastAsia"/>
        </w:rPr>
        <w:t>（2）2022年3月10日于砚山县人民政府网站进行了第一次环境信息网络公示，网址为：http://www.yanshan.gov.cn/zwzx/gsgg/content_67013。</w:t>
      </w:r>
    </w:p>
    <w:p>
      <w:pPr>
        <w:pStyle w:val="7"/>
        <w:numPr>
          <w:ilvl w:val="0"/>
          <w:numId w:val="2"/>
        </w:numPr>
        <w:ind w:firstLine="480"/>
      </w:pPr>
      <w:r>
        <w:rPr>
          <w:rFonts w:hint="eastAsia"/>
        </w:rPr>
        <w:t>建设单位委托云南环绿环境检测技术有限公司于2021年4月1日</w:t>
      </w:r>
      <w:r>
        <w:rPr>
          <w:rFonts w:hint="eastAsia"/>
          <w:lang w:eastAsia="zh-CN"/>
        </w:rPr>
        <w:t>～</w:t>
      </w:r>
      <w:r>
        <w:rPr>
          <w:rFonts w:hint="eastAsia"/>
        </w:rPr>
        <w:t>2日对项目区域声环境现状进行了监测。</w:t>
      </w:r>
    </w:p>
    <w:p>
      <w:pPr>
        <w:pStyle w:val="7"/>
        <w:ind w:firstLine="480"/>
        <w:rPr>
          <w:highlight w:val="none"/>
        </w:rPr>
      </w:pPr>
      <w:r>
        <w:rPr>
          <w:rFonts w:hint="eastAsia"/>
          <w:highlight w:val="none"/>
        </w:rPr>
        <w:t>（4）在收集、核实相关资料，以及认真分析研究本项目相关情况的基础上，于2022年</w:t>
      </w:r>
      <w:r>
        <w:rPr>
          <w:rFonts w:hint="eastAsia"/>
          <w:highlight w:val="none"/>
          <w:lang w:val="en-US" w:eastAsia="zh-CN"/>
        </w:rPr>
        <w:t>5</w:t>
      </w:r>
      <w:r>
        <w:rPr>
          <w:rFonts w:hint="eastAsia"/>
          <w:highlight w:val="none"/>
        </w:rPr>
        <w:t>月20日编制完成了本项目环评征求意见稿。</w:t>
      </w:r>
    </w:p>
    <w:p>
      <w:pPr>
        <w:pStyle w:val="7"/>
        <w:ind w:firstLine="480"/>
      </w:pPr>
      <w:bookmarkStart w:id="202" w:name="_GoBack"/>
      <w:bookmarkEnd w:id="202"/>
      <w:r>
        <w:rPr>
          <w:rFonts w:hint="eastAsia"/>
        </w:rPr>
        <w:t>环评单位依据环评相关的法律、法规、部门规章、技术导则等，在收集、分析有关资料的基础上，编制完成了《年产38万吨新能源汽车轻量化铝合金材料项目环境影响报告书》（送审稿），供建设单位按照程序上报审查、审批。</w:t>
      </w:r>
    </w:p>
    <w:p>
      <w:pPr>
        <w:pStyle w:val="5"/>
      </w:pPr>
      <w:bookmarkStart w:id="19" w:name="_Toc11055"/>
      <w:r>
        <w:rPr>
          <w:rFonts w:hint="eastAsia"/>
        </w:rPr>
        <w:t>1.3分析判定相关情况</w:t>
      </w:r>
      <w:bookmarkEnd w:id="12"/>
      <w:bookmarkEnd w:id="13"/>
      <w:bookmarkEnd w:id="19"/>
    </w:p>
    <w:p>
      <w:pPr>
        <w:pStyle w:val="8"/>
      </w:pPr>
      <w:r>
        <w:rPr>
          <w:rFonts w:hint="eastAsia"/>
        </w:rPr>
        <w:t>1.3.1项目环境影响评价类型</w:t>
      </w:r>
    </w:p>
    <w:p>
      <w:pPr>
        <w:pStyle w:val="7"/>
        <w:ind w:firstLine="480"/>
      </w:pPr>
      <w:r>
        <w:rPr>
          <w:rFonts w:hint="eastAsia"/>
        </w:rPr>
        <w:t>本项目以电解铝液、</w:t>
      </w:r>
      <w:r>
        <w:t>废铝冷料</w:t>
      </w:r>
      <w:r>
        <w:rPr>
          <w:rFonts w:hint="eastAsia"/>
        </w:rPr>
        <w:t>，及各类合金辅料、速溶硅、精炼剂等制造铝合金圆铸锭、铝合金板锭及铝合金铸轧板。根据《建设项目环境影响评价分类管理名录》（2021年版），本项目属于“二十九、有色金属冶炼和压延加工业 64有色金属合金制造324”，须编制环境影响报告书。</w:t>
      </w:r>
    </w:p>
    <w:p>
      <w:pPr>
        <w:pStyle w:val="8"/>
      </w:pPr>
      <w:r>
        <w:rPr>
          <w:rFonts w:hint="eastAsia"/>
        </w:rPr>
        <w:t>1.3.2产业政策符合性分析</w:t>
      </w:r>
    </w:p>
    <w:p>
      <w:pPr>
        <w:pStyle w:val="7"/>
        <w:ind w:firstLine="480"/>
      </w:pPr>
      <w:r>
        <w:t>本项目不属于《产业结构调整指导目录</w:t>
      </w:r>
      <w:r>
        <w:rPr>
          <w:rFonts w:hint="eastAsia"/>
          <w:lang w:eastAsia="zh-CN"/>
        </w:rPr>
        <w:t>（</w:t>
      </w:r>
      <w:r>
        <w:t>2019年本</w:t>
      </w:r>
      <w:r>
        <w:rPr>
          <w:rFonts w:hint="eastAsia"/>
          <w:lang w:eastAsia="zh-CN"/>
        </w:rPr>
        <w:t>）</w:t>
      </w:r>
      <w:r>
        <w:t>》中“鼓励类”、“淘汰类”及“限制类”项目，属于允许类项目，因此本项目建设符合国家产业政策。</w:t>
      </w:r>
    </w:p>
    <w:p>
      <w:pPr>
        <w:pStyle w:val="7"/>
        <w:ind w:firstLine="480"/>
      </w:pPr>
      <w:r>
        <w:rPr>
          <w:rFonts w:hint="eastAsia"/>
        </w:rPr>
        <w:t>项目于2021年12月20日取得云南省固定资产投资项目备案证（见附件），项目代码：2112-532622-04-01-519393。</w:t>
      </w:r>
    </w:p>
    <w:p>
      <w:pPr>
        <w:pStyle w:val="8"/>
      </w:pPr>
      <w:r>
        <w:rPr>
          <w:rFonts w:hint="eastAsia"/>
        </w:rPr>
        <w:t>1.3.3与《大气污染防治行动计划》的符合性分析</w:t>
      </w:r>
    </w:p>
    <w:p>
      <w:pPr>
        <w:pStyle w:val="7"/>
        <w:ind w:firstLine="480"/>
      </w:pPr>
      <w:r>
        <w:rPr>
          <w:rFonts w:hint="eastAsia"/>
        </w:rPr>
        <w:t>2018年7月3日，国务院发布了《打赢蓝天保卫战三年行动计划》（国发〔2018〕22号）。其目标指标为经过3年努力，大幅减少主要大气污染物排放总量，协同减少温室气体排放，进一步明显降低细颗粒物（PM</w:t>
      </w:r>
      <w:r>
        <w:rPr>
          <w:rFonts w:hint="eastAsia"/>
          <w:vertAlign w:val="subscript"/>
        </w:rPr>
        <w:t>2.5</w:t>
      </w:r>
      <w:r>
        <w:rPr>
          <w:rFonts w:hint="eastAsia"/>
        </w:rPr>
        <w:t>）浓度，明显减少重污染天数，明显改善环境空气质量，明显增强人民的蓝天幸福感。</w:t>
      </w:r>
    </w:p>
    <w:p>
      <w:pPr>
        <w:pStyle w:val="7"/>
        <w:ind w:firstLine="480"/>
      </w:pPr>
      <w:r>
        <w:rPr>
          <w:rFonts w:hint="eastAsia"/>
        </w:rPr>
        <w:t>行动计划包括：一、调整优化产业结构，推进产业绿色发展；二、加快调整能源结构，构建清洁低碳高效能源体系；三、积极调整运输结构，发展绿色交通体系；四、优化调整用地结构，推进面源污染治理；五、实施重大专项行动，大幅降低污染物排放；六、强化区域联防联控，有效应对重污染天气；七、健全法律法规体系，完善环境经济政策；八、加强基础能力建设，严格环境执法督察；九、明确落实各方责任，动员全社会广泛参与</w:t>
      </w:r>
    </w:p>
    <w:p>
      <w:pPr>
        <w:pStyle w:val="7"/>
        <w:ind w:firstLine="480"/>
      </w:pPr>
      <w:r>
        <w:rPr>
          <w:rFonts w:hint="eastAsia"/>
        </w:rPr>
        <w:t>本项目为有色金属合金制造项目，运营过程中会有二氧化硫、氮氧化物、粉尘、氟化物、氯气、氯化氢产生，为防止废气排放对环境造成污染，本项目采用布袋除尘器对粉尘进行处理；采用碱法脱氯气、氯化氢气体，有效减少废气中粉尘和酸性气体的排放量。本次环评要求项目产生的废气处理达标后才能排放，同时在大气污染防治措施中，提出了落实大气污染防治的具体要求和措施。</w:t>
      </w:r>
    </w:p>
    <w:p>
      <w:pPr>
        <w:pStyle w:val="7"/>
        <w:ind w:firstLine="480"/>
      </w:pPr>
      <w:r>
        <w:rPr>
          <w:rFonts w:hint="eastAsia"/>
        </w:rPr>
        <w:t>因此，本项目的建设与《打赢蓝天保卫战三年行动计划》相符。</w:t>
      </w:r>
    </w:p>
    <w:p>
      <w:pPr>
        <w:pStyle w:val="8"/>
      </w:pPr>
      <w:r>
        <w:rPr>
          <w:rFonts w:hint="eastAsia"/>
        </w:rPr>
        <w:t>1.3.4项目与水污染防治行动计划符合性分析</w:t>
      </w:r>
    </w:p>
    <w:p>
      <w:pPr>
        <w:pStyle w:val="7"/>
        <w:ind w:firstLine="480"/>
        <w:rPr>
          <w:rFonts w:ascii="宋体" w:hAnsi="宋体" w:cs="宋体"/>
          <w:kern w:val="0"/>
          <w:lang w:bidi="ar"/>
        </w:rPr>
      </w:pPr>
      <w:r>
        <w:rPr>
          <w:rFonts w:hint="eastAsia"/>
        </w:rPr>
        <w:t>项目与《水污染防治行动计划》（国发[2015]17号）</w:t>
      </w:r>
      <w:r>
        <w:rPr>
          <w:rFonts w:ascii="宋体" w:hAnsi="宋体" w:cs="宋体"/>
          <w:kern w:val="0"/>
          <w:lang w:bidi="ar"/>
        </w:rPr>
        <w:t>符合性见下表。</w:t>
      </w:r>
    </w:p>
    <w:p>
      <w:pPr>
        <w:pStyle w:val="31"/>
      </w:pPr>
      <w:r>
        <w:t>表</w:t>
      </w:r>
      <w:r>
        <w:rPr>
          <w:rFonts w:hint="eastAsia"/>
        </w:rPr>
        <w:t>1-1</w:t>
      </w:r>
      <w:r>
        <w:t xml:space="preserve"> </w:t>
      </w:r>
      <w:r>
        <w:rPr>
          <w:rFonts w:hint="eastAsia"/>
        </w:rPr>
        <w:t xml:space="preserve"> </w:t>
      </w:r>
      <w:r>
        <w:t>项目与《水污染防治行动计划》符合性分析</w:t>
      </w:r>
    </w:p>
    <w:tbl>
      <w:tblPr>
        <w:tblStyle w:val="27"/>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44"/>
        <w:gridCol w:w="4775"/>
        <w:gridCol w:w="2113"/>
        <w:gridCol w:w="78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9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分类 </w:t>
            </w:r>
          </w:p>
        </w:tc>
        <w:tc>
          <w:tcPr>
            <w:tcW w:w="28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文件要求 </w:t>
            </w:r>
          </w:p>
        </w:tc>
        <w:tc>
          <w:tcPr>
            <w:tcW w:w="124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项目情况 </w:t>
            </w:r>
          </w:p>
        </w:tc>
        <w:tc>
          <w:tcPr>
            <w:tcW w:w="4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95" w:type="pct"/>
            <w:vMerge w:val="restart"/>
            <w:tcBorders>
              <w:top w:val="single" w:color="auto" w:sz="4" w:space="0"/>
              <w:left w:val="single" w:color="auto" w:sz="4" w:space="0"/>
              <w:right w:val="single" w:color="auto" w:sz="4" w:space="0"/>
            </w:tcBorders>
            <w:shd w:val="clear" w:color="auto" w:fill="auto"/>
            <w:vAlign w:val="center"/>
          </w:tcPr>
          <w:p>
            <w:pPr>
              <w:pStyle w:val="33"/>
            </w:pPr>
            <w:r>
              <w:t>一、全面控制污染物排放</w:t>
            </w:r>
          </w:p>
        </w:tc>
        <w:tc>
          <w:tcPr>
            <w:tcW w:w="28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狠抓工业污染防治。取缔“十小”企业。全面排查装备水平低、环保设施差的小型工业企业。2016 年底前，按照水污染防治法律法规要求，全部取缔不符合国家产业政策的小型造纸、制革、印染、染料、炼焦、炼硫、炼砷、炼油、电镀、农药等严重污染水环境的生产项目。</w:t>
            </w:r>
          </w:p>
        </w:tc>
        <w:tc>
          <w:tcPr>
            <w:tcW w:w="124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本项目不属于需取缔的项目</w:t>
            </w:r>
          </w:p>
        </w:tc>
        <w:tc>
          <w:tcPr>
            <w:tcW w:w="4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95"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28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狠抓工业污染防治。专项整治十大重点行业。制定造纸、焦化、氮肥、有色金属、印染、农副食品加工、原料药制造、制革、农药、电镀等行业专项治理方案，实施清洁化改造。集中治理工业集聚区水污染。强化经济技术开发区、高新技术产业开发区、出口加工区等工业集聚区污染治理。集聚区内工业废水必须经预处理达到集中处理要求，方可进入污水集中处理设施。</w:t>
            </w:r>
          </w:p>
        </w:tc>
        <w:tc>
          <w:tcPr>
            <w:tcW w:w="124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本项目为有色金属合金制造项目，位于</w:t>
            </w:r>
            <w:r>
              <w:rPr>
                <w:rFonts w:hint="eastAsia"/>
              </w:rPr>
              <w:t>砚山绿色铝创新产业园</w:t>
            </w:r>
            <w:r>
              <w:t>，采用先进工艺，符合清洁生产要求；项目废水经</w:t>
            </w:r>
            <w:r>
              <w:rPr>
                <w:rFonts w:hint="eastAsia"/>
              </w:rPr>
              <w:t>预处理</w:t>
            </w:r>
            <w:r>
              <w:t>达标后</w:t>
            </w:r>
            <w:r>
              <w:rPr>
                <w:rFonts w:hint="eastAsia"/>
              </w:rPr>
              <w:t>通过市政污水管网进入砚山县第一污水处理厂进行处理</w:t>
            </w:r>
          </w:p>
        </w:tc>
        <w:tc>
          <w:tcPr>
            <w:tcW w:w="4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95" w:type="pct"/>
            <w:vMerge w:val="restart"/>
            <w:tcBorders>
              <w:top w:val="single" w:color="auto" w:sz="4" w:space="0"/>
              <w:left w:val="single" w:color="auto" w:sz="4" w:space="0"/>
              <w:right w:val="single" w:color="auto" w:sz="4" w:space="0"/>
            </w:tcBorders>
            <w:shd w:val="clear" w:color="auto" w:fill="auto"/>
            <w:vAlign w:val="center"/>
          </w:tcPr>
          <w:p>
            <w:pPr>
              <w:pStyle w:val="33"/>
            </w:pPr>
            <w:r>
              <w:t>二、推动经济结构转型升级</w:t>
            </w:r>
          </w:p>
        </w:tc>
        <w:tc>
          <w:tcPr>
            <w:tcW w:w="28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调整产业结构。依法淘汰落后产能。自2015年起，各地要依据部分工业行业淘汰落后生产工艺装备和产品指导目录、产业结构调整指导目录及相关行业污染物排放标准，结合水质改善要求及产业发展情况，制定并实施分年度的落后产能淘汰方案，报工业和信息化部、环境保护部备案。未完成淘汰任务的地区，暂停审批和核准其相关行业新建项目。</w:t>
            </w:r>
          </w:p>
        </w:tc>
        <w:tc>
          <w:tcPr>
            <w:tcW w:w="124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本项目不属于淘汰落后产能</w:t>
            </w:r>
          </w:p>
        </w:tc>
        <w:tc>
          <w:tcPr>
            <w:tcW w:w="4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95"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28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七大重点流域干流沿岸，要严格控制石油加工、化学原料和化学制品制造、医药制造、化学纤维制造、有色金属冶炼、纺织印染等项目环境风险，合理布局生产装置及危险化学品仓储等设施。推动污染企业退出。城市建成区内现有钢铁、有色金属、造纸、印染、原料药制造、化工等污染较重的企业应有序搬迁改造或依法关闭。</w:t>
            </w:r>
          </w:p>
        </w:tc>
        <w:tc>
          <w:tcPr>
            <w:tcW w:w="124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项目为有色金属合金制造项目，落实各类环保措施，污染物可达标排放</w:t>
            </w:r>
          </w:p>
        </w:tc>
        <w:tc>
          <w:tcPr>
            <w:tcW w:w="4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9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九、明确和落实各方责任</w:t>
            </w:r>
          </w:p>
        </w:tc>
        <w:tc>
          <w:tcPr>
            <w:tcW w:w="28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落实排污单位主体责任。各类排污单位要严格执行环保法律法规和制度，加强污染治理设施建设和运行管理，开展自行监测，落实治污减排、环境风险防范等责任。中央企业和国有企业要带头落实，工业集聚区内的企业要探索建立环保自律机制。</w:t>
            </w:r>
          </w:p>
        </w:tc>
        <w:tc>
          <w:tcPr>
            <w:tcW w:w="124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项目建成后严格执行各项环保法律法规和制度，各项废水污染物均可达标排放，且定期开展监测，符合要求</w:t>
            </w:r>
          </w:p>
        </w:tc>
        <w:tc>
          <w:tcPr>
            <w:tcW w:w="4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bl>
    <w:p>
      <w:pPr>
        <w:pStyle w:val="7"/>
        <w:ind w:firstLine="480"/>
      </w:pPr>
      <w:r>
        <w:rPr>
          <w:rFonts w:ascii="宋体" w:hAnsi="宋体" w:cs="宋体"/>
          <w:kern w:val="0"/>
          <w:lang w:bidi="ar"/>
        </w:rPr>
        <w:t>根据上表，项目符合《水污染防治行动计划》。</w:t>
      </w:r>
    </w:p>
    <w:p>
      <w:pPr>
        <w:pStyle w:val="8"/>
      </w:pPr>
      <w:r>
        <w:rPr>
          <w:rFonts w:hint="eastAsia"/>
        </w:rPr>
        <w:t>1.3.5项目与土壤污染防治行动计划符合性分析</w:t>
      </w:r>
    </w:p>
    <w:p>
      <w:pPr>
        <w:pStyle w:val="7"/>
        <w:ind w:firstLine="480"/>
      </w:pPr>
      <w:r>
        <w:rPr>
          <w:rFonts w:hint="eastAsia"/>
        </w:rPr>
        <w:t>项目与</w:t>
      </w:r>
      <w:r>
        <w:t>《土壤污染防治行动计划》（国发〔2016〕31号）</w:t>
      </w:r>
      <w:r>
        <w:rPr>
          <w:rFonts w:hint="eastAsia"/>
        </w:rPr>
        <w:t>符合情况见表</w:t>
      </w:r>
      <w:r>
        <w:rPr>
          <w:rFonts w:hint="eastAsia"/>
          <w:lang w:val="en-US" w:eastAsia="zh-CN"/>
        </w:rPr>
        <w:t>1-2</w:t>
      </w:r>
      <w:r>
        <w:rPr>
          <w:rFonts w:hint="eastAsia"/>
        </w:rPr>
        <w:t>。</w:t>
      </w:r>
    </w:p>
    <w:p>
      <w:pPr>
        <w:pStyle w:val="31"/>
      </w:pPr>
      <w:r>
        <w:rPr>
          <w:rFonts w:hint="eastAsia"/>
        </w:rPr>
        <w:t>表1-2  项目与《土壤污染防治行动计划》符合性分析</w:t>
      </w:r>
    </w:p>
    <w:tbl>
      <w:tblPr>
        <w:tblStyle w:val="27"/>
        <w:tblW w:w="5143" w:type="pct"/>
        <w:tblInd w:w="-247"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30"/>
        <w:gridCol w:w="5122"/>
        <w:gridCol w:w="1557"/>
        <w:gridCol w:w="75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5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分类</w:t>
            </w:r>
          </w:p>
        </w:tc>
        <w:tc>
          <w:tcPr>
            <w:tcW w:w="292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文件要求 </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本项目</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5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三、实施</w:t>
            </w:r>
            <w:r>
              <w:br w:type="textWrapping"/>
            </w:r>
            <w:r>
              <w:t>农用地分类管理，保障农业生产环境安全</w:t>
            </w:r>
          </w:p>
        </w:tc>
        <w:tc>
          <w:tcPr>
            <w:tcW w:w="292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防控企业污染。严格控制在优先保护类耕地集中区域新建有色金属冶炼、石油加工、化工、焦化、电镀、制革等行业企业，现有相关行业企业要采用新技术、新工艺，加快提标升级改造步伐</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项目用地性质为工业用地，现有工程满足现行污染物排放标准要求</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5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四、实施建设用地准入管理，防范人居环境风险</w:t>
            </w:r>
          </w:p>
        </w:tc>
        <w:tc>
          <w:tcPr>
            <w:tcW w:w="292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十四）严格用地准入。将建设用地土壤环境管理要求纳入城市规划和供地管理，土地开发利用必须符合土壤环境质量要求。地方各级国土资源、城乡规划等部门在编制土地利用总体规划、城市总体规划、控制性详细规划等相关规划时，应充分考虑污染地块的环境风险，合理确定土地用途。</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根据《砚山工业园区总体规划（2019-2035）》土地利用规划利用图，本项目用地范围为工业三类用地</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58" w:type="pct"/>
            <w:vMerge w:val="restart"/>
            <w:tcBorders>
              <w:top w:val="single" w:color="auto" w:sz="4" w:space="0"/>
              <w:left w:val="single" w:color="auto" w:sz="4" w:space="0"/>
              <w:right w:val="single" w:color="auto" w:sz="4" w:space="0"/>
            </w:tcBorders>
            <w:shd w:val="clear" w:color="auto" w:fill="auto"/>
            <w:vAlign w:val="center"/>
          </w:tcPr>
          <w:p>
            <w:pPr>
              <w:pStyle w:val="33"/>
            </w:pPr>
            <w:r>
              <w:t>六、加强污染源监管，做好土壤污染预防工作</w:t>
            </w:r>
          </w:p>
        </w:tc>
        <w:tc>
          <w:tcPr>
            <w:tcW w:w="292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加强涉重金属行业污染防控。严格执行重金属污染物排放标准并落实相关总量控制指标，加大监督检查力度，对整改后仍不达标的企业，依法责令其停业、关闭，并将企业名单向社会公开。继续淘汰涉重金属重点行业落后产能，完善重金属相关行业准入条件，禁止新建落后产能或产能严重过剩行业的建设项目。按计划逐步淘汰普通照明白炽灯。提高铅酸蓄电池等行业落后产能淘汰标准，逐步退出落后产能。制定涉重金属重点工业行业清洁生产技术推行方案，鼓励企业采用先进适用生产工艺和技术。2020年重点行业的重点重金属排放量要比2013年下降10%。</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本项目不涉及重金属排放</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758"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292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w:t>
            </w:r>
            <w:r>
              <w:rPr>
                <w:rFonts w:hint="eastAsia"/>
              </w:rPr>
              <w:t>配套建设一般固废暂存间、危险废物暂存间，设置</w:t>
            </w:r>
            <w:r>
              <w:t>防扬散、防流失、防渗漏等设施</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bl>
    <w:p>
      <w:pPr>
        <w:pStyle w:val="7"/>
        <w:ind w:firstLine="480"/>
      </w:pPr>
      <w:r>
        <w:rPr>
          <w:rFonts w:ascii="宋体" w:hAnsi="宋体" w:cs="宋体"/>
          <w:kern w:val="0"/>
          <w:lang w:bidi="ar"/>
        </w:rPr>
        <w:t>根据上表，项目</w:t>
      </w:r>
      <w:r>
        <w:rPr>
          <w:rFonts w:hint="eastAsia" w:ascii="宋体" w:hAnsi="宋体" w:cs="宋体"/>
          <w:kern w:val="0"/>
          <w:lang w:bidi="ar"/>
        </w:rPr>
        <w:t>与</w:t>
      </w:r>
      <w:r>
        <w:t>《土壤污染防治行动计划》（国发〔2016〕31号）</w:t>
      </w:r>
      <w:r>
        <w:rPr>
          <w:rFonts w:hint="eastAsia"/>
        </w:rPr>
        <w:t>相</w:t>
      </w:r>
      <w:r>
        <w:rPr>
          <w:rFonts w:ascii="宋体" w:hAnsi="宋体" w:cs="宋体"/>
          <w:kern w:val="0"/>
          <w:lang w:bidi="ar"/>
        </w:rPr>
        <w:t>符合。</w:t>
      </w:r>
    </w:p>
    <w:p>
      <w:pPr>
        <w:pStyle w:val="8"/>
      </w:pPr>
      <w:r>
        <w:rPr>
          <w:rFonts w:hint="eastAsia"/>
        </w:rPr>
        <w:t>1.3.6项目与《云南省主体功能区规划》符合性分析</w:t>
      </w:r>
    </w:p>
    <w:p>
      <w:pPr>
        <w:pStyle w:val="7"/>
        <w:ind w:firstLine="480"/>
      </w:pPr>
      <w:r>
        <w:rPr>
          <w:rFonts w:hint="eastAsia"/>
        </w:rPr>
        <w:t>对照《云南省生态功能区划》，</w:t>
      </w:r>
      <w:r>
        <w:t>项目位于</w:t>
      </w:r>
      <w:r>
        <w:rPr>
          <w:rFonts w:hint="eastAsia"/>
        </w:rPr>
        <w:t>“Ⅲ高原亚热带北部常绿阔叶林生态区”，“Ⅲ1滇中高原谷盆半湿润常绿阔叶林、暖性针叶林生态亚区”，“Ⅲ1-15邱北、砚山岩溶盆地水土保持生态功能区”。</w:t>
      </w:r>
    </w:p>
    <w:p>
      <w:pPr>
        <w:pStyle w:val="7"/>
        <w:ind w:firstLine="480"/>
      </w:pPr>
      <w:r>
        <w:rPr>
          <w:rFonts w:hint="eastAsia"/>
        </w:rPr>
        <w:t>项目位于砚山绿色铝创新产业园内，冷却循环系统定期排水和生活污水通过市政污水管网进入砚山县第一污水处理厂处理；</w:t>
      </w:r>
      <w:r>
        <w:rPr>
          <w:rFonts w:hint="eastAsia"/>
          <w:lang w:eastAsia="zh-CN"/>
        </w:rPr>
        <w:t>其他</w:t>
      </w:r>
      <w:r>
        <w:rPr>
          <w:rFonts w:hint="eastAsia"/>
        </w:rPr>
        <w:t>污染物均处理达标排放。工程建设和生产前后项目区生态环境不恶化或有所改善。在落实本环评提出的生态环境保护措施的情况下，可以提高区域植被覆盖率，符合云南省生态功能区划要求。</w:t>
      </w:r>
    </w:p>
    <w:p>
      <w:pPr>
        <w:pStyle w:val="8"/>
      </w:pPr>
      <w:r>
        <w:rPr>
          <w:rFonts w:hint="eastAsia"/>
        </w:rPr>
        <w:t>1.3.7与《云南省主体功能区规划》的符合性分析</w:t>
      </w:r>
    </w:p>
    <w:p>
      <w:pPr>
        <w:pStyle w:val="7"/>
        <w:ind w:firstLine="480"/>
      </w:pPr>
      <w:r>
        <w:rPr>
          <w:rFonts w:hint="eastAsia"/>
        </w:rPr>
        <w:t>云南省主体功能区划将云南省国土空间按照开发方式分为重点开发区域、限制开发区域和禁止开发区域3类主体功能区。项目所在的砚山县属于省级重点开发区域，不属于361处禁止开发区。</w:t>
      </w:r>
    </w:p>
    <w:p>
      <w:pPr>
        <w:pStyle w:val="7"/>
        <w:ind w:firstLine="480"/>
      </w:pPr>
      <w:r>
        <w:rPr>
          <w:rFonts w:hint="eastAsia"/>
        </w:rPr>
        <w:t>本项目建设符合《云南省主体功能区划》。</w:t>
      </w:r>
    </w:p>
    <w:p>
      <w:pPr>
        <w:pStyle w:val="8"/>
      </w:pPr>
      <w:r>
        <w:rPr>
          <w:rFonts w:hint="eastAsia"/>
        </w:rPr>
        <w:t>1.3.8项目与“三线一单”符合性分析</w:t>
      </w:r>
    </w:p>
    <w:p>
      <w:pPr>
        <w:pStyle w:val="7"/>
        <w:ind w:firstLine="482"/>
        <w:rPr>
          <w:b/>
          <w:bCs/>
        </w:rPr>
      </w:pPr>
      <w:r>
        <w:rPr>
          <w:rFonts w:hint="eastAsia"/>
          <w:b/>
          <w:bCs/>
        </w:rPr>
        <w:t>1、生态保护红线</w:t>
      </w:r>
    </w:p>
    <w:p>
      <w:pPr>
        <w:pStyle w:val="7"/>
        <w:ind w:firstLine="480"/>
        <w:rPr>
          <w:highlight w:val="none"/>
        </w:rPr>
      </w:pPr>
      <w:r>
        <w:rPr>
          <w:rFonts w:hint="eastAsia"/>
        </w:rPr>
        <w:t>本项目厂区选址位于砚山绿色铝创新产业园内，根据建设单</w:t>
      </w:r>
      <w:r>
        <w:rPr>
          <w:rFonts w:hint="eastAsia"/>
          <w:lang w:val="en-US" w:eastAsia="zh-CN"/>
        </w:rPr>
        <w:t>位</w:t>
      </w:r>
      <w:r>
        <w:rPr>
          <w:rFonts w:hint="eastAsia"/>
        </w:rPr>
        <w:t>提供的“年产38万吨新能源汽车轻量化铝合金材料项目”坐标数据，经砚山县自然资源局查询，本项目不占</w:t>
      </w:r>
      <w:r>
        <w:rPr>
          <w:rFonts w:hint="eastAsia"/>
          <w:highlight w:val="none"/>
        </w:rPr>
        <w:t>用生态保护红线，详见附件5。</w:t>
      </w:r>
    </w:p>
    <w:p>
      <w:pPr>
        <w:pStyle w:val="7"/>
        <w:ind w:firstLine="480"/>
      </w:pPr>
      <w:r>
        <w:rPr>
          <w:rFonts w:hint="eastAsia"/>
        </w:rPr>
        <w:t>符合云南省生态保护红线要求。</w:t>
      </w:r>
    </w:p>
    <w:p>
      <w:pPr>
        <w:pStyle w:val="7"/>
        <w:ind w:firstLine="482"/>
        <w:rPr>
          <w:b/>
          <w:bCs/>
        </w:rPr>
      </w:pPr>
      <w:r>
        <w:rPr>
          <w:rFonts w:hint="eastAsia"/>
          <w:b/>
          <w:bCs/>
        </w:rPr>
        <w:t>2、环境质量底线</w:t>
      </w:r>
    </w:p>
    <w:p>
      <w:pPr>
        <w:pStyle w:val="7"/>
        <w:ind w:firstLine="480"/>
      </w:pPr>
      <w:r>
        <w:rPr>
          <w:rFonts w:hint="eastAsia"/>
          <w:color w:val="auto"/>
          <w:highlight w:val="none"/>
        </w:rPr>
        <w:t>本项目所在区域</w:t>
      </w:r>
      <w:r>
        <w:rPr>
          <w:rFonts w:hint="eastAsia"/>
          <w:color w:val="auto"/>
          <w:highlight w:val="none"/>
          <w:lang w:val="en-US" w:eastAsia="zh-CN"/>
        </w:rPr>
        <w:t>大气环境、声环境、土壤</w:t>
      </w:r>
      <w:r>
        <w:rPr>
          <w:rFonts w:hint="eastAsia"/>
          <w:color w:val="auto"/>
          <w:highlight w:val="none"/>
        </w:rPr>
        <w:t>环境</w:t>
      </w:r>
      <w:r>
        <w:rPr>
          <w:rFonts w:hint="eastAsia"/>
          <w:color w:val="auto"/>
          <w:highlight w:val="none"/>
          <w:lang w:eastAsia="zh-CN"/>
        </w:rPr>
        <w:t>、</w:t>
      </w:r>
      <w:r>
        <w:rPr>
          <w:rFonts w:hint="eastAsia"/>
          <w:color w:val="auto"/>
          <w:highlight w:val="none"/>
          <w:lang w:val="en-US" w:eastAsia="zh-CN"/>
        </w:rPr>
        <w:t>地下水环境</w:t>
      </w:r>
      <w:r>
        <w:rPr>
          <w:rFonts w:hint="eastAsia"/>
          <w:color w:val="auto"/>
          <w:highlight w:val="none"/>
        </w:rPr>
        <w:t>质量现状满足区划要求，</w:t>
      </w:r>
      <w:r>
        <w:rPr>
          <w:rFonts w:hint="eastAsia"/>
        </w:rPr>
        <w:t>项目实施过程中要求严格落实各项污染防治措施，确保环境空气质量、水环境质量、土壤环境质量等达到环境功能区要求。本项目排放的污染物主要是：二氧化硫、氮氧化物、烟尘、氟化物等，根据分析项目建设不会改变选址区域环境功能区划的要求、环境容量具有可行性</w:t>
      </w:r>
      <w:r>
        <w:rPr>
          <w:rFonts w:hint="eastAsia"/>
          <w:lang w:eastAsia="zh-CN"/>
        </w:rPr>
        <w:t>。</w:t>
      </w:r>
      <w:r>
        <w:rPr>
          <w:rFonts w:hint="eastAsia"/>
          <w:lang w:val="en-US" w:eastAsia="zh-CN"/>
        </w:rPr>
        <w:t>项目区域地表水听湖水库及</w:t>
      </w:r>
      <w:r>
        <w:rPr>
          <w:rFonts w:hint="eastAsia"/>
          <w:lang w:eastAsia="zh-CN"/>
        </w:rPr>
        <w:t>公革河水质不能达到《地表水环境质量标准》（GB3838-2002）II类水质标准，</w:t>
      </w:r>
      <w:r>
        <w:rPr>
          <w:rFonts w:hint="eastAsia"/>
          <w:lang w:val="en-US" w:eastAsia="zh-CN"/>
        </w:rPr>
        <w:t>但本项目废水不排入地表水环境，</w:t>
      </w:r>
      <w:r>
        <w:rPr>
          <w:rFonts w:hint="eastAsia"/>
        </w:rPr>
        <w:t>故本项目的实施不会影响环境质量底线。</w:t>
      </w:r>
    </w:p>
    <w:p>
      <w:pPr>
        <w:pStyle w:val="7"/>
        <w:ind w:firstLine="482"/>
        <w:rPr>
          <w:b/>
          <w:bCs/>
        </w:rPr>
      </w:pPr>
      <w:r>
        <w:rPr>
          <w:rFonts w:hint="eastAsia"/>
          <w:b/>
          <w:bCs/>
        </w:rPr>
        <w:t>3、资源利用上线</w:t>
      </w:r>
    </w:p>
    <w:p>
      <w:pPr>
        <w:pStyle w:val="7"/>
        <w:ind w:firstLine="480"/>
      </w:pPr>
      <w:r>
        <w:rPr>
          <w:rFonts w:hint="eastAsia"/>
        </w:rPr>
        <w:t>本项目采用先进的生产工艺和设备，具有较高的清洁生产水平，将废气处理达标后排放、固废资源化利用或采取妥善处置措施，可取得较好的环境、经济双重效益，并对照现行技术规范、清洁生产水平，本项目均能够符合要求。</w:t>
      </w:r>
    </w:p>
    <w:p>
      <w:pPr>
        <w:pStyle w:val="7"/>
        <w:ind w:firstLine="482"/>
        <w:rPr>
          <w:b/>
          <w:bCs/>
        </w:rPr>
      </w:pPr>
      <w:r>
        <w:rPr>
          <w:rFonts w:hint="eastAsia"/>
          <w:b/>
          <w:bCs/>
        </w:rPr>
        <w:t>4、环境准入负面清单</w:t>
      </w:r>
    </w:p>
    <w:p>
      <w:pPr>
        <w:pStyle w:val="7"/>
        <w:ind w:firstLine="480"/>
      </w:pPr>
      <w:r>
        <w:rPr>
          <w:rFonts w:hint="eastAsia"/>
        </w:rPr>
        <w:t>根据文山州人民政府关于印发《文山州“三线一单”生态环境分区管控实施方案》的通知（文政发〔2021〕24号），对照重点管控单元生态环境准入清单，本项目位于砚山工业集中区重点管控单元，本项目的建设符合重点管控单元生态环境准入清单的相关要求。具体见下表。</w:t>
      </w:r>
    </w:p>
    <w:p>
      <w:pPr>
        <w:pStyle w:val="31"/>
      </w:pPr>
      <w:r>
        <w:rPr>
          <w:rFonts w:hint="eastAsia"/>
        </w:rPr>
        <w:t>表1-3  重点管控单元生态环境准入清单</w:t>
      </w:r>
    </w:p>
    <w:tbl>
      <w:tblPr>
        <w:tblStyle w:val="27"/>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7"/>
        <w:gridCol w:w="443"/>
        <w:gridCol w:w="694"/>
        <w:gridCol w:w="4581"/>
        <w:gridCol w:w="1563"/>
        <w:gridCol w:w="8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924"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名称 </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建设内容及规模 </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砚山县</w:t>
            </w:r>
          </w:p>
        </w:tc>
        <w:tc>
          <w:tcPr>
            <w:tcW w:w="260" w:type="pct"/>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砚山工业集中区重点管控单元</w:t>
            </w: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空间</w:t>
            </w:r>
          </w:p>
          <w:p>
            <w:pPr>
              <w:pStyle w:val="33"/>
            </w:pPr>
            <w:r>
              <w:rPr>
                <w:rFonts w:hint="eastAsia"/>
              </w:rPr>
              <w:t>布局</w:t>
            </w:r>
          </w:p>
          <w:p>
            <w:pPr>
              <w:pStyle w:val="33"/>
            </w:pPr>
            <w:r>
              <w:rPr>
                <w:rFonts w:hint="eastAsia"/>
              </w:rPr>
              <w:t>约束</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1.严格按照工业集中区功能定位进行内部产业布局。</w:t>
            </w:r>
          </w:p>
          <w:p>
            <w:pPr>
              <w:pStyle w:val="33"/>
              <w:jc w:val="both"/>
            </w:pPr>
            <w:r>
              <w:rPr>
                <w:rFonts w:hint="eastAsia"/>
              </w:rPr>
              <w:t>2.严格落实工业集中区规划环评要求。</w:t>
            </w:r>
          </w:p>
          <w:p>
            <w:pPr>
              <w:pStyle w:val="33"/>
              <w:jc w:val="both"/>
            </w:pPr>
            <w:r>
              <w:rPr>
                <w:rFonts w:hint="eastAsia"/>
              </w:rPr>
              <w:t>3.二道箐片区位于具有饮用水功能的红舍克水库水文地质单元的上游，地下水敏感程度高，严禁布设重污染、环境空间风险高的产业项目。</w:t>
            </w:r>
          </w:p>
          <w:p>
            <w:pPr>
              <w:pStyle w:val="33"/>
              <w:jc w:val="both"/>
            </w:pPr>
            <w:r>
              <w:rPr>
                <w:rFonts w:hint="eastAsia"/>
              </w:rPr>
              <w:t>4.二道箐片区为岩溶地质构造，须强化地下水污染防控措施，不得建设危废填埋场。</w:t>
            </w:r>
          </w:p>
          <w:p>
            <w:pPr>
              <w:pStyle w:val="33"/>
              <w:jc w:val="both"/>
            </w:pPr>
            <w:r>
              <w:rPr>
                <w:rFonts w:hint="eastAsia"/>
              </w:rPr>
              <w:t>5.对平远镇、阿舍乡、八嘎乡加强重金属污染防治，实行总量控制，严格环境准入管理，依法关停达标无望、治理整顿后仍不能稳定达标的涉重金属企业。确保农用地和建设用地土壤环境安全得到有效保障，土壤环境风险得到全面管控。</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项目位于砚山工业园区布标片区范围内，</w:t>
            </w:r>
            <w:r>
              <w:rPr>
                <w:rStyle w:val="51"/>
              </w:rPr>
              <w:t>本项目用地范围为工业三类用地</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continue"/>
            <w:tcBorders>
              <w:left w:val="single" w:color="auto" w:sz="4" w:space="0"/>
              <w:right w:val="single" w:color="auto" w:sz="4" w:space="0"/>
            </w:tcBorders>
            <w:shd w:val="clear" w:color="auto" w:fill="auto"/>
            <w:vAlign w:val="center"/>
          </w:tcPr>
          <w:p>
            <w:pPr>
              <w:pStyle w:val="33"/>
            </w:pPr>
          </w:p>
        </w:tc>
        <w:tc>
          <w:tcPr>
            <w:tcW w:w="260" w:type="pct"/>
            <w:vMerge w:val="continue"/>
            <w:tcBorders>
              <w:left w:val="single" w:color="auto" w:sz="4" w:space="0"/>
              <w:right w:val="single" w:color="auto" w:sz="4" w:space="0"/>
            </w:tcBorders>
            <w:shd w:val="clear" w:color="auto" w:fill="auto"/>
            <w:vAlign w:val="center"/>
          </w:tcPr>
          <w:p>
            <w:pPr>
              <w:pStyle w:val="33"/>
            </w:pP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污染物排放管控</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1.工业集中区位于盘龙河上游、清水河水库枢纽工程上游，应做到废水封闭循环使用不外排。</w:t>
            </w:r>
          </w:p>
          <w:p>
            <w:pPr>
              <w:pStyle w:val="33"/>
              <w:jc w:val="both"/>
            </w:pPr>
            <w:r>
              <w:rPr>
                <w:rFonts w:hint="eastAsia"/>
              </w:rPr>
              <w:t>2.严格固体废物管理，确保固体废物处理率达到100%，同时做好危险废物的处理处置及监管工作。</w:t>
            </w:r>
          </w:p>
          <w:p>
            <w:pPr>
              <w:pStyle w:val="33"/>
              <w:jc w:val="both"/>
            </w:pPr>
            <w:r>
              <w:rPr>
                <w:rFonts w:hint="eastAsia"/>
              </w:rPr>
              <w:t>3.大气环境质量保持在国家大气环境质量二级标准以内工业集中区废气达标排放。</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项目废气处理达标后排放，初期雨水收集后回用于循环</w:t>
            </w:r>
            <w:r>
              <w:rPr>
                <w:rFonts w:hint="eastAsia"/>
                <w:lang w:val="en-US" w:eastAsia="zh-CN"/>
              </w:rPr>
              <w:t>冷却</w:t>
            </w:r>
            <w:r>
              <w:rPr>
                <w:rFonts w:hint="eastAsia"/>
              </w:rPr>
              <w:t>水系统，固废资源化利用或采取妥善处置措施</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continue"/>
            <w:tcBorders>
              <w:left w:val="single" w:color="auto" w:sz="4" w:space="0"/>
              <w:right w:val="single" w:color="auto" w:sz="4" w:space="0"/>
            </w:tcBorders>
            <w:shd w:val="clear" w:color="auto" w:fill="auto"/>
            <w:vAlign w:val="center"/>
          </w:tcPr>
          <w:p>
            <w:pPr>
              <w:pStyle w:val="33"/>
            </w:pPr>
          </w:p>
        </w:tc>
        <w:tc>
          <w:tcPr>
            <w:tcW w:w="260" w:type="pct"/>
            <w:vMerge w:val="continue"/>
            <w:tcBorders>
              <w:left w:val="single" w:color="auto" w:sz="4" w:space="0"/>
              <w:right w:val="single" w:color="auto" w:sz="4" w:space="0"/>
            </w:tcBorders>
            <w:shd w:val="clear" w:color="auto" w:fill="auto"/>
            <w:vAlign w:val="center"/>
          </w:tcPr>
          <w:p>
            <w:pPr>
              <w:pStyle w:val="33"/>
            </w:pP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环境风险防控</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1.工业集中区应做好环境风险防范和编制应急预案，以降低突发性环境污染事件发生的风险，并减缓环境风险的影响程度和范围。</w:t>
            </w:r>
          </w:p>
          <w:p>
            <w:pPr>
              <w:pStyle w:val="33"/>
              <w:jc w:val="both"/>
            </w:pPr>
            <w:r>
              <w:rPr>
                <w:rFonts w:hint="eastAsia"/>
              </w:rPr>
              <w:t>2.工业企业应有完善的风险防范措施，保障居民生活环境的安全。</w:t>
            </w:r>
          </w:p>
          <w:p>
            <w:pPr>
              <w:pStyle w:val="33"/>
              <w:jc w:val="both"/>
            </w:pPr>
            <w:r>
              <w:rPr>
                <w:rFonts w:hint="eastAsia"/>
              </w:rPr>
              <w:t>3.建立健全突发环境事件预警应急机制。</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本次评价已提出相应风险防</w:t>
            </w:r>
          </w:p>
          <w:p>
            <w:pPr>
              <w:pStyle w:val="33"/>
              <w:jc w:val="both"/>
            </w:pPr>
            <w:r>
              <w:t>控措施，</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260"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资源开发效率要求</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1.项目入驻，不得超过工业集中区已确定的土地、水、能源等主要资源能源可开发利用总量。</w:t>
            </w:r>
          </w:p>
          <w:p>
            <w:pPr>
              <w:pStyle w:val="33"/>
              <w:jc w:val="both"/>
            </w:pPr>
            <w:r>
              <w:rPr>
                <w:rFonts w:hint="eastAsia"/>
              </w:rPr>
              <w:t>2.推进循环发展，推广国家鼓励的工业节水工艺、技术和装备，提高水资源利用效率、水的复用率、工业用水重复利用率和中水回用率。</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本项目采用先进的生产工艺和设备，具有较高的清洁生产水平，初期雨水处理达标后回用于循环</w:t>
            </w:r>
            <w:r>
              <w:rPr>
                <w:rFonts w:hint="eastAsia"/>
                <w:lang w:val="en-US" w:eastAsia="zh-CN"/>
              </w:rPr>
              <w:t>冷却</w:t>
            </w:r>
            <w:r>
              <w:rPr>
                <w:rFonts w:hint="eastAsia"/>
              </w:rPr>
              <w:t>水系统，废气处理达标后排放</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符合</w:t>
            </w:r>
          </w:p>
        </w:tc>
      </w:tr>
    </w:tbl>
    <w:p>
      <w:pPr>
        <w:pStyle w:val="8"/>
      </w:pPr>
      <w:r>
        <w:rPr>
          <w:rFonts w:hint="eastAsia"/>
        </w:rPr>
        <w:t>1.3.9项目与《</w:t>
      </w:r>
      <w:r>
        <w:t>砚山工业园区总体规划【修编】（2019-2035）</w:t>
      </w:r>
      <w:r>
        <w:rPr>
          <w:rFonts w:hint="eastAsia"/>
        </w:rPr>
        <w:t>》符合性分析</w:t>
      </w:r>
    </w:p>
    <w:p>
      <w:pPr>
        <w:pStyle w:val="7"/>
        <w:ind w:firstLine="482"/>
        <w:rPr>
          <w:b/>
          <w:bCs/>
        </w:rPr>
      </w:pPr>
      <w:r>
        <w:rPr>
          <w:b/>
          <w:bCs/>
        </w:rPr>
        <w:t>1、规划范围</w:t>
      </w:r>
    </w:p>
    <w:p>
      <w:pPr>
        <w:pStyle w:val="7"/>
        <w:ind w:firstLine="480"/>
      </w:pPr>
      <w:r>
        <w:t>“砚山工业园区总体规划【修编】（2019-2035）”规划范围包括“一园三片”， 一园：即砚山工业园区，三片区：布标片区、三星坝片区和二道箐片区。</w:t>
      </w:r>
    </w:p>
    <w:p>
      <w:pPr>
        <w:pStyle w:val="7"/>
        <w:ind w:firstLine="480"/>
      </w:pPr>
      <w:r>
        <w:t>砚山工业园区包括三个片区，总规划用地面积为21.69平方公里（2169.24 ha），并在布标片区东北侧预留约1平方公里作为园区远景发展备用地。</w:t>
      </w:r>
    </w:p>
    <w:p>
      <w:pPr>
        <w:pStyle w:val="7"/>
        <w:ind w:firstLine="482"/>
        <w:rPr>
          <w:b/>
          <w:bCs/>
        </w:rPr>
      </w:pPr>
      <w:r>
        <w:rPr>
          <w:b/>
          <w:bCs/>
        </w:rPr>
        <w:t>（1）布标片区</w:t>
      </w:r>
    </w:p>
    <w:p>
      <w:pPr>
        <w:snapToGrid w:val="0"/>
        <w:spacing w:line="360" w:lineRule="auto"/>
        <w:ind w:firstLine="480" w:firstLineChars="200"/>
        <w:contextualSpacing/>
        <w:jc w:val="left"/>
        <w:rPr>
          <w:kern w:val="0"/>
        </w:rPr>
      </w:pPr>
      <w:r>
        <w:rPr>
          <w:kern w:val="0"/>
        </w:rPr>
        <w:t>作为砚山工业园区的核心片区，包括两个产业园，形成“园中园”的发展模式。</w:t>
      </w:r>
    </w:p>
    <w:p>
      <w:pPr>
        <w:pStyle w:val="7"/>
        <w:ind w:firstLine="482"/>
        <w:rPr>
          <w:b/>
          <w:bCs/>
        </w:rPr>
      </w:pPr>
      <w:r>
        <w:rPr>
          <w:b/>
          <w:bCs/>
        </w:rPr>
        <w:t>1）绿色铝创新产业园</w:t>
      </w:r>
    </w:p>
    <w:p>
      <w:pPr>
        <w:pStyle w:val="7"/>
        <w:ind w:firstLine="480"/>
      </w:pPr>
      <w:r>
        <w:t>规划面积7.09平方公里（709.06 ha），东至小听湖（搬迁）村一带，西至处暑（搬迁）村一带，南至G320国道新线，北至马鞍山村南侧一带。</w:t>
      </w:r>
    </w:p>
    <w:p>
      <w:pPr>
        <w:pStyle w:val="7"/>
        <w:ind w:firstLine="482"/>
        <w:rPr>
          <w:b/>
          <w:bCs/>
        </w:rPr>
      </w:pPr>
      <w:r>
        <w:rPr>
          <w:b/>
          <w:bCs/>
        </w:rPr>
        <w:t>2）承接产业园</w:t>
      </w:r>
    </w:p>
    <w:p>
      <w:pPr>
        <w:snapToGrid w:val="0"/>
        <w:spacing w:line="360" w:lineRule="auto"/>
        <w:ind w:firstLine="480" w:firstLineChars="200"/>
        <w:contextualSpacing/>
        <w:jc w:val="left"/>
        <w:rPr>
          <w:kern w:val="0"/>
        </w:rPr>
      </w:pPr>
      <w:r>
        <w:rPr>
          <w:kern w:val="0"/>
        </w:rPr>
        <w:t>规划面积6.46平方公里（646.27ha），东至粮食局仓储区道路一线，西至上舍克村西侧的山体附近，南至叶黄素油膏厂一带，北至广昆高速一带。</w:t>
      </w:r>
    </w:p>
    <w:p>
      <w:pPr>
        <w:pStyle w:val="7"/>
        <w:ind w:firstLine="482"/>
        <w:rPr>
          <w:b/>
          <w:bCs/>
        </w:rPr>
      </w:pPr>
      <w:r>
        <w:rPr>
          <w:b/>
          <w:bCs/>
        </w:rPr>
        <w:t>（2）二道箐片区</w:t>
      </w:r>
    </w:p>
    <w:p>
      <w:pPr>
        <w:pStyle w:val="7"/>
        <w:ind w:firstLine="480"/>
      </w:pPr>
      <w:r>
        <w:t>规划面积2.76平方公里（275.77ha），东至水塘及山体一带，西至五家寨村东侧一带，南侧和北侧紧邻规划的基本农田红线。</w:t>
      </w:r>
    </w:p>
    <w:p>
      <w:pPr>
        <w:pStyle w:val="7"/>
        <w:ind w:firstLine="482"/>
        <w:rPr>
          <w:b/>
          <w:bCs/>
        </w:rPr>
      </w:pPr>
      <w:r>
        <w:rPr>
          <w:b/>
          <w:bCs/>
        </w:rPr>
        <w:t>（3）三星坝片区</w:t>
      </w:r>
    </w:p>
    <w:p>
      <w:pPr>
        <w:pStyle w:val="7"/>
        <w:ind w:firstLine="480"/>
      </w:pPr>
      <w:r>
        <w:t>规划面积5.38平方公里（538.14 ha），东至老鹰窝山脉，西至民航路，南至国家农业示范区北侧山体附近，北至炮团北侧的石头大寨山体一带。</w:t>
      </w:r>
    </w:p>
    <w:p>
      <w:pPr>
        <w:pStyle w:val="7"/>
        <w:ind w:firstLine="482"/>
        <w:rPr>
          <w:b/>
          <w:bCs/>
        </w:rPr>
      </w:pPr>
      <w:r>
        <w:rPr>
          <w:b/>
          <w:bCs/>
        </w:rPr>
        <w:t>2、产业定位</w:t>
      </w:r>
    </w:p>
    <w:p>
      <w:pPr>
        <w:pStyle w:val="7"/>
        <w:ind w:firstLine="480"/>
      </w:pPr>
      <w:r>
        <w:t>《砚山工业园区总体规划【修编】（2019-2035）》产业定位为：云南省重要的水电铝材一体化产业园区，云南省以电子信息产业为重点的承接产业核心区之一，文山州外向型加工和制造园区。重点发展水电铝材一体化产业、电子信息产业、特色食品制造产业，打造成为基础设施配套完善、资源循环利用率高、生态环境较好的新型工业园区。</w:t>
      </w:r>
    </w:p>
    <w:p>
      <w:pPr>
        <w:pStyle w:val="7"/>
        <w:ind w:firstLine="480"/>
      </w:pPr>
      <w:r>
        <w:t>本项目为</w:t>
      </w:r>
      <w:r>
        <w:rPr>
          <w:rFonts w:hint="eastAsia"/>
        </w:rPr>
        <w:t>铝合金材料</w:t>
      </w:r>
      <w:r>
        <w:t>生产，建设厂址位于砚山工业园区布标片区中“绿色铝创新产业园”规划范围内。其厂址布局及生产规模符合《砚山工业园区总体规划【修编】（2019-2035）》中产业的规划定位、符合园区规划。</w:t>
      </w:r>
    </w:p>
    <w:p>
      <w:pPr>
        <w:pStyle w:val="7"/>
        <w:ind w:firstLine="482"/>
        <w:rPr>
          <w:b/>
          <w:bCs/>
        </w:rPr>
      </w:pPr>
      <w:r>
        <w:rPr>
          <w:b/>
          <w:bCs/>
        </w:rPr>
        <w:t>3、用地规划</w:t>
      </w:r>
    </w:p>
    <w:p>
      <w:pPr>
        <w:pStyle w:val="7"/>
        <w:ind w:firstLine="480"/>
      </w:pPr>
      <w:r>
        <w:t>根据《砚山工业园区总体规划【修编】（2019-2035）》土地利用规划利用图，本项目用地范围为工业三类用地，本项目用地符合工业园区用地规划。</w:t>
      </w:r>
      <w:bookmarkStart w:id="20" w:name="_Hlt534700101"/>
      <w:bookmarkEnd w:id="20"/>
    </w:p>
    <w:p>
      <w:pPr>
        <w:pStyle w:val="8"/>
      </w:pPr>
      <w:r>
        <w:rPr>
          <w:rFonts w:hint="eastAsia"/>
        </w:rPr>
        <w:t>1.3.10项目与砚山工业园区规划环评审查意见符合性分析</w:t>
      </w:r>
    </w:p>
    <w:p>
      <w:pPr>
        <w:pStyle w:val="7"/>
        <w:ind w:firstLine="480"/>
      </w:pPr>
      <w:r>
        <w:rPr>
          <w:rFonts w:hint="eastAsia"/>
        </w:rPr>
        <w:t>根据“云南省生态环境厅关于《砚山工业园区总体规划修编2019~2035》环境影响报告书审查意见的函”（云环函2020【7】号），本项目的建设与规划环评审查意见的符合性分析如下：</w:t>
      </w:r>
    </w:p>
    <w:p>
      <w:pPr>
        <w:pStyle w:val="31"/>
      </w:pPr>
      <w:r>
        <w:t>表</w:t>
      </w:r>
      <w:r>
        <w:rPr>
          <w:rFonts w:hint="eastAsia"/>
        </w:rPr>
        <w:t>1-4</w:t>
      </w:r>
      <w:r>
        <w:t xml:space="preserve">  </w:t>
      </w:r>
      <w:r>
        <w:rPr>
          <w:rFonts w:hint="eastAsia"/>
        </w:rPr>
        <w:t>项目与规划环评审查意见对照分析</w:t>
      </w:r>
      <w:r>
        <w:t>表</w:t>
      </w:r>
    </w:p>
    <w:tbl>
      <w:tblPr>
        <w:tblStyle w:val="27"/>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705"/>
        <w:gridCol w:w="3901"/>
        <w:gridCol w:w="2932"/>
        <w:gridCol w:w="98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序号</w:t>
            </w:r>
          </w:p>
        </w:tc>
        <w:tc>
          <w:tcPr>
            <w:tcW w:w="2288" w:type="pct"/>
            <w:tcBorders>
              <w:left w:val="single" w:color="auto" w:sz="4" w:space="0"/>
            </w:tcBorders>
            <w:shd w:val="clear" w:color="000000" w:fill="FFFFFF"/>
            <w:vAlign w:val="center"/>
          </w:tcPr>
          <w:p>
            <w:pPr>
              <w:pStyle w:val="33"/>
            </w:pPr>
            <w:r>
              <w:rPr>
                <w:rFonts w:hint="eastAsia"/>
              </w:rPr>
              <w:t>规划环评审查意见要求</w:t>
            </w:r>
          </w:p>
        </w:tc>
        <w:tc>
          <w:tcPr>
            <w:tcW w:w="1720" w:type="pct"/>
            <w:shd w:val="clear" w:color="000000" w:fill="FFFFFF"/>
            <w:vAlign w:val="center"/>
          </w:tcPr>
          <w:p>
            <w:pPr>
              <w:pStyle w:val="33"/>
            </w:pPr>
            <w:r>
              <w:rPr>
                <w:rFonts w:hint="eastAsia"/>
              </w:rPr>
              <w:t>本项目实际情况</w:t>
            </w:r>
          </w:p>
        </w:tc>
        <w:tc>
          <w:tcPr>
            <w:tcW w:w="577" w:type="pct"/>
            <w:shd w:val="clear" w:color="000000" w:fill="FFFFFF"/>
            <w:vAlign w:val="center"/>
          </w:tcPr>
          <w:p>
            <w:pPr>
              <w:pStyle w:val="33"/>
            </w:pPr>
            <w:r>
              <w:rPr>
                <w:rFonts w:hint="eastAsia"/>
              </w:rPr>
              <w:t>符合性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1</w:t>
            </w:r>
          </w:p>
        </w:tc>
        <w:tc>
          <w:tcPr>
            <w:tcW w:w="2288" w:type="pct"/>
            <w:tcBorders>
              <w:left w:val="single" w:color="auto" w:sz="4" w:space="0"/>
            </w:tcBorders>
            <w:shd w:val="clear" w:color="000000" w:fill="FFFFFF"/>
            <w:vAlign w:val="center"/>
          </w:tcPr>
          <w:p>
            <w:pPr>
              <w:pStyle w:val="33"/>
            </w:pPr>
            <w:r>
              <w:rPr>
                <w:rFonts w:hint="eastAsia"/>
              </w:rPr>
              <w:t>布标片区承接产业园须严控用地范围，进一步优化产业布局，控制电子信息制造业规模，取消特色食品制造业的布局，适时搬迁现有食品制造业</w:t>
            </w:r>
          </w:p>
        </w:tc>
        <w:tc>
          <w:tcPr>
            <w:tcW w:w="1720" w:type="pct"/>
            <w:shd w:val="clear" w:color="000000" w:fill="FFFFFF"/>
            <w:vAlign w:val="center"/>
          </w:tcPr>
          <w:p>
            <w:pPr>
              <w:pStyle w:val="33"/>
            </w:pPr>
            <w:r>
              <w:rPr>
                <w:rFonts w:hint="eastAsia"/>
              </w:rPr>
              <w:t>项目位于砚山工业园区布标片区范围内，不属于电子信息制造业和食品制造业</w:t>
            </w:r>
          </w:p>
        </w:tc>
        <w:tc>
          <w:tcPr>
            <w:tcW w:w="577" w:type="pct"/>
            <w:shd w:val="clear" w:color="000000" w:fill="FFFFFF"/>
            <w:vAlign w:val="center"/>
          </w:tcPr>
          <w:p>
            <w:pPr>
              <w:pStyle w:val="33"/>
            </w:pPr>
            <w:r>
              <w:rPr>
                <w:rFonts w:hint="eastAsia"/>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2</w:t>
            </w:r>
          </w:p>
        </w:tc>
        <w:tc>
          <w:tcPr>
            <w:tcW w:w="2288" w:type="pct"/>
            <w:tcBorders>
              <w:left w:val="single" w:color="auto" w:sz="4" w:space="0"/>
            </w:tcBorders>
            <w:shd w:val="clear" w:color="000000" w:fill="FFFFFF"/>
            <w:vAlign w:val="center"/>
          </w:tcPr>
          <w:p>
            <w:pPr>
              <w:pStyle w:val="33"/>
            </w:pPr>
            <w:r>
              <w:rPr>
                <w:rFonts w:hint="eastAsia"/>
              </w:rPr>
              <w:t>布标片区及三星坝片区须强化大气污染防控措施，减缓对县城、周边村庄和砚山浴仙湖风景</w:t>
            </w:r>
            <w:r>
              <w:rPr>
                <w:rFonts w:hint="eastAsia"/>
                <w:lang w:eastAsia="zh-CN"/>
              </w:rPr>
              <w:t>名胜区</w:t>
            </w:r>
            <w:r>
              <w:rPr>
                <w:rFonts w:hint="eastAsia"/>
              </w:rPr>
              <w:t>的影响</w:t>
            </w:r>
          </w:p>
        </w:tc>
        <w:tc>
          <w:tcPr>
            <w:tcW w:w="1720" w:type="pct"/>
            <w:shd w:val="clear" w:color="000000" w:fill="FFFFFF"/>
            <w:vAlign w:val="center"/>
          </w:tcPr>
          <w:p>
            <w:pPr>
              <w:pStyle w:val="33"/>
            </w:pPr>
            <w:r>
              <w:rPr>
                <w:rFonts w:hint="eastAsia"/>
              </w:rPr>
              <w:t>项目废气都采取了妥善措施，外排污染物能够达标排放，有效减缓了对县城、周边村庄和砚山浴仙湖风景</w:t>
            </w:r>
            <w:r>
              <w:rPr>
                <w:rFonts w:hint="eastAsia"/>
                <w:lang w:eastAsia="zh-CN"/>
              </w:rPr>
              <w:t>名胜区</w:t>
            </w:r>
            <w:r>
              <w:rPr>
                <w:rFonts w:hint="eastAsia"/>
              </w:rPr>
              <w:t>的影响</w:t>
            </w:r>
          </w:p>
        </w:tc>
        <w:tc>
          <w:tcPr>
            <w:tcW w:w="577" w:type="pct"/>
            <w:shd w:val="clear" w:color="000000" w:fill="FFFFFF"/>
            <w:vAlign w:val="center"/>
          </w:tcPr>
          <w:p>
            <w:pPr>
              <w:pStyle w:val="33"/>
            </w:pPr>
            <w:r>
              <w:rPr>
                <w:rFonts w:hint="eastAsia"/>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3</w:t>
            </w:r>
          </w:p>
        </w:tc>
        <w:tc>
          <w:tcPr>
            <w:tcW w:w="2288" w:type="pct"/>
            <w:tcBorders>
              <w:left w:val="single" w:color="auto" w:sz="4" w:space="0"/>
            </w:tcBorders>
            <w:shd w:val="clear" w:color="000000" w:fill="FFFFFF"/>
            <w:vAlign w:val="center"/>
          </w:tcPr>
          <w:p>
            <w:pPr>
              <w:pStyle w:val="33"/>
            </w:pPr>
            <w:r>
              <w:rPr>
                <w:rFonts w:hint="eastAsia"/>
              </w:rPr>
              <w:t>布标片区绿色铝创新产业园布局的电解铝项目生产规模较大，废气污染物排放量大，其污染控制措施应选择行业最佳可行技术方案，强化工程减排</w:t>
            </w:r>
          </w:p>
        </w:tc>
        <w:tc>
          <w:tcPr>
            <w:tcW w:w="1720" w:type="pct"/>
            <w:shd w:val="clear" w:color="000000" w:fill="FFFFFF"/>
            <w:vAlign w:val="center"/>
          </w:tcPr>
          <w:p>
            <w:pPr>
              <w:pStyle w:val="33"/>
            </w:pPr>
            <w:r>
              <w:rPr>
                <w:rFonts w:hint="eastAsia"/>
              </w:rPr>
              <w:t>项目不属于电解铝生产项目</w:t>
            </w:r>
          </w:p>
        </w:tc>
        <w:tc>
          <w:tcPr>
            <w:tcW w:w="577" w:type="pct"/>
            <w:shd w:val="clear" w:color="000000" w:fill="FFFFFF"/>
            <w:vAlign w:val="center"/>
          </w:tcPr>
          <w:p>
            <w:pPr>
              <w:pStyle w:val="33"/>
            </w:pPr>
            <w:r>
              <w:rPr>
                <w:rFonts w:hint="eastAsia"/>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4</w:t>
            </w:r>
          </w:p>
        </w:tc>
        <w:tc>
          <w:tcPr>
            <w:tcW w:w="2288" w:type="pct"/>
            <w:tcBorders>
              <w:left w:val="single" w:color="auto" w:sz="4" w:space="0"/>
            </w:tcBorders>
            <w:shd w:val="clear" w:color="000000" w:fill="FFFFFF"/>
            <w:vAlign w:val="center"/>
          </w:tcPr>
          <w:p>
            <w:pPr>
              <w:pStyle w:val="33"/>
            </w:pPr>
            <w:r>
              <w:rPr>
                <w:rFonts w:hint="eastAsia"/>
              </w:rPr>
              <w:t>绿色铝创新产业园位于听湖水库汇水区，应根据用地规模、开发强度、产业集聚程度及排水条件，完善各片区雨污分流管网，规划建设污水集中处理及中水回用设施</w:t>
            </w:r>
          </w:p>
        </w:tc>
        <w:tc>
          <w:tcPr>
            <w:tcW w:w="1720" w:type="pct"/>
            <w:shd w:val="clear" w:color="000000" w:fill="FFFFFF"/>
            <w:vAlign w:val="center"/>
          </w:tcPr>
          <w:p>
            <w:pPr>
              <w:pStyle w:val="33"/>
            </w:pPr>
            <w:r>
              <w:rPr>
                <w:rFonts w:hint="eastAsia"/>
              </w:rPr>
              <w:t>项目严格采用雨污分流，初期雨水收集处理后回用于厂区绿化和道路清扫，多余部分用于冷却循环系统补充水，不外排</w:t>
            </w:r>
          </w:p>
        </w:tc>
        <w:tc>
          <w:tcPr>
            <w:tcW w:w="577" w:type="pct"/>
            <w:shd w:val="clear" w:color="000000" w:fill="FFFFFF"/>
            <w:vAlign w:val="center"/>
          </w:tcPr>
          <w:p>
            <w:pPr>
              <w:pStyle w:val="33"/>
            </w:pPr>
            <w:r>
              <w:rPr>
                <w:rFonts w:hint="eastAsia"/>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5</w:t>
            </w:r>
          </w:p>
        </w:tc>
        <w:tc>
          <w:tcPr>
            <w:tcW w:w="2288" w:type="pct"/>
            <w:tcBorders>
              <w:left w:val="single" w:color="auto" w:sz="4" w:space="0"/>
            </w:tcBorders>
            <w:shd w:val="clear" w:color="000000" w:fill="FFFFFF"/>
            <w:vAlign w:val="center"/>
          </w:tcPr>
          <w:p>
            <w:pPr>
              <w:pStyle w:val="33"/>
            </w:pPr>
            <w:r>
              <w:rPr>
                <w:rFonts w:hint="eastAsia"/>
              </w:rPr>
              <w:t>入园企业须严格实施废水分质处理，确保绿色铝创新产业园、二道菁片区和三星坝片区工业废水不外排。引进项目应从生产工艺、设备、单位产品能耗、物耗、污染物排放和资源利用等方面，进一步提高清洁生产水平</w:t>
            </w:r>
          </w:p>
        </w:tc>
        <w:tc>
          <w:tcPr>
            <w:tcW w:w="1720" w:type="pct"/>
            <w:shd w:val="clear" w:color="000000" w:fill="FFFFFF"/>
            <w:vAlign w:val="center"/>
          </w:tcPr>
          <w:p>
            <w:pPr>
              <w:pStyle w:val="33"/>
            </w:pPr>
            <w:r>
              <w:rPr>
                <w:rFonts w:hint="eastAsia"/>
              </w:rPr>
              <w:t>项目初期雨水处理后回用于厂区绿化和道路清扫，多余部分用于冷却循环系统补充水，不外排，冷却循环系统定期排水收集后进入砚山县第一污水处理厂处理，不直接外排。项目符合清洁生产的要求</w:t>
            </w:r>
          </w:p>
        </w:tc>
        <w:tc>
          <w:tcPr>
            <w:tcW w:w="577" w:type="pct"/>
            <w:shd w:val="clear" w:color="000000" w:fill="FFFFFF"/>
            <w:vAlign w:val="center"/>
          </w:tcPr>
          <w:p>
            <w:pPr>
              <w:pStyle w:val="33"/>
            </w:pPr>
            <w:r>
              <w:rPr>
                <w:rFonts w:hint="eastAsia"/>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414" w:type="pct"/>
            <w:tcBorders>
              <w:right w:val="single" w:color="auto" w:sz="4" w:space="0"/>
            </w:tcBorders>
            <w:shd w:val="clear" w:color="000000" w:fill="FFFFFF"/>
            <w:vAlign w:val="center"/>
          </w:tcPr>
          <w:p>
            <w:pPr>
              <w:pStyle w:val="33"/>
            </w:pPr>
            <w:r>
              <w:rPr>
                <w:rFonts w:hint="eastAsia"/>
              </w:rPr>
              <w:t>6</w:t>
            </w:r>
          </w:p>
        </w:tc>
        <w:tc>
          <w:tcPr>
            <w:tcW w:w="2288" w:type="pct"/>
            <w:tcBorders>
              <w:left w:val="single" w:color="auto" w:sz="4" w:space="0"/>
            </w:tcBorders>
            <w:shd w:val="clear" w:color="000000" w:fill="FFFFFF"/>
            <w:vAlign w:val="center"/>
          </w:tcPr>
          <w:p>
            <w:pPr>
              <w:pStyle w:val="33"/>
            </w:pPr>
            <w:r>
              <w:rPr>
                <w:rFonts w:hint="eastAsia"/>
              </w:rPr>
              <w:t>加快推进区内产业转型升级，逐步淘汰现有不符合区域发展定位和环境保护要求的企业</w:t>
            </w:r>
          </w:p>
        </w:tc>
        <w:tc>
          <w:tcPr>
            <w:tcW w:w="1720" w:type="pct"/>
            <w:tcBorders>
              <w:bottom w:val="single" w:color="auto" w:sz="2" w:space="0"/>
            </w:tcBorders>
            <w:shd w:val="clear" w:color="000000" w:fill="FFFFFF"/>
            <w:vAlign w:val="center"/>
          </w:tcPr>
          <w:p>
            <w:pPr>
              <w:pStyle w:val="33"/>
            </w:pPr>
            <w:r>
              <w:rPr>
                <w:rFonts w:hint="eastAsia"/>
              </w:rPr>
              <w:t>项目位于布标片区绿色铝创新产业园，符合该片区的产业发展定位要求</w:t>
            </w:r>
          </w:p>
        </w:tc>
        <w:tc>
          <w:tcPr>
            <w:tcW w:w="577" w:type="pct"/>
            <w:shd w:val="clear" w:color="000000" w:fill="FFFFFF"/>
            <w:vAlign w:val="center"/>
          </w:tcPr>
          <w:p>
            <w:pPr>
              <w:pStyle w:val="33"/>
            </w:pPr>
            <w:r>
              <w:rPr>
                <w:rFonts w:hint="eastAsia"/>
              </w:rPr>
              <w:t>符合</w:t>
            </w:r>
          </w:p>
        </w:tc>
      </w:tr>
    </w:tbl>
    <w:p>
      <w:pPr>
        <w:pStyle w:val="7"/>
        <w:ind w:firstLine="480"/>
      </w:pPr>
      <w:r>
        <w:rPr>
          <w:rFonts w:hint="eastAsia"/>
        </w:rPr>
        <w:t>综上所述，</w:t>
      </w:r>
      <w:r>
        <w:t>本项目为</w:t>
      </w:r>
      <w:r>
        <w:rPr>
          <w:rFonts w:hint="eastAsia"/>
        </w:rPr>
        <w:t>铝合金材料</w:t>
      </w:r>
      <w:r>
        <w:t>生产，建设厂址位于砚山工业园区布标片区中“绿色铝创新产业园”规划范围内</w:t>
      </w:r>
      <w:r>
        <w:rPr>
          <w:rFonts w:hint="eastAsia"/>
        </w:rPr>
        <w:t>，项目建设与</w:t>
      </w:r>
      <w:r>
        <w:rPr>
          <w:rFonts w:hint="eastAsia"/>
          <w:lang w:eastAsia="zh-CN"/>
        </w:rPr>
        <w:t>“</w:t>
      </w:r>
      <w:r>
        <w:rPr>
          <w:rFonts w:hint="eastAsia"/>
        </w:rPr>
        <w:t>《砚山工业园区总体规划修编2019~2035》环境影响报告书审查意见的函”（云环函2020【7】号）中相关要求相符合。</w:t>
      </w:r>
    </w:p>
    <w:p>
      <w:pPr>
        <w:pStyle w:val="8"/>
      </w:pPr>
      <w:r>
        <w:rPr>
          <w:rFonts w:hint="eastAsia"/>
        </w:rPr>
        <w:t>1.3.11项目与砚山工业园区规划环评相关要求符合性分析</w:t>
      </w:r>
    </w:p>
    <w:p>
      <w:pPr>
        <w:pStyle w:val="7"/>
        <w:ind w:firstLine="480"/>
      </w:pPr>
      <w:r>
        <w:rPr>
          <w:rFonts w:hint="eastAsia"/>
        </w:rPr>
        <w:t>根据《砚山工业园区总体规划修编2019~2035》环境影响报告书，园区各片区产业发展负面清单如下：</w:t>
      </w:r>
    </w:p>
    <w:p>
      <w:pPr>
        <w:pStyle w:val="7"/>
        <w:ind w:firstLine="480"/>
      </w:pPr>
      <w:r>
        <w:rPr>
          <w:rFonts w:hint="eastAsia"/>
        </w:rPr>
        <w:t>1、不符合园区规划产业布局的行业不得入园。</w:t>
      </w:r>
    </w:p>
    <w:p>
      <w:pPr>
        <w:pStyle w:val="7"/>
        <w:ind w:firstLine="480"/>
      </w:pPr>
      <w:r>
        <w:rPr>
          <w:rFonts w:hint="eastAsia"/>
        </w:rPr>
        <w:t>2、严格按《产业结构调整指导目录（2019年本）》要求进行企业的引进。</w:t>
      </w:r>
    </w:p>
    <w:p>
      <w:pPr>
        <w:pStyle w:val="7"/>
        <w:ind w:firstLine="480"/>
      </w:pPr>
      <w:r>
        <w:rPr>
          <w:rFonts w:hint="eastAsia"/>
        </w:rPr>
        <w:t>3、针对园区产业布局提出如下负面清单：</w:t>
      </w:r>
    </w:p>
    <w:p>
      <w:pPr>
        <w:pStyle w:val="7"/>
        <w:ind w:firstLine="480"/>
      </w:pPr>
      <w:r>
        <w:rPr>
          <w:rFonts w:hint="eastAsia"/>
        </w:rPr>
        <w:t>（1）建材</w:t>
      </w:r>
    </w:p>
    <w:p>
      <w:pPr>
        <w:pStyle w:val="7"/>
        <w:ind w:firstLine="480"/>
      </w:pPr>
      <w:r>
        <w:rPr>
          <w:rFonts w:hint="eastAsia"/>
        </w:rPr>
        <w:t>禁止新建扩建水泥、玻璃、建筑陶瓷、石膏板、空心砖、石棉、改性沥青制品和普通技术等级混凝土离心桩和混凝土管生产项目（达到清洁生产要求的资源综合利用和资源回收项目除外；不新增产能的技改和环保改造项目除外）</w:t>
      </w:r>
    </w:p>
    <w:p>
      <w:pPr>
        <w:pStyle w:val="7"/>
        <w:ind w:firstLine="480"/>
      </w:pPr>
      <w:r>
        <w:rPr>
          <w:rFonts w:hint="eastAsia"/>
        </w:rPr>
        <w:t>（</w:t>
      </w:r>
      <w:r>
        <w:rPr>
          <w:rFonts w:hint="eastAsia"/>
          <w:lang w:val="en-US" w:eastAsia="zh-CN"/>
        </w:rPr>
        <w:t>2</w:t>
      </w:r>
      <w:r>
        <w:rPr>
          <w:rFonts w:hint="eastAsia"/>
        </w:rPr>
        <w:t>）医药</w:t>
      </w:r>
    </w:p>
    <w:p>
      <w:pPr>
        <w:pStyle w:val="7"/>
        <w:ind w:firstLine="480"/>
      </w:pPr>
      <w:r>
        <w:rPr>
          <w:rFonts w:hint="eastAsia"/>
        </w:rPr>
        <w:t>禁止新开办无新药证书的药品生产企业；</w:t>
      </w:r>
    </w:p>
    <w:p>
      <w:pPr>
        <w:pStyle w:val="7"/>
        <w:ind w:firstLine="480"/>
      </w:pPr>
      <w:r>
        <w:rPr>
          <w:rFonts w:hint="eastAsia"/>
        </w:rPr>
        <w:t>禁止新建扩建产能过剩的维生素、抗生素、化学原料药生产项目（符合国家、省和新区鼓励发展的战略性新兴产业项目除外；出口型和填补/替代进口的产品生产除外）；禁止采用不能达到废水零排放和易造成严重大气污染的生产工艺；禁止新建扩建劳动保护、三废治理不能达到国家标准的原料药生产装置</w:t>
      </w:r>
    </w:p>
    <w:p>
      <w:pPr>
        <w:pStyle w:val="7"/>
        <w:ind w:firstLine="480"/>
      </w:pPr>
      <w:r>
        <w:rPr>
          <w:rFonts w:hint="eastAsia"/>
        </w:rPr>
        <w:t>禁止新建及改扩建原料含有尚未规模化种植或养殖的濒危动植物药材的产品生产装置</w:t>
      </w:r>
    </w:p>
    <w:p>
      <w:pPr>
        <w:pStyle w:val="7"/>
        <w:ind w:firstLine="480"/>
      </w:pPr>
      <w:r>
        <w:rPr>
          <w:rFonts w:hint="eastAsia"/>
        </w:rPr>
        <w:t>禁止新建扩建产能过剩的一般规格医疗器械生产项目（符合国家、省和新区鼓励发展的战略性新兴产业项目除外；出口型和填补/替代进口的产品生产除外）</w:t>
      </w:r>
    </w:p>
    <w:p>
      <w:pPr>
        <w:pStyle w:val="7"/>
        <w:ind w:firstLine="480"/>
      </w:pPr>
      <w:r>
        <w:rPr>
          <w:rFonts w:hint="eastAsia"/>
        </w:rPr>
        <w:t>（</w:t>
      </w:r>
      <w:r>
        <w:rPr>
          <w:rFonts w:hint="eastAsia"/>
          <w:lang w:val="en-US" w:eastAsia="zh-CN"/>
        </w:rPr>
        <w:t>3</w:t>
      </w:r>
      <w:r>
        <w:rPr>
          <w:rFonts w:hint="eastAsia"/>
        </w:rPr>
        <w:t>）机械</w:t>
      </w:r>
    </w:p>
    <w:p>
      <w:pPr>
        <w:pStyle w:val="7"/>
        <w:ind w:firstLine="480"/>
      </w:pPr>
      <w:r>
        <w:rPr>
          <w:rFonts w:hint="eastAsia"/>
        </w:rPr>
        <w:t>限制新建扩建一般性采矿、选矿设备生产项目（符合国家、省和新区鼓励发展的战略性新兴产业项目除外；出口型和填补/替代进口的产品生产除外）；禁止新建扩建国家淘汰类的采选和冶炼设备生产项目</w:t>
      </w:r>
    </w:p>
    <w:p>
      <w:pPr>
        <w:pStyle w:val="7"/>
        <w:ind w:firstLine="480"/>
      </w:pPr>
      <w:r>
        <w:rPr>
          <w:rFonts w:hint="eastAsia"/>
        </w:rPr>
        <w:t>限制新建低速汽车（三轮汽车、低速货车）及配套零部件生产项目；禁止新建非法拼(组)装汽车、摩托车生产项目</w:t>
      </w:r>
    </w:p>
    <w:p>
      <w:pPr>
        <w:pStyle w:val="7"/>
        <w:ind w:firstLine="480"/>
      </w:pPr>
      <w:r>
        <w:rPr>
          <w:rFonts w:hint="eastAsia"/>
        </w:rPr>
        <w:t xml:space="preserve">限制新建常规燃煤火力发电设备制造项目（综合利用、热电联产机组除外） </w:t>
      </w:r>
    </w:p>
    <w:p>
      <w:pPr>
        <w:pStyle w:val="7"/>
        <w:ind w:firstLine="480"/>
      </w:pPr>
      <w:r>
        <w:rPr>
          <w:rFonts w:hint="eastAsia"/>
        </w:rPr>
        <w:t>限制新建产能过剩的电线、电缆制造项目（用于新能源、信息产业、航天航空、轨道交通、海洋工程等领域的特种电线电缆除外）；禁止新建产能过剩型输配电设备生产项目（符合国家、省和新区鼓励发展的战略性新兴产业项目除外；出口型和填补/替代进口的产品生产除外）</w:t>
      </w:r>
    </w:p>
    <w:p>
      <w:pPr>
        <w:pStyle w:val="7"/>
        <w:ind w:firstLine="480"/>
      </w:pPr>
      <w:r>
        <w:rPr>
          <w:rFonts w:hint="eastAsia"/>
        </w:rPr>
        <w:t>限制新建非数控机床及配套零部件生产项目（出口型和填补/替代进口的产品生产除外）</w:t>
      </w:r>
    </w:p>
    <w:p>
      <w:pPr>
        <w:pStyle w:val="7"/>
        <w:ind w:firstLine="480"/>
      </w:pPr>
      <w:r>
        <w:rPr>
          <w:rFonts w:hint="eastAsia"/>
        </w:rPr>
        <w:t>限制新建普通低档标准紧固件、铸锻件、空气压缩机、蒸汽锤、锻造液压机、盘摩擦压力机生产项目</w:t>
      </w:r>
    </w:p>
    <w:p>
      <w:pPr>
        <w:pStyle w:val="7"/>
        <w:ind w:firstLine="480"/>
      </w:pPr>
      <w:r>
        <w:rPr>
          <w:rFonts w:hint="eastAsia"/>
        </w:rPr>
        <w:t xml:space="preserve">限制新建普通运输集装干箱项目 </w:t>
      </w:r>
    </w:p>
    <w:p>
      <w:pPr>
        <w:pStyle w:val="7"/>
        <w:ind w:firstLine="480"/>
      </w:pPr>
      <w:r>
        <w:rPr>
          <w:rFonts w:hint="eastAsia"/>
        </w:rPr>
        <w:t>限制新建一般技术等级的产能过剩型泵、阀门等五金产品（符合国家、省和新区鼓励发展的战略性新兴产业项目除外；出口型和填补/替代进口的产品生产除外）；</w:t>
      </w:r>
    </w:p>
    <w:p>
      <w:pPr>
        <w:pStyle w:val="7"/>
        <w:ind w:firstLine="480"/>
      </w:pPr>
      <w:r>
        <w:rPr>
          <w:rFonts w:hint="eastAsia"/>
        </w:rPr>
        <w:t>限制新建一般规格的电动机及电钻、电动砂轮机等相关产品（符合国家、省和新区鼓励发展的战略性新兴产业项目除外；出口型和填补/替代进口的产品生产除外）</w:t>
      </w:r>
    </w:p>
    <w:p>
      <w:pPr>
        <w:pStyle w:val="7"/>
        <w:ind w:firstLine="480"/>
      </w:pPr>
      <w:r>
        <w:rPr>
          <w:rFonts w:hint="eastAsia"/>
        </w:rPr>
        <w:t>限制新建一般规格的产能过剩型农业生产和农业加工机械（符合国家、省和新区鼓励发展的战略性新兴产业项目除外；出口型和填补/替代进口的产品生产除外）</w:t>
      </w:r>
    </w:p>
    <w:p>
      <w:pPr>
        <w:pStyle w:val="7"/>
        <w:ind w:firstLine="480"/>
      </w:pPr>
      <w:r>
        <w:rPr>
          <w:rFonts w:hint="eastAsia"/>
        </w:rPr>
        <w:t>禁止新建扩建国家淘汰类机电五金产品生产项目</w:t>
      </w:r>
    </w:p>
    <w:p>
      <w:pPr>
        <w:pStyle w:val="7"/>
        <w:ind w:firstLine="480"/>
      </w:pPr>
      <w:r>
        <w:rPr>
          <w:rFonts w:hint="eastAsia"/>
        </w:rPr>
        <w:t>（</w:t>
      </w:r>
      <w:r>
        <w:rPr>
          <w:rFonts w:hint="eastAsia"/>
          <w:lang w:val="en-US" w:eastAsia="zh-CN"/>
        </w:rPr>
        <w:t>4</w:t>
      </w:r>
      <w:r>
        <w:rPr>
          <w:rFonts w:hint="eastAsia"/>
        </w:rPr>
        <w:t xml:space="preserve">）轻工 </w:t>
      </w:r>
    </w:p>
    <w:p>
      <w:pPr>
        <w:pStyle w:val="7"/>
        <w:ind w:firstLine="480"/>
      </w:pPr>
      <w:r>
        <w:rPr>
          <w:rFonts w:hint="eastAsia"/>
        </w:rPr>
        <w:t>禁止新建高污染高排放的普通人造革、产能过剩的塑料制品的生产项目（出口型和填补/替代进口的产品生产除外；资源综合利用项目除外；环境友好可降解型产品生产项目除外）</w:t>
      </w:r>
    </w:p>
    <w:p>
      <w:pPr>
        <w:pStyle w:val="7"/>
        <w:ind w:firstLine="480"/>
      </w:pPr>
      <w:r>
        <w:rPr>
          <w:rFonts w:hint="eastAsia"/>
        </w:rPr>
        <w:t>限制新建普通照明白炽灯、高压汞灯、糊式锌锰电池、镉镍电池、一般精度和规格电子计量器具生产项目（具有出口订单的产品生产项目除外；）</w:t>
      </w:r>
    </w:p>
    <w:p>
      <w:pPr>
        <w:pStyle w:val="7"/>
        <w:ind w:firstLine="480"/>
      </w:pPr>
      <w:r>
        <w:rPr>
          <w:rFonts w:hint="eastAsia"/>
        </w:rPr>
        <w:t>禁止新建造纸项目，禁止新建产能过剩的普通纸制品生产项目；禁止高污染高耗水高排放的纸浆、漂白工艺</w:t>
      </w:r>
    </w:p>
    <w:p>
      <w:pPr>
        <w:pStyle w:val="7"/>
        <w:ind w:firstLine="480"/>
      </w:pPr>
      <w:r>
        <w:rPr>
          <w:rFonts w:hint="eastAsia"/>
        </w:rPr>
        <w:t>限制新建产能过剩的玻璃制品生产项目（具有出口订单的产品生产项目除外）</w:t>
      </w:r>
    </w:p>
    <w:p>
      <w:pPr>
        <w:pStyle w:val="7"/>
        <w:ind w:firstLine="480"/>
      </w:pPr>
      <w:r>
        <w:rPr>
          <w:rFonts w:hint="eastAsia"/>
        </w:rPr>
        <w:t>限制新建产能过剩的洗涤产品、日化产品生产项目（出口型产品和填补/替代进口的产品生产除外）</w:t>
      </w:r>
    </w:p>
    <w:p>
      <w:pPr>
        <w:pStyle w:val="7"/>
        <w:ind w:firstLine="480"/>
      </w:pPr>
      <w:r>
        <w:rPr>
          <w:rFonts w:hint="eastAsia"/>
        </w:rPr>
        <w:t>限制新建小规模的制糖、果汁、油料加工、啤酒、白酒、味精、乳品等食品、饮料和食品添加剂生产项目（出口型产品和填补/替代进口的产品生产除外）；禁止新建扩建高污染高排放的食品生产项目</w:t>
      </w:r>
    </w:p>
    <w:p>
      <w:pPr>
        <w:pStyle w:val="7"/>
        <w:ind w:firstLine="480"/>
      </w:pPr>
      <w:r>
        <w:rPr>
          <w:rFonts w:hint="eastAsia"/>
        </w:rPr>
        <w:t>本规划范围内限制新建年屠宰生猪15万头及以下、肉牛1万头及以下、肉羊15万只及以下、活禽1000万只及以下的屠宰建设项目（少数民族地区除外）；限制新建3000吨/年及以下的西式肉制品加工项目；禁止新建手工屠宰厂项目</w:t>
      </w:r>
    </w:p>
    <w:p>
      <w:pPr>
        <w:pStyle w:val="7"/>
        <w:ind w:firstLine="480"/>
      </w:pPr>
      <w:r>
        <w:rPr>
          <w:rFonts w:hint="eastAsia"/>
        </w:rPr>
        <w:t>（</w:t>
      </w:r>
      <w:r>
        <w:rPr>
          <w:rFonts w:hint="eastAsia"/>
          <w:lang w:val="en-US" w:eastAsia="zh-CN"/>
        </w:rPr>
        <w:t>5</w:t>
      </w:r>
      <w:r>
        <w:rPr>
          <w:rFonts w:hint="eastAsia"/>
        </w:rPr>
        <w:t xml:space="preserve">）纺织 </w:t>
      </w:r>
    </w:p>
    <w:p>
      <w:pPr>
        <w:pStyle w:val="7"/>
        <w:ind w:firstLine="480"/>
      </w:pPr>
      <w:r>
        <w:rPr>
          <w:rFonts w:hint="eastAsia"/>
        </w:rPr>
        <w:t>限制新建产能过剩的一般规格化纤、面料、织物生产项目（出口型产品和填补/替代进口的产品生产除外）；禁止不符合清洁生产要求的纺织工艺、印染工业；禁止新建淘汰类纺织机械装备制造项目</w:t>
      </w:r>
    </w:p>
    <w:p>
      <w:pPr>
        <w:pStyle w:val="7"/>
        <w:ind w:firstLine="480"/>
      </w:pPr>
      <w:r>
        <w:rPr>
          <w:rFonts w:hint="eastAsia"/>
        </w:rPr>
        <w:t>（</w:t>
      </w:r>
      <w:r>
        <w:rPr>
          <w:rFonts w:hint="eastAsia"/>
          <w:lang w:val="en-US" w:eastAsia="zh-CN"/>
        </w:rPr>
        <w:t>6</w:t>
      </w:r>
      <w:r>
        <w:rPr>
          <w:rFonts w:hint="eastAsia"/>
        </w:rPr>
        <w:t>）印刷</w:t>
      </w:r>
    </w:p>
    <w:p>
      <w:pPr>
        <w:pStyle w:val="7"/>
        <w:ind w:firstLine="480"/>
      </w:pPr>
      <w:r>
        <w:rPr>
          <w:rFonts w:hint="eastAsia"/>
        </w:rPr>
        <w:t>禁止新建国家淘汰类的印刷设备生产项目；禁止新建高污染的印刷项目，禁止采用环境保护不达标的印刷工艺；限制新建产能过剩的印刷耗材产品生产项目（出口型产品和填补/替代进口的产品生产除外）</w:t>
      </w:r>
    </w:p>
    <w:p>
      <w:pPr>
        <w:pStyle w:val="7"/>
        <w:ind w:firstLine="480"/>
      </w:pPr>
      <w:r>
        <w:rPr>
          <w:rFonts w:hint="eastAsia"/>
        </w:rPr>
        <w:t>针对三个片区的</w:t>
      </w:r>
      <w:r>
        <w:rPr>
          <w:rFonts w:hint="eastAsia"/>
          <w:lang w:eastAsia="zh-CN"/>
        </w:rPr>
        <w:t>招商引资</w:t>
      </w:r>
      <w:r>
        <w:rPr>
          <w:rFonts w:hint="eastAsia"/>
        </w:rPr>
        <w:t>应严格按规划的产业定位，不符合产业布局的行业不得入园。</w:t>
      </w:r>
    </w:p>
    <w:p>
      <w:pPr>
        <w:pStyle w:val="7"/>
        <w:ind w:firstLine="480"/>
      </w:pPr>
      <w:r>
        <w:rPr>
          <w:rFonts w:hint="eastAsia"/>
        </w:rPr>
        <w:t>1、布标片区：主导产业为重点发展水电铝材一体化产业、电子信息产业，并综合发展特色食品制造产业、消费品制造产业和现代物流产业。不符合上述产业，不得入该片区。</w:t>
      </w:r>
    </w:p>
    <w:p>
      <w:pPr>
        <w:pStyle w:val="7"/>
        <w:ind w:firstLine="480"/>
      </w:pPr>
      <w:r>
        <w:rPr>
          <w:rFonts w:hint="eastAsia"/>
        </w:rPr>
        <w:t>2、二道箐片区：主导产业为水电铝的配套产业（以碳素等配套原料产业为重点），不符合上述产业，不得入该片区。</w:t>
      </w:r>
    </w:p>
    <w:p>
      <w:pPr>
        <w:pStyle w:val="7"/>
        <w:ind w:firstLine="480"/>
      </w:pPr>
      <w:r>
        <w:rPr>
          <w:rFonts w:hint="eastAsia"/>
        </w:rPr>
        <w:t xml:space="preserve">3、三星坝片区：主要发展新型建材产业，包括铝型材，不符合上述产业，不得入该片区。针对原有老企业可进行保留，但需满足企业所属行业的产业政策和排污要求；同时根据所在区域环境功能和保护目标的情况，技改提升其生产工艺水平和排放标准。 </w:t>
      </w:r>
    </w:p>
    <w:p>
      <w:pPr>
        <w:pStyle w:val="7"/>
        <w:ind w:firstLine="480"/>
      </w:pPr>
      <w:r>
        <w:rPr>
          <w:rFonts w:hint="eastAsia"/>
        </w:rPr>
        <w:t>根据分析，项目符合园区规划产业布局，符合《产业结构调整指导目录（2019年本）》要求，项目属于水电铝材一体化产业，符合布标片区的主导产业。项目不属于</w:t>
      </w:r>
      <w:r>
        <w:rPr>
          <w:rFonts w:hint="eastAsia"/>
          <w:lang w:eastAsia="zh-CN"/>
        </w:rPr>
        <w:t>《</w:t>
      </w:r>
      <w:r>
        <w:rPr>
          <w:rFonts w:hint="eastAsia"/>
        </w:rPr>
        <w:t>砚山工业园区总体规划修编2019~2035》环境影响报告书中限制和禁止引入类项目。</w:t>
      </w:r>
    </w:p>
    <w:p>
      <w:pPr>
        <w:pStyle w:val="8"/>
      </w:pPr>
      <w:bookmarkStart w:id="21" w:name="_Toc43732461"/>
      <w:bookmarkStart w:id="22" w:name="_Toc528888109"/>
      <w:bookmarkStart w:id="23" w:name="_Toc46215089"/>
      <w:r>
        <w:rPr>
          <w:rFonts w:hint="eastAsia"/>
        </w:rPr>
        <w:t>1.3.12选址合理性</w:t>
      </w:r>
      <w:r>
        <w:t>分析</w:t>
      </w:r>
      <w:bookmarkEnd w:id="21"/>
      <w:bookmarkEnd w:id="22"/>
      <w:bookmarkEnd w:id="23"/>
    </w:p>
    <w:p>
      <w:pPr>
        <w:pStyle w:val="7"/>
        <w:ind w:firstLine="482"/>
        <w:rPr>
          <w:b/>
          <w:bCs/>
        </w:rPr>
      </w:pPr>
      <w:r>
        <w:rPr>
          <w:rFonts w:hint="eastAsia"/>
          <w:b/>
          <w:bCs/>
        </w:rPr>
        <w:t>1、规划及布局条件</w:t>
      </w:r>
    </w:p>
    <w:p>
      <w:pPr>
        <w:pStyle w:val="7"/>
        <w:ind w:firstLine="480"/>
      </w:pPr>
      <w:r>
        <w:rPr>
          <w:rFonts w:hint="eastAsia"/>
        </w:rPr>
        <w:t>本项目厂址位于工业园区规划范围内、不涉及县级以上人民政府批准的饮用水水源保护区、基本农田保护区、自然保护区、生态旅游区、森林公园、风景名胜区、生态功能保护区、军事设施等重点保护地区，城市中心区及其近郊，居民集中区等敏感区域。</w:t>
      </w:r>
    </w:p>
    <w:p>
      <w:pPr>
        <w:pStyle w:val="7"/>
        <w:ind w:firstLine="480"/>
      </w:pPr>
      <w:r>
        <w:rPr>
          <w:rFonts w:hint="eastAsia"/>
        </w:rPr>
        <w:t>根据“砚山县人民政府关于云南绿色铝创新产业园建设项目房屋征收及搬迁安置工作实施方案的批复文件——砚政复[2019]499号”的要求，拟将园区规划范围内已有的处暑村和小听湖（搬迁）村的109户、534人进行搬迁安置。本项目位于砚山工业园区布标</w:t>
      </w:r>
      <w:r>
        <w:rPr>
          <w:rFonts w:hint="eastAsia"/>
          <w:lang w:eastAsia="zh-CN"/>
        </w:rPr>
        <w:t>片区</w:t>
      </w:r>
      <w:r>
        <w:rPr>
          <w:rFonts w:hint="eastAsia"/>
        </w:rPr>
        <w:t>范围内，厂区范围内无居民，其厂址布局及生产规模符合《砚山工业园区总体规划【修编】（2019-2035）》中绿色铝创新产业园的规划定位、符合园区规划。</w:t>
      </w:r>
    </w:p>
    <w:p>
      <w:pPr>
        <w:pStyle w:val="7"/>
        <w:ind w:firstLine="480"/>
        <w:rPr>
          <w:rFonts w:hint="eastAsia"/>
        </w:rPr>
      </w:pPr>
      <w:r>
        <w:rPr>
          <w:rFonts w:hint="eastAsia"/>
        </w:rPr>
        <w:t>危险废物贮存按《报告书》要求落实防治措施后，与《危险废物贮存污染控制标准》（GB18597-2001）及其2013修改单中危险废物贮存设施的选址要求相符。</w:t>
      </w:r>
    </w:p>
    <w:p>
      <w:pPr>
        <w:pStyle w:val="7"/>
        <w:ind w:firstLine="480"/>
        <w:rPr>
          <w:rFonts w:hint="eastAsia"/>
        </w:rPr>
      </w:pPr>
    </w:p>
    <w:p>
      <w:pPr>
        <w:pStyle w:val="7"/>
        <w:ind w:firstLine="482"/>
        <w:rPr>
          <w:b/>
          <w:bCs/>
        </w:rPr>
      </w:pPr>
      <w:r>
        <w:rPr>
          <w:rFonts w:hint="eastAsia"/>
          <w:b/>
          <w:bCs/>
        </w:rPr>
        <w:t>2、对厂址周围环境的影响</w:t>
      </w:r>
    </w:p>
    <w:p>
      <w:pPr>
        <w:pStyle w:val="7"/>
        <w:ind w:firstLine="480"/>
      </w:pPr>
      <w:r>
        <w:rPr>
          <w:rFonts w:hint="eastAsia"/>
        </w:rPr>
        <w:t>（1）对环境空气质量影响</w:t>
      </w:r>
    </w:p>
    <w:p>
      <w:pPr>
        <w:pStyle w:val="7"/>
        <w:ind w:firstLine="480"/>
        <w:rPr>
          <w:color w:val="auto"/>
          <w:highlight w:val="none"/>
        </w:rPr>
      </w:pPr>
      <w:r>
        <w:rPr>
          <w:rFonts w:hint="eastAsia"/>
        </w:rPr>
        <w:t>本项目对空气环境的影响主要表现为废气污染物中的氯气、二氧化硫、氮氧化物、颗粒物氟化物的排放对空气环境的影响。</w:t>
      </w:r>
      <w:r>
        <w:rPr>
          <w:rFonts w:hint="eastAsia"/>
          <w:color w:val="auto"/>
          <w:highlight w:val="none"/>
        </w:rPr>
        <w:t>严格按《报告书》提出的“卫生防护距离”的设置要求设置卫生防护距离并按要求统一管理、本项目的运行对“卫生防护距离”以外的区域的空气环境质量影响不大、对关心点的影响不大，不会改变其环境功能要求。</w:t>
      </w:r>
    </w:p>
    <w:p>
      <w:pPr>
        <w:pStyle w:val="7"/>
        <w:ind w:firstLine="480"/>
      </w:pPr>
      <w:r>
        <w:rPr>
          <w:rFonts w:hint="eastAsia"/>
        </w:rPr>
        <w:t>（2）对水环境的影响</w:t>
      </w:r>
    </w:p>
    <w:p>
      <w:pPr>
        <w:pStyle w:val="7"/>
        <w:ind w:firstLine="480"/>
      </w:pPr>
      <w:r>
        <w:rPr>
          <w:rFonts w:hint="eastAsia"/>
        </w:rPr>
        <w:t>本项目初期雨水经初期雨水沉淀池收集后回用于项目区绿化及循环冷却水补充水；循环冷却系统定期排水、生活污水经预处理达标后通过市政污水管网进入砚山县第一污水处理厂进行处理。在对化粪池、隔油池、初期雨水收集池、收集管道及厂区地面做好防渗处理的前提下，项目废水排放对周围地表水环境影响很小。同时严格按《报告书》提出的要求落实</w:t>
      </w:r>
      <w:r>
        <w:rPr>
          <w:rFonts w:hint="eastAsia"/>
          <w:szCs w:val="22"/>
        </w:rPr>
        <w:t>厂区的污染防渗措施</w:t>
      </w:r>
      <w:r>
        <w:rPr>
          <w:rFonts w:hint="eastAsia"/>
        </w:rPr>
        <w:t>、对地下水的运行可控。</w:t>
      </w:r>
    </w:p>
    <w:p>
      <w:pPr>
        <w:pStyle w:val="7"/>
        <w:ind w:firstLine="480"/>
      </w:pPr>
      <w:r>
        <w:rPr>
          <w:rFonts w:hint="eastAsia"/>
        </w:rPr>
        <w:t>（3）对声环境的影响</w:t>
      </w:r>
    </w:p>
    <w:p>
      <w:pPr>
        <w:pStyle w:val="7"/>
        <w:ind w:firstLine="480"/>
      </w:pPr>
      <w:r>
        <w:rPr>
          <w:rFonts w:hint="eastAsia"/>
        </w:rPr>
        <w:t>工程设计采取了严格的噪声防治措施，噪声防治措施较为有效，项目厂界昼、夜噪声预测值均可达《工业企业厂界环境噪声排放标准》（GB12348-2008）3类标准，在采取降噪措施后，项目区域环境噪声可以达标，不会改变关心点的声环境功能要求。</w:t>
      </w:r>
    </w:p>
    <w:p>
      <w:pPr>
        <w:pStyle w:val="7"/>
        <w:ind w:firstLine="480"/>
      </w:pPr>
      <w:r>
        <w:rPr>
          <w:rFonts w:hint="eastAsia"/>
        </w:rPr>
        <w:t>（4）固废处置</w:t>
      </w:r>
    </w:p>
    <w:p>
      <w:pPr>
        <w:pStyle w:val="7"/>
        <w:ind w:firstLine="480"/>
      </w:pPr>
      <w:r>
        <w:rPr>
          <w:rFonts w:hint="eastAsia"/>
        </w:rPr>
        <w:t>本项目运行过程中产生的固废100%处置、无排放。</w:t>
      </w:r>
    </w:p>
    <w:p>
      <w:pPr>
        <w:pStyle w:val="7"/>
        <w:ind w:firstLine="480"/>
      </w:pPr>
      <w:r>
        <w:rPr>
          <w:rFonts w:hint="eastAsia"/>
        </w:rPr>
        <w:t>（5）对生态环境的影响</w:t>
      </w:r>
    </w:p>
    <w:p>
      <w:pPr>
        <w:pStyle w:val="7"/>
        <w:ind w:firstLine="480"/>
        <w:rPr>
          <w:color w:val="auto"/>
          <w:highlight w:val="none"/>
        </w:rPr>
      </w:pPr>
      <w:r>
        <w:rPr>
          <w:rFonts w:hint="eastAsia"/>
          <w:color w:val="auto"/>
          <w:highlight w:val="none"/>
        </w:rPr>
        <w:t>本项目占地类型为工业园区的建设用地，工业园区基础设施</w:t>
      </w:r>
      <w:r>
        <w:rPr>
          <w:rFonts w:hint="eastAsia"/>
          <w:color w:val="auto"/>
          <w:highlight w:val="none"/>
          <w:lang w:eastAsia="zh-CN"/>
        </w:rPr>
        <w:t>建设</w:t>
      </w:r>
      <w:r>
        <w:rPr>
          <w:rFonts w:hint="eastAsia"/>
          <w:color w:val="auto"/>
          <w:highlight w:val="none"/>
        </w:rPr>
        <w:t>正在建设过程中、所处区域将逐步形成产业园区。厂址区域内无保护类动、植物分布，项目的建设、运行不会对当地生态结构、生态平衡造成不利影响。</w:t>
      </w:r>
    </w:p>
    <w:p>
      <w:pPr>
        <w:pStyle w:val="7"/>
        <w:ind w:firstLine="480"/>
      </w:pPr>
      <w:r>
        <w:rPr>
          <w:rFonts w:hint="eastAsia"/>
        </w:rPr>
        <w:t>（6）环境风险防范</w:t>
      </w:r>
    </w:p>
    <w:p>
      <w:pPr>
        <w:pStyle w:val="7"/>
        <w:ind w:firstLine="480"/>
      </w:pPr>
      <w:r>
        <w:rPr>
          <w:rFonts w:hint="eastAsia"/>
        </w:rPr>
        <w:t>项目建设过程必须严格落实安全生产的“三同时”和污染控制措施的“三同时”，生产运行过程中必须严格落实各项风险防范措施，从设置“控制防护距离”、风险防范、事故处置、应急预案四个层面制定并建立、健全和完善风险防范及管理体系，才能有控制风险事故的发生，保障项目属地、周边环境和公众的安全。</w:t>
      </w:r>
    </w:p>
    <w:p>
      <w:pPr>
        <w:pStyle w:val="7"/>
        <w:ind w:firstLine="480"/>
      </w:pPr>
      <w:r>
        <w:rPr>
          <w:rFonts w:hint="eastAsia"/>
        </w:rPr>
        <w:t>严格落实“报告书”提出的风险防范措施，本项目的环境风险是可控制的。</w:t>
      </w:r>
    </w:p>
    <w:p>
      <w:pPr>
        <w:pStyle w:val="7"/>
        <w:ind w:firstLine="480"/>
        <w:rPr>
          <w:highlight w:val="none"/>
        </w:rPr>
      </w:pPr>
      <w:r>
        <w:rPr>
          <w:rFonts w:hint="eastAsia"/>
          <w:highlight w:val="none"/>
        </w:rPr>
        <w:t>综上所述，项目建设符合工业园区相关规划。本项目厂址所在地属于工业用地。从现状监测结果分析本项目周边环境质量良好，项目投入生产后对环境影响可接受、项目的建设运行不会改变项目区的环境功能。本项目的建设得到周边企事业单位和群众的支持。故本项目选址整体上符合环境保护等要求，具有良好的社会经济效益，该项目在所选择的厂址是合理可行的。</w:t>
      </w:r>
    </w:p>
    <w:p>
      <w:pPr>
        <w:pStyle w:val="8"/>
      </w:pPr>
      <w:r>
        <w:rPr>
          <w:rFonts w:hint="eastAsia"/>
        </w:rPr>
        <w:t>1.3.13平面布局合理性分析</w:t>
      </w:r>
    </w:p>
    <w:p>
      <w:pPr>
        <w:pStyle w:val="7"/>
        <w:ind w:firstLine="480"/>
      </w:pPr>
      <w:r>
        <w:rPr>
          <w:rFonts w:hint="eastAsia"/>
        </w:rPr>
        <w:t>本项目分两期建设，一期工程位于厂区西侧及中部，二期工程位于厂区东侧。项目东侧设置出入口，方便原料、人员及成品进出。</w:t>
      </w:r>
    </w:p>
    <w:p>
      <w:pPr>
        <w:pStyle w:val="7"/>
        <w:ind w:firstLine="480"/>
      </w:pPr>
      <w:r>
        <w:rPr>
          <w:rFonts w:hint="eastAsia"/>
        </w:rPr>
        <w:t>一期工程生产车间内从南至北依次布置铝灰处理车间、辅助设施、原辅料库、生产区、成品仓库。生产区布置铝合金圆铸锭、铝合金板锭生产线；其中圆铸锭生产线位于车间左侧，板锭生产线位于车间右侧。生产车间南部为原辅料车间，北部为货场。原辅料车间南侧布置铝灰分离车间及配电室、维修室及空压机房。为氯气站、氩气站位于一期生产车间西侧。</w:t>
      </w:r>
    </w:p>
    <w:p>
      <w:pPr>
        <w:pStyle w:val="7"/>
        <w:ind w:firstLine="480"/>
      </w:pPr>
      <w:r>
        <w:rPr>
          <w:rFonts w:hint="eastAsia"/>
        </w:rPr>
        <w:t>二期工程生产车间内布置铝合金铸轧板生产线，生产车间南侧为铝灰分离车间。</w:t>
      </w:r>
    </w:p>
    <w:p>
      <w:pPr>
        <w:pStyle w:val="7"/>
        <w:ind w:firstLine="480"/>
      </w:pPr>
      <w:r>
        <w:rPr>
          <w:rFonts w:hint="eastAsia"/>
        </w:rPr>
        <w:t>厂区平面布置合理性分析如下：</w:t>
      </w:r>
    </w:p>
    <w:p>
      <w:pPr>
        <w:pStyle w:val="7"/>
        <w:ind w:firstLine="480"/>
      </w:pPr>
      <w:r>
        <w:rPr>
          <w:rFonts w:hint="eastAsia"/>
        </w:rPr>
        <w:t>（1）本项目严格按照《建筑设计防火规范》（GB50016-2014）和《工业企业设计卫生标准》（GBZ1-2010）进行平面布置。</w:t>
      </w:r>
    </w:p>
    <w:p>
      <w:pPr>
        <w:pStyle w:val="7"/>
        <w:ind w:firstLine="480"/>
      </w:pPr>
      <w:r>
        <w:rPr>
          <w:rFonts w:hint="eastAsia"/>
        </w:rPr>
        <w:t>（2）本项目所在厂区人流、物流路线分开，相互不产生干扰，既有利于物料运输的畅通，又减少物料运输产生的扬尘、汽车尾气及噪声等对行人的干扰。项目生产区根据物料流向进行平面布置，保证了生产组织的畅通。</w:t>
      </w:r>
    </w:p>
    <w:p>
      <w:pPr>
        <w:pStyle w:val="7"/>
        <w:ind w:firstLine="480"/>
      </w:pPr>
      <w:r>
        <w:rPr>
          <w:rFonts w:hint="eastAsia"/>
        </w:rPr>
        <w:t>（</w:t>
      </w:r>
      <w:r>
        <w:rPr>
          <w:rFonts w:hint="eastAsia"/>
          <w:lang w:val="en-US" w:eastAsia="zh-CN"/>
        </w:rPr>
        <w:t>3</w:t>
      </w:r>
      <w:r>
        <w:rPr>
          <w:rFonts w:hint="eastAsia"/>
        </w:rPr>
        <w:t>）项目北侧为云南宏泰新型材料有限公司，为本项目提供铝水。</w:t>
      </w:r>
    </w:p>
    <w:p>
      <w:pPr>
        <w:pStyle w:val="7"/>
        <w:ind w:firstLine="480"/>
      </w:pPr>
      <w:r>
        <w:rPr>
          <w:rFonts w:hint="eastAsia"/>
        </w:rPr>
        <w:t>（</w:t>
      </w:r>
      <w:r>
        <w:rPr>
          <w:rFonts w:hint="eastAsia"/>
          <w:lang w:val="en-US" w:eastAsia="zh-CN"/>
        </w:rPr>
        <w:t>4</w:t>
      </w:r>
      <w:r>
        <w:rPr>
          <w:rFonts w:hint="eastAsia"/>
        </w:rPr>
        <w:t>）厂区实行雨、污分流，雨水收集后用于厂区绿化和道路清扫；厂区内污水集中收集经处理</w:t>
      </w:r>
      <w:r>
        <w:rPr>
          <w:rFonts w:hint="eastAsia"/>
          <w:lang w:val="en-US" w:eastAsia="zh-CN"/>
        </w:rPr>
        <w:t>达标</w:t>
      </w:r>
      <w:r>
        <w:rPr>
          <w:rFonts w:hint="eastAsia"/>
        </w:rPr>
        <w:t>后排入市政污水管网，废水不直接外排。</w:t>
      </w:r>
    </w:p>
    <w:p>
      <w:pPr>
        <w:pStyle w:val="7"/>
        <w:ind w:firstLine="480"/>
      </w:pPr>
      <w:r>
        <w:rPr>
          <w:rFonts w:hint="eastAsia"/>
        </w:rPr>
        <w:t>由以上分析可知，项目总平面布置工艺流程顺畅，各种公用工程安排合理，厂区布局基本合理。</w:t>
      </w:r>
    </w:p>
    <w:bookmarkEnd w:id="14"/>
    <w:bookmarkEnd w:id="15"/>
    <w:bookmarkEnd w:id="16"/>
    <w:bookmarkEnd w:id="17"/>
    <w:bookmarkEnd w:id="18"/>
    <w:p>
      <w:pPr>
        <w:pStyle w:val="5"/>
      </w:pPr>
      <w:bookmarkStart w:id="24" w:name="_Toc17917"/>
      <w:bookmarkStart w:id="25" w:name="_Toc22058"/>
      <w:bookmarkStart w:id="26" w:name="_Toc638"/>
      <w:r>
        <w:rPr>
          <w:rFonts w:hint="eastAsia"/>
        </w:rPr>
        <w:t>1.4环评关注的主要环境问题</w:t>
      </w:r>
      <w:bookmarkEnd w:id="24"/>
      <w:bookmarkEnd w:id="25"/>
      <w:bookmarkEnd w:id="26"/>
    </w:p>
    <w:p>
      <w:pPr>
        <w:pStyle w:val="7"/>
        <w:ind w:firstLine="480"/>
      </w:pPr>
      <w:r>
        <w:rPr>
          <w:rFonts w:hint="eastAsia"/>
        </w:rPr>
        <w:t>根据本项目工程特点和现场调查的结果，本项目需关注的主要环境问题有：</w:t>
      </w:r>
    </w:p>
    <w:p>
      <w:pPr>
        <w:pStyle w:val="7"/>
        <w:ind w:firstLine="480"/>
      </w:pPr>
      <w:r>
        <w:rPr>
          <w:rFonts w:hint="eastAsia"/>
        </w:rPr>
        <w:t>（1）本项目投产后对大气环境的影响是否可以接受，主要关注项目熔炼过程产生的颗粒物、SO</w:t>
      </w:r>
      <w:r>
        <w:rPr>
          <w:rFonts w:hint="eastAsia"/>
          <w:vertAlign w:val="subscript"/>
        </w:rPr>
        <w:t>2</w:t>
      </w:r>
      <w:r>
        <w:rPr>
          <w:rFonts w:hint="eastAsia"/>
        </w:rPr>
        <w:t>、NO</w:t>
      </w:r>
      <w:r>
        <w:rPr>
          <w:rFonts w:hint="eastAsia"/>
          <w:vertAlign w:val="subscript"/>
        </w:rPr>
        <w:t>x</w:t>
      </w:r>
      <w:r>
        <w:rPr>
          <w:rFonts w:hint="eastAsia"/>
        </w:rPr>
        <w:t>，精炼除气过程产生的Cl</w:t>
      </w:r>
      <w:r>
        <w:rPr>
          <w:rFonts w:hint="eastAsia"/>
          <w:vertAlign w:val="subscript"/>
        </w:rPr>
        <w:t>2</w:t>
      </w:r>
      <w:r>
        <w:rPr>
          <w:rFonts w:hint="eastAsia"/>
        </w:rPr>
        <w:t>、HCl、氟化物以及铝灰分离过程产生的颗粒物等对周围大气环境产生的影响；</w:t>
      </w:r>
    </w:p>
    <w:p>
      <w:pPr>
        <w:pStyle w:val="7"/>
        <w:ind w:firstLine="480"/>
      </w:pPr>
      <w:r>
        <w:rPr>
          <w:rFonts w:hint="eastAsia"/>
        </w:rPr>
        <w:t>（2）项目职工生活及生产过程中产生的废水对地表水、地下水环境产生的影响；</w:t>
      </w:r>
    </w:p>
    <w:p>
      <w:pPr>
        <w:pStyle w:val="7"/>
        <w:ind w:firstLine="480"/>
      </w:pPr>
      <w:r>
        <w:rPr>
          <w:rFonts w:hint="eastAsia"/>
        </w:rPr>
        <w:t>（3）项目生产过程中产生的噪声对周边声环境的影响；</w:t>
      </w:r>
    </w:p>
    <w:p>
      <w:pPr>
        <w:pStyle w:val="7"/>
        <w:ind w:firstLine="480"/>
      </w:pPr>
      <w:r>
        <w:rPr>
          <w:rFonts w:hint="eastAsia"/>
        </w:rPr>
        <w:t>（4）污染防治措施及风险防范措施的可行性，是否满足达标排放；</w:t>
      </w:r>
    </w:p>
    <w:p>
      <w:pPr>
        <w:pStyle w:val="7"/>
        <w:ind w:firstLine="480"/>
      </w:pPr>
      <w:r>
        <w:rPr>
          <w:rFonts w:hint="eastAsia"/>
        </w:rPr>
        <w:t>（5）固体废弃物处置方法的选择是否符合相关要求，对地下水的影响问题。</w:t>
      </w:r>
    </w:p>
    <w:p>
      <w:pPr>
        <w:pStyle w:val="5"/>
      </w:pPr>
      <w:bookmarkStart w:id="27" w:name="_Toc24459"/>
      <w:r>
        <w:rPr>
          <w:rFonts w:hint="eastAsia"/>
        </w:rPr>
        <w:t>1.5环境影响评价的主要结论</w:t>
      </w:r>
      <w:bookmarkEnd w:id="27"/>
    </w:p>
    <w:p>
      <w:pPr>
        <w:pStyle w:val="7"/>
        <w:ind w:firstLine="480"/>
      </w:pPr>
      <w:r>
        <w:rPr>
          <w:rFonts w:hint="eastAsia"/>
        </w:rPr>
        <w:t>本项目选址位于砚山工业园区布标片区中“绿色铝创新产业园”规划范围内，符合工业园区产业规划、符合园区规划环评及审查意见要求。项目工艺技术先进合理，各项污染物排放指标均严格控制在排放标准内，项目的环境风险可以接受，本项目建成后对环境的影响在可接受范围内。</w:t>
      </w:r>
    </w:p>
    <w:p>
      <w:pPr>
        <w:pStyle w:val="7"/>
        <w:ind w:firstLine="480"/>
      </w:pPr>
      <w:r>
        <w:rPr>
          <w:rFonts w:hint="eastAsia"/>
        </w:rPr>
        <w:t>项目建设在按安全、环保“三同时”要求严格落实本《报告书》提出的各项污染控制措施、风险防范措施的条件下，项目建设符合我国社会、经济、环境保护协调发展方针。综上所述从环境保护角度分析、项目的建设符合环境影响评价原则、项目建设具有可行性。</w:t>
      </w:r>
    </w:p>
    <w:p>
      <w:pPr>
        <w:pStyle w:val="7"/>
        <w:ind w:firstLine="480"/>
      </w:pPr>
    </w:p>
    <w:p>
      <w:pPr>
        <w:pStyle w:val="7"/>
        <w:ind w:firstLine="480"/>
      </w:pPr>
    </w:p>
    <w:p>
      <w:pPr>
        <w:pStyle w:val="7"/>
        <w:ind w:firstLine="480"/>
      </w:pPr>
    </w:p>
    <w:p>
      <w:pPr>
        <w:pStyle w:val="7"/>
        <w:ind w:firstLine="480"/>
      </w:pPr>
    </w:p>
    <w:p>
      <w:pPr>
        <w:pStyle w:val="7"/>
        <w:ind w:firstLine="480"/>
      </w:pPr>
    </w:p>
    <w:p>
      <w:pPr>
        <w:pStyle w:val="7"/>
        <w:ind w:firstLine="480"/>
      </w:pPr>
    </w:p>
    <w:p>
      <w:pPr>
        <w:pStyle w:val="7"/>
        <w:ind w:firstLine="480"/>
        <w:sectPr>
          <w:footerReference r:id="rId6" w:type="default"/>
          <w:pgSz w:w="11906" w:h="16838"/>
          <w:pgMar w:top="1440" w:right="1800" w:bottom="1440" w:left="1800" w:header="851" w:footer="992" w:gutter="0"/>
          <w:pgNumType w:start="1"/>
          <w:cols w:space="425" w:num="1"/>
          <w:docGrid w:type="lines" w:linePitch="312" w:charSpace="0"/>
        </w:sectPr>
      </w:pPr>
    </w:p>
    <w:bookmarkEnd w:id="0"/>
    <w:bookmarkEnd w:id="1"/>
    <w:p>
      <w:pPr>
        <w:pStyle w:val="4"/>
      </w:pPr>
      <w:bookmarkStart w:id="28" w:name="_Toc14629"/>
      <w:r>
        <w:rPr>
          <w:rFonts w:hint="eastAsia"/>
        </w:rPr>
        <w:t>2 总论</w:t>
      </w:r>
      <w:bookmarkEnd w:id="28"/>
    </w:p>
    <w:p>
      <w:pPr>
        <w:pStyle w:val="5"/>
      </w:pPr>
      <w:bookmarkStart w:id="29" w:name="_Toc14305"/>
      <w:bookmarkStart w:id="30" w:name="_Toc3812"/>
      <w:bookmarkStart w:id="31" w:name="_Toc19720"/>
      <w:r>
        <w:rPr>
          <w:rFonts w:hint="eastAsia"/>
        </w:rPr>
        <w:t>2.1评价原则和目的</w:t>
      </w:r>
      <w:bookmarkEnd w:id="29"/>
      <w:bookmarkEnd w:id="30"/>
      <w:bookmarkEnd w:id="31"/>
    </w:p>
    <w:p>
      <w:pPr>
        <w:pStyle w:val="8"/>
      </w:pPr>
      <w:r>
        <w:rPr>
          <w:rFonts w:hint="eastAsia"/>
        </w:rPr>
        <w:t>2.1.1评价原则</w:t>
      </w:r>
    </w:p>
    <w:p>
      <w:pPr>
        <w:pStyle w:val="7"/>
        <w:ind w:firstLine="480"/>
      </w:pPr>
      <w:r>
        <w:rPr>
          <w:rFonts w:hint="eastAsia"/>
        </w:rPr>
        <w:t>突出环境影响评价的源头预防作用，坚持保护和改善环境质量。遵循以下原则开展环境影响评价工作：</w:t>
      </w:r>
    </w:p>
    <w:p>
      <w:pPr>
        <w:pStyle w:val="7"/>
        <w:ind w:firstLine="480"/>
      </w:pPr>
      <w:r>
        <w:rPr>
          <w:rFonts w:hint="eastAsia"/>
        </w:rPr>
        <w:t>（1）依法评价</w:t>
      </w:r>
    </w:p>
    <w:p>
      <w:pPr>
        <w:pStyle w:val="7"/>
        <w:ind w:firstLine="480"/>
      </w:pPr>
      <w:r>
        <w:rPr>
          <w:rFonts w:hint="eastAsia"/>
        </w:rPr>
        <w:t>贯彻执行我国环境保护相关法律法规、标准、政策和规划等，优化项目建设，服务环境管理。</w:t>
      </w:r>
    </w:p>
    <w:p>
      <w:pPr>
        <w:pStyle w:val="7"/>
        <w:ind w:firstLine="480"/>
      </w:pPr>
      <w:r>
        <w:rPr>
          <w:rFonts w:hint="eastAsia"/>
        </w:rPr>
        <w:t>（2）科学评价</w:t>
      </w:r>
    </w:p>
    <w:p>
      <w:pPr>
        <w:pStyle w:val="7"/>
        <w:ind w:firstLine="480"/>
      </w:pPr>
      <w:r>
        <w:rPr>
          <w:rFonts w:hint="eastAsia"/>
        </w:rPr>
        <w:t>规范环境影响评价方法，科学分析项目建设对环境质量的影响。</w:t>
      </w:r>
    </w:p>
    <w:p>
      <w:pPr>
        <w:pStyle w:val="7"/>
        <w:ind w:firstLine="480"/>
      </w:pPr>
      <w:r>
        <w:rPr>
          <w:rFonts w:hint="eastAsia"/>
        </w:rPr>
        <w:t>（3）突出重点</w:t>
      </w:r>
    </w:p>
    <w:p>
      <w:pPr>
        <w:pStyle w:val="7"/>
        <w:ind w:firstLine="480"/>
      </w:pPr>
      <w:r>
        <w:rPr>
          <w:rFonts w:hint="eastAsia"/>
        </w:rPr>
        <w:t>根据建设项目的工程内容及其特点，明确与环境要素间的作用效应关系，根据规划环境影响评价结论和审查意见，充分利用符合时效的数据资料及成果，对建设项目主要环境影响予以重点分析和评价。</w:t>
      </w:r>
    </w:p>
    <w:p>
      <w:pPr>
        <w:pStyle w:val="8"/>
      </w:pPr>
      <w:r>
        <w:rPr>
          <w:rFonts w:hint="eastAsia"/>
        </w:rPr>
        <w:t>2.1.2评价目的</w:t>
      </w:r>
    </w:p>
    <w:p>
      <w:pPr>
        <w:pStyle w:val="7"/>
        <w:ind w:firstLine="480"/>
      </w:pPr>
      <w:r>
        <w:rPr>
          <w:rFonts w:hint="eastAsia"/>
        </w:rPr>
        <w:t>（1）通过对项目所在区域的环境现状调查与评价，查清项目厂址所在区域的环境特征和环境现状、主要污染源、主要污染物种类以及区域内的主要环境问题。</w:t>
      </w:r>
    </w:p>
    <w:p>
      <w:pPr>
        <w:pStyle w:val="7"/>
        <w:ind w:firstLine="480"/>
      </w:pPr>
      <w:r>
        <w:rPr>
          <w:rFonts w:hint="eastAsia"/>
        </w:rPr>
        <w:t>（2）在分析本项目生产产品、建设规模、生产工艺，详细分析本项目的工艺路线及技术特点，特别是对生产工艺从能源消耗、物耗、污染物排放量等方面，客观分析项目生产工艺的先进性，并类比调查国内同类型生产企业的实际操作情况，识别其主要的环境污染工序，弄清本项目建成营运期间污染物的排放特征和排放量的基础上，通过对环境要素的环境影响预测分析，说明本项目建成后营运期间对周围环境的影响程度和影响范围。</w:t>
      </w:r>
    </w:p>
    <w:p>
      <w:pPr>
        <w:pStyle w:val="7"/>
        <w:ind w:firstLine="480"/>
      </w:pPr>
      <w:r>
        <w:rPr>
          <w:rFonts w:hint="eastAsia"/>
        </w:rPr>
        <w:t>（3）根据工程分析，论证本项目环境保护对策措施的效果，重点落实废气净化措施、废水处理措施的可行性和可靠性，固体废物处置方案的可行性等，通过对环境保护对策措施的分析和技术经济论证，根据“预防为主，防治结合”的原则，制定避免污染、防治污染的先进可靠的环境保护对策措施，并结合当地环境特征，依据环保法规、标准和当地环境功能目标的要求，提出污染物总量控制方案，力求把对环境的不利影响减少到最低程度。</w:t>
      </w:r>
    </w:p>
    <w:p>
      <w:pPr>
        <w:pStyle w:val="7"/>
        <w:ind w:firstLine="480"/>
      </w:pPr>
      <w:r>
        <w:rPr>
          <w:rFonts w:hint="eastAsia"/>
        </w:rPr>
        <w:t>（4）根据项目的特点，污染物排放特征、环境质量现状，分析评价项目施工期和运营期对环境可能产生的污染影响范围和程度；从环境保护角度对工程方案及施工建设进行论证；针对不利影响的程度和范围，提出减缓和避免不利影响的防治对策，从环境保护的角度依据国家、地方的有关产业政策和环保政策，对项目的可行性（是否符合清洁生产要求、是否满足污染物的达标排放及总量控制要求、环境可行性、生产厂区选址是否合理可行）</w:t>
      </w:r>
      <w:r>
        <w:rPr>
          <w:rFonts w:hint="eastAsia"/>
          <w:lang w:eastAsia="zh-CN"/>
        </w:rPr>
        <w:t>作出</w:t>
      </w:r>
      <w:r>
        <w:rPr>
          <w:rFonts w:hint="eastAsia"/>
        </w:rPr>
        <w:t>明确结论，为上级主管部门决策、设计部门设计及企业的环境管理提供科学依据。</w:t>
      </w:r>
    </w:p>
    <w:p>
      <w:pPr>
        <w:pStyle w:val="5"/>
      </w:pPr>
      <w:bookmarkStart w:id="32" w:name="_Toc1833"/>
      <w:bookmarkStart w:id="33" w:name="_Toc22213"/>
      <w:bookmarkStart w:id="34" w:name="_Toc5757"/>
      <w:r>
        <w:rPr>
          <w:rFonts w:hint="eastAsia"/>
        </w:rPr>
        <w:t>2.2编制依据</w:t>
      </w:r>
      <w:bookmarkEnd w:id="32"/>
      <w:bookmarkEnd w:id="33"/>
      <w:bookmarkEnd w:id="34"/>
    </w:p>
    <w:p>
      <w:pPr>
        <w:pStyle w:val="8"/>
      </w:pPr>
      <w:r>
        <w:rPr>
          <w:rFonts w:hint="eastAsia"/>
        </w:rPr>
        <w:t>2.2.1有关法律、法规和部门规章</w:t>
      </w:r>
    </w:p>
    <w:p>
      <w:pPr>
        <w:pStyle w:val="7"/>
        <w:bidi w:val="0"/>
      </w:pPr>
      <w:r>
        <w:t>（1）《中华人民共和国环境保护法》（2015年1月1日施行）；</w:t>
      </w:r>
    </w:p>
    <w:p>
      <w:pPr>
        <w:pStyle w:val="7"/>
        <w:bidi w:val="0"/>
      </w:pPr>
      <w:r>
        <w:t>（2）《中华人民共和国环境影响评价法》（2018年12月29日施行）；</w:t>
      </w:r>
    </w:p>
    <w:p>
      <w:pPr>
        <w:pStyle w:val="7"/>
        <w:bidi w:val="0"/>
      </w:pPr>
      <w:r>
        <w:t>（3）《中华人民共和国大气污染防治法》（2018年12月29日施行）；</w:t>
      </w:r>
    </w:p>
    <w:p>
      <w:pPr>
        <w:pStyle w:val="7"/>
        <w:bidi w:val="0"/>
      </w:pPr>
      <w:r>
        <w:t>（4）《中华人民共和国水污染防治法(2017年修订)》</w:t>
      </w:r>
      <w:r>
        <w:rPr>
          <w:rFonts w:hint="eastAsia"/>
          <w:lang w:eastAsia="zh-CN"/>
        </w:rPr>
        <w:t>（</w:t>
      </w:r>
      <w:r>
        <w:t>2018年1月1日施行</w:t>
      </w:r>
      <w:r>
        <w:rPr>
          <w:rFonts w:hint="eastAsia"/>
          <w:lang w:eastAsia="zh-CN"/>
        </w:rPr>
        <w:t>）</w:t>
      </w:r>
      <w:r>
        <w:t>；</w:t>
      </w:r>
    </w:p>
    <w:p>
      <w:pPr>
        <w:pStyle w:val="7"/>
        <w:bidi w:val="0"/>
      </w:pPr>
      <w:r>
        <w:t>（5）《中华人民共和国固体废物污染环境防治法》</w:t>
      </w:r>
      <w:r>
        <w:rPr>
          <w:rFonts w:hint="eastAsia"/>
          <w:lang w:eastAsia="zh-CN"/>
        </w:rPr>
        <w:t>（</w:t>
      </w:r>
      <w:r>
        <w:t>2020年9月1日施行</w:t>
      </w:r>
      <w:r>
        <w:rPr>
          <w:rFonts w:hint="eastAsia"/>
          <w:lang w:eastAsia="zh-CN"/>
        </w:rPr>
        <w:t>）</w:t>
      </w:r>
      <w:r>
        <w:t>；</w:t>
      </w:r>
    </w:p>
    <w:p>
      <w:pPr>
        <w:pStyle w:val="7"/>
        <w:bidi w:val="0"/>
      </w:pPr>
      <w:r>
        <w:t>（6）《中华人民共和国环境噪声污染防治法》（2018年12月29日）；</w:t>
      </w:r>
    </w:p>
    <w:p>
      <w:pPr>
        <w:pStyle w:val="7"/>
        <w:bidi w:val="0"/>
      </w:pPr>
      <w:r>
        <w:rPr>
          <w:rFonts w:hint="eastAsia"/>
        </w:rPr>
        <w:t>（7）</w:t>
      </w:r>
      <w:r>
        <w:t>《中华人民共和国土壤污染防治法》（2019年1月1日施行）；</w:t>
      </w:r>
    </w:p>
    <w:p>
      <w:pPr>
        <w:pStyle w:val="7"/>
        <w:bidi w:val="0"/>
      </w:pPr>
      <w:r>
        <w:t>（8）《中华人民共和国清洁生产促进法》</w:t>
      </w:r>
      <w:r>
        <w:rPr>
          <w:rFonts w:hint="eastAsia"/>
          <w:lang w:eastAsia="zh-CN"/>
        </w:rPr>
        <w:t>（</w:t>
      </w:r>
      <w:r>
        <w:t>2012年7月1日</w:t>
      </w:r>
      <w:r>
        <w:rPr>
          <w:rFonts w:hint="eastAsia"/>
          <w:lang w:eastAsia="zh-CN"/>
        </w:rPr>
        <w:t>）</w:t>
      </w:r>
      <w:r>
        <w:t>；</w:t>
      </w:r>
    </w:p>
    <w:p>
      <w:pPr>
        <w:pStyle w:val="7"/>
        <w:bidi w:val="0"/>
      </w:pPr>
      <w:r>
        <w:t>（9）《产业结构调整指导目录（2019年本）》（2020年1月1日）；</w:t>
      </w:r>
    </w:p>
    <w:p>
      <w:pPr>
        <w:pStyle w:val="7"/>
        <w:bidi w:val="0"/>
      </w:pPr>
      <w:r>
        <w:t>（10）《建设项目环境保护分类管理名录》（环境保护部令第44号、2018年4月28日修正）；</w:t>
      </w:r>
    </w:p>
    <w:p>
      <w:pPr>
        <w:pStyle w:val="7"/>
        <w:bidi w:val="0"/>
      </w:pPr>
      <w:r>
        <w:t>（11）《国务院关于印发大气污染防治行动计划的通知》（国发〔2013〕37号）；</w:t>
      </w:r>
    </w:p>
    <w:p>
      <w:pPr>
        <w:pStyle w:val="7"/>
        <w:bidi w:val="0"/>
      </w:pPr>
      <w:r>
        <w:t>（12）《国务院关于印发水污染防治行动计划的通知》（国发〔2015〕17号）；</w:t>
      </w:r>
    </w:p>
    <w:p>
      <w:pPr>
        <w:pStyle w:val="7"/>
        <w:bidi w:val="0"/>
      </w:pPr>
      <w:r>
        <w:t>（13）《国务院关于印发土壤污染防治行动计划的通知》（国发〔2016〕31号）；</w:t>
      </w:r>
    </w:p>
    <w:p>
      <w:pPr>
        <w:pStyle w:val="7"/>
        <w:bidi w:val="0"/>
      </w:pPr>
      <w:r>
        <w:t>（14）《国家危险废物名录》（2016年8月1日施行）；</w:t>
      </w:r>
    </w:p>
    <w:p>
      <w:pPr>
        <w:pStyle w:val="7"/>
        <w:bidi w:val="0"/>
      </w:pPr>
      <w:r>
        <w:t>（16）《关于进一步加强环境影响评价管理防范环境风险的通知》（环发[2012]77号）；</w:t>
      </w:r>
    </w:p>
    <w:p>
      <w:pPr>
        <w:pStyle w:val="7"/>
        <w:bidi w:val="0"/>
      </w:pPr>
      <w:r>
        <w:t>（17）《关于切实加强风险防范严格环境影响评价管理的通知》（环发[2012]98号）；</w:t>
      </w:r>
    </w:p>
    <w:p>
      <w:pPr>
        <w:pStyle w:val="7"/>
        <w:bidi w:val="0"/>
      </w:pPr>
      <w:r>
        <w:t>(18)《环境保护部关于在化解产能严重过剩矛盾过程中加强环保管理的通知》（环发[2014]55号）；</w:t>
      </w:r>
    </w:p>
    <w:p>
      <w:pPr>
        <w:pStyle w:val="7"/>
        <w:bidi w:val="0"/>
      </w:pPr>
      <w:r>
        <w:t>（19）《国家突发环境事件应急预案》（2014.12）；</w:t>
      </w:r>
    </w:p>
    <w:p>
      <w:pPr>
        <w:pStyle w:val="7"/>
        <w:bidi w:val="0"/>
      </w:pPr>
      <w:r>
        <w:t>（20）《建设项目环境保护管理条例》</w:t>
      </w:r>
      <w:r>
        <w:rPr>
          <w:rFonts w:hint="eastAsia"/>
          <w:lang w:eastAsia="zh-CN"/>
        </w:rPr>
        <w:t>（</w:t>
      </w:r>
      <w:r>
        <w:t>国发（2017-10）682号</w:t>
      </w:r>
      <w:r>
        <w:rPr>
          <w:rFonts w:hint="eastAsia"/>
          <w:lang w:eastAsia="zh-CN"/>
        </w:rPr>
        <w:t>）</w:t>
      </w:r>
      <w:r>
        <w:t>；</w:t>
      </w:r>
    </w:p>
    <w:p>
      <w:pPr>
        <w:pStyle w:val="7"/>
        <w:bidi w:val="0"/>
      </w:pPr>
      <w:r>
        <w:t>（21）《危险化学品重大危险源辨识》（GB18218-2018）；</w:t>
      </w:r>
    </w:p>
    <w:p>
      <w:pPr>
        <w:pStyle w:val="7"/>
        <w:bidi w:val="0"/>
      </w:pPr>
      <w:r>
        <w:t>（22）《国务院关于落实科学发展观加强环境保护的决定》（国发[2005]39号）；</w:t>
      </w:r>
    </w:p>
    <w:p>
      <w:pPr>
        <w:pStyle w:val="7"/>
        <w:bidi w:val="0"/>
      </w:pPr>
      <w:r>
        <w:t>（23）《打赢蓝天保卫战三年行动计划》（国发【2018】22号）；</w:t>
      </w:r>
    </w:p>
    <w:p>
      <w:pPr>
        <w:pStyle w:val="7"/>
        <w:bidi w:val="0"/>
      </w:pPr>
      <w:r>
        <w:t>（24）《云南省打赢蓝天保卫战三年行动实施方案》（云发 【2018】16号）；</w:t>
      </w:r>
    </w:p>
    <w:p>
      <w:pPr>
        <w:pStyle w:val="7"/>
        <w:bidi w:val="0"/>
      </w:pPr>
      <w:r>
        <w:t>（25）云南省人大《云南省环境保护条例》；</w:t>
      </w:r>
    </w:p>
    <w:p>
      <w:pPr>
        <w:pStyle w:val="7"/>
        <w:bidi w:val="0"/>
      </w:pPr>
      <w:r>
        <w:t>（26）《云南省建设项目环境保护管理条例》（2016年1月1日实施）；</w:t>
      </w:r>
    </w:p>
    <w:p>
      <w:pPr>
        <w:pStyle w:val="7"/>
        <w:bidi w:val="0"/>
      </w:pPr>
      <w:r>
        <w:t>（27）《中共云南省委云南省人民政府关于加强环境保护的决定》（2006.12）；</w:t>
      </w:r>
    </w:p>
    <w:p>
      <w:pPr>
        <w:pStyle w:val="7"/>
        <w:bidi w:val="0"/>
      </w:pPr>
      <w:r>
        <w:t>（28）《云南省人民政府七彩云南保护行动》（2007.1）；</w:t>
      </w:r>
    </w:p>
    <w:p>
      <w:pPr>
        <w:pStyle w:val="7"/>
        <w:bidi w:val="0"/>
      </w:pPr>
      <w:r>
        <w:t>（29）生态环境部文件《环境影响评价公众参与办法》（2019.1.1施行）；</w:t>
      </w:r>
    </w:p>
    <w:p>
      <w:pPr>
        <w:pStyle w:val="7"/>
        <w:bidi w:val="0"/>
      </w:pPr>
      <w:r>
        <w:t>（30）《云南省人民政府关于印发云南省土壤污染防治工作方案的通知》（云政发〔2017〕8号）。</w:t>
      </w:r>
    </w:p>
    <w:p>
      <w:pPr>
        <w:pStyle w:val="7"/>
        <w:bidi w:val="0"/>
      </w:pPr>
      <w:r>
        <w:rPr>
          <w:rFonts w:hint="eastAsia"/>
        </w:rPr>
        <w:t xml:space="preserve">（31）《排污许可证申请与核发技术规范 </w:t>
      </w:r>
      <w:r>
        <w:t xml:space="preserve"> </w:t>
      </w:r>
      <w:r>
        <w:rPr>
          <w:rFonts w:hint="eastAsia"/>
        </w:rPr>
        <w:t>工业窑炉》（HJ1121—2020）</w:t>
      </w:r>
      <w:r>
        <w:t>。</w:t>
      </w:r>
    </w:p>
    <w:p>
      <w:pPr>
        <w:pStyle w:val="8"/>
      </w:pPr>
      <w:r>
        <w:rPr>
          <w:rFonts w:hint="eastAsia"/>
        </w:rPr>
        <w:t>2.2.2技术导则</w:t>
      </w:r>
    </w:p>
    <w:p>
      <w:pPr>
        <w:pStyle w:val="7"/>
        <w:ind w:firstLine="480"/>
      </w:pPr>
      <w:r>
        <w:rPr>
          <w:rFonts w:hint="eastAsia"/>
        </w:rPr>
        <w:t>（1）《环境影响评价技术导则  总纲》（HJ2.1-2016）；</w:t>
      </w:r>
    </w:p>
    <w:p>
      <w:pPr>
        <w:pStyle w:val="7"/>
        <w:ind w:firstLine="480"/>
      </w:pPr>
      <w:r>
        <w:rPr>
          <w:rFonts w:hint="eastAsia"/>
        </w:rPr>
        <w:t>（2）《环境影响评价技术导则  大气环境》（HJ2.2-2018）；</w:t>
      </w:r>
    </w:p>
    <w:p>
      <w:pPr>
        <w:pStyle w:val="7"/>
        <w:ind w:firstLine="480"/>
      </w:pPr>
      <w:r>
        <w:rPr>
          <w:rFonts w:hint="eastAsia"/>
        </w:rPr>
        <w:t>（3）《环境影响评价技术导则  地表水环境》（HJ2.3-2018）；</w:t>
      </w:r>
    </w:p>
    <w:p>
      <w:pPr>
        <w:pStyle w:val="7"/>
        <w:ind w:firstLine="480"/>
      </w:pPr>
      <w:r>
        <w:rPr>
          <w:rFonts w:hint="eastAsia"/>
        </w:rPr>
        <w:t>（4）《环境影响评价技术导则  声环境》（HJ2.4-2021）；</w:t>
      </w:r>
    </w:p>
    <w:p>
      <w:pPr>
        <w:pStyle w:val="7"/>
        <w:ind w:firstLine="480"/>
      </w:pPr>
      <w:r>
        <w:rPr>
          <w:rFonts w:hint="eastAsia"/>
        </w:rPr>
        <w:t>（5）《建设项目环境风险评价技术导则》（HJ169-2018）；</w:t>
      </w:r>
    </w:p>
    <w:p>
      <w:pPr>
        <w:pStyle w:val="7"/>
        <w:ind w:firstLine="480"/>
      </w:pPr>
      <w:r>
        <w:rPr>
          <w:rFonts w:hint="eastAsia"/>
        </w:rPr>
        <w:t>（6）《环境影响评价技术导则  地下水环境》（HJ610-2016）；</w:t>
      </w:r>
    </w:p>
    <w:p>
      <w:pPr>
        <w:pStyle w:val="7"/>
        <w:ind w:firstLine="480"/>
      </w:pPr>
      <w:r>
        <w:rPr>
          <w:rFonts w:hint="eastAsia"/>
        </w:rPr>
        <w:t>（7）《环境影响评价技术导则  生态影响》（HJ19-2022）；</w:t>
      </w:r>
    </w:p>
    <w:p>
      <w:pPr>
        <w:pStyle w:val="7"/>
        <w:ind w:firstLine="480"/>
      </w:pPr>
      <w:r>
        <w:rPr>
          <w:rFonts w:hint="eastAsia"/>
        </w:rPr>
        <w:t>（8）《环境影响评价技术导则  土壤环境（试行）》（HJ964-2018）；</w:t>
      </w:r>
    </w:p>
    <w:p>
      <w:pPr>
        <w:pStyle w:val="7"/>
        <w:ind w:firstLine="480"/>
      </w:pPr>
      <w:r>
        <w:rPr>
          <w:rFonts w:hint="eastAsia"/>
        </w:rPr>
        <w:t>（9）《建设项目危险废物环境影响评价指南》；</w:t>
      </w:r>
    </w:p>
    <w:p>
      <w:pPr>
        <w:pStyle w:val="7"/>
        <w:ind w:firstLine="480"/>
      </w:pPr>
      <w:r>
        <w:rPr>
          <w:rFonts w:hint="eastAsia"/>
        </w:rPr>
        <w:t>（10）《固体废物鉴别标准 通则》(GB 34330—2017)；</w:t>
      </w:r>
    </w:p>
    <w:p>
      <w:pPr>
        <w:pStyle w:val="7"/>
        <w:ind w:firstLine="480"/>
      </w:pPr>
      <w:r>
        <w:rPr>
          <w:rFonts w:hint="eastAsia"/>
        </w:rPr>
        <w:t>（11）《制定地方大气污染物排放标准的技术方法》(GB/T13201-91)。</w:t>
      </w:r>
    </w:p>
    <w:p>
      <w:pPr>
        <w:pStyle w:val="8"/>
      </w:pPr>
      <w:r>
        <w:rPr>
          <w:rFonts w:hint="eastAsia"/>
        </w:rPr>
        <w:t>2.2.3相关规划</w:t>
      </w:r>
    </w:p>
    <w:p>
      <w:pPr>
        <w:pStyle w:val="7"/>
        <w:ind w:firstLine="480"/>
      </w:pPr>
      <w:r>
        <w:rPr>
          <w:rFonts w:hint="eastAsia"/>
        </w:rPr>
        <w:t>（1）《云南省水功能区划》（2014年修订）；</w:t>
      </w:r>
    </w:p>
    <w:p>
      <w:pPr>
        <w:pStyle w:val="7"/>
        <w:ind w:firstLine="480"/>
      </w:pPr>
      <w:r>
        <w:rPr>
          <w:rFonts w:hint="eastAsia"/>
        </w:rPr>
        <w:t>（2）《砚山工业园区总体规划【修编】（2019-2035）》；</w:t>
      </w:r>
    </w:p>
    <w:p>
      <w:pPr>
        <w:pStyle w:val="7"/>
        <w:ind w:firstLine="480"/>
      </w:pPr>
      <w:r>
        <w:rPr>
          <w:rFonts w:hint="eastAsia"/>
        </w:rPr>
        <w:t>（3）《砚山工业园区总体规划【修编】（2019-2035）环境影响报告书》；</w:t>
      </w:r>
    </w:p>
    <w:p>
      <w:pPr>
        <w:pStyle w:val="7"/>
        <w:ind w:firstLine="480"/>
      </w:pPr>
      <w:r>
        <w:rPr>
          <w:rFonts w:hint="eastAsia"/>
        </w:rPr>
        <w:t>（4）《云南省生态环境厅关于砚山工业园区总体规划【修编】（2019-2035）环境影响报告书审查意见的函》（云环函【2020】7号）。</w:t>
      </w:r>
    </w:p>
    <w:p>
      <w:pPr>
        <w:pStyle w:val="8"/>
      </w:pPr>
      <w:r>
        <w:rPr>
          <w:rFonts w:hint="eastAsia"/>
        </w:rPr>
        <w:t>2.2.4其他资料</w:t>
      </w:r>
    </w:p>
    <w:p>
      <w:pPr>
        <w:pStyle w:val="7"/>
        <w:ind w:firstLine="480"/>
      </w:pPr>
      <w:r>
        <w:rPr>
          <w:rFonts w:hint="eastAsia"/>
        </w:rPr>
        <w:t>（1）云南创格新材料科技有限公司委托编制项目环评的《委托书》；</w:t>
      </w:r>
    </w:p>
    <w:p>
      <w:pPr>
        <w:pStyle w:val="7"/>
        <w:ind w:firstLine="480"/>
      </w:pPr>
      <w:r>
        <w:rPr>
          <w:rFonts w:hint="eastAsia"/>
        </w:rPr>
        <w:t>（2）《云南创格新材料科技有限公司年产38万吨新能源汽车轻量化铝合金材料项目简介》；</w:t>
      </w:r>
    </w:p>
    <w:p>
      <w:pPr>
        <w:pStyle w:val="7"/>
        <w:ind w:firstLine="480"/>
      </w:pPr>
      <w:r>
        <w:rPr>
          <w:rFonts w:hint="eastAsia"/>
        </w:rPr>
        <w:t>（3）与项目有关的其他资料。</w:t>
      </w:r>
    </w:p>
    <w:p>
      <w:pPr>
        <w:pStyle w:val="5"/>
      </w:pPr>
      <w:bookmarkStart w:id="35" w:name="_Toc13615"/>
      <w:bookmarkStart w:id="36" w:name="_Toc26840"/>
      <w:bookmarkStart w:id="37" w:name="_Toc2452"/>
      <w:r>
        <w:rPr>
          <w:rFonts w:hint="eastAsia"/>
        </w:rPr>
        <w:t>2.3评价因子与评价标准</w:t>
      </w:r>
      <w:bookmarkEnd w:id="35"/>
      <w:bookmarkEnd w:id="36"/>
      <w:bookmarkEnd w:id="37"/>
    </w:p>
    <w:p>
      <w:pPr>
        <w:pStyle w:val="8"/>
      </w:pPr>
      <w:r>
        <w:rPr>
          <w:rFonts w:hint="eastAsia"/>
        </w:rPr>
        <w:t>2.3.1评价因子</w:t>
      </w:r>
    </w:p>
    <w:p>
      <w:pPr>
        <w:pStyle w:val="9"/>
      </w:pPr>
      <w:r>
        <w:rPr>
          <w:rFonts w:hint="eastAsia"/>
        </w:rPr>
        <w:t>2.3.1.1环境影响要素识别</w:t>
      </w:r>
    </w:p>
    <w:p>
      <w:pPr>
        <w:pStyle w:val="7"/>
        <w:ind w:firstLine="480"/>
      </w:pPr>
      <w:r>
        <w:t>本项目对环境的影响主要出现在施工期和营运期，上述二阶段对环境影响的识别结果如表</w:t>
      </w:r>
      <w:r>
        <w:rPr>
          <w:rFonts w:hint="eastAsia"/>
        </w:rPr>
        <w:t>2</w:t>
      </w:r>
      <w:r>
        <w:rPr>
          <w:rFonts w:hint="eastAsia"/>
          <w:lang w:val="en-US" w:eastAsia="zh-CN"/>
        </w:rPr>
        <w:t>.3</w:t>
      </w:r>
      <w:r>
        <w:rPr>
          <w:rFonts w:hint="eastAsia"/>
        </w:rPr>
        <w:t>-1</w:t>
      </w:r>
      <w:r>
        <w:t>。</w:t>
      </w:r>
    </w:p>
    <w:p>
      <w:pPr>
        <w:pStyle w:val="31"/>
      </w:pPr>
      <w:r>
        <w:t>表</w:t>
      </w:r>
      <w:r>
        <w:rPr>
          <w:rFonts w:hint="eastAsia"/>
        </w:rPr>
        <w:t>2.3-1</w:t>
      </w:r>
      <w:r>
        <w:t xml:space="preserve">  主要环境影响要素识别矩阵</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1"/>
        <w:gridCol w:w="1253"/>
        <w:gridCol w:w="762"/>
        <w:gridCol w:w="719"/>
        <w:gridCol w:w="730"/>
        <w:gridCol w:w="737"/>
        <w:gridCol w:w="730"/>
        <w:gridCol w:w="729"/>
        <w:gridCol w:w="740"/>
        <w:gridCol w:w="727"/>
        <w:gridCol w:w="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042" w:type="pct"/>
            <w:gridSpan w:val="2"/>
            <w:vMerge w:val="restart"/>
            <w:vAlign w:val="center"/>
          </w:tcPr>
          <w:p>
            <w:pPr>
              <w:pStyle w:val="32"/>
              <w:spacing w:before="0" w:after="0"/>
            </w:pPr>
            <w:r>
              <w:t>环境因素</w:t>
            </w:r>
          </w:p>
        </w:tc>
        <w:tc>
          <w:tcPr>
            <w:tcW w:w="458" w:type="pct"/>
            <w:vMerge w:val="restart"/>
            <w:vAlign w:val="center"/>
          </w:tcPr>
          <w:p>
            <w:pPr>
              <w:pStyle w:val="32"/>
              <w:spacing w:before="0" w:after="0"/>
            </w:pPr>
            <w:r>
              <w:t>项目建设</w:t>
            </w:r>
          </w:p>
        </w:tc>
        <w:tc>
          <w:tcPr>
            <w:tcW w:w="871" w:type="pct"/>
            <w:gridSpan w:val="2"/>
            <w:vAlign w:val="center"/>
          </w:tcPr>
          <w:p>
            <w:pPr>
              <w:pStyle w:val="32"/>
              <w:spacing w:before="0" w:after="0"/>
            </w:pPr>
            <w:r>
              <w:t>废气排放</w:t>
            </w:r>
          </w:p>
        </w:tc>
        <w:tc>
          <w:tcPr>
            <w:tcW w:w="882" w:type="pct"/>
            <w:gridSpan w:val="2"/>
            <w:vAlign w:val="center"/>
          </w:tcPr>
          <w:p>
            <w:pPr>
              <w:pStyle w:val="32"/>
              <w:spacing w:before="0" w:after="0"/>
            </w:pPr>
            <w:r>
              <w:t>废水排放</w:t>
            </w:r>
          </w:p>
        </w:tc>
        <w:tc>
          <w:tcPr>
            <w:tcW w:w="883" w:type="pct"/>
            <w:gridSpan w:val="2"/>
            <w:vAlign w:val="center"/>
          </w:tcPr>
          <w:p>
            <w:pPr>
              <w:pStyle w:val="32"/>
              <w:spacing w:before="0" w:after="0"/>
            </w:pPr>
            <w:r>
              <w:t>废渣处理</w:t>
            </w:r>
          </w:p>
        </w:tc>
        <w:tc>
          <w:tcPr>
            <w:tcW w:w="861" w:type="pct"/>
            <w:gridSpan w:val="2"/>
            <w:vAlign w:val="center"/>
          </w:tcPr>
          <w:p>
            <w:pPr>
              <w:pStyle w:val="32"/>
              <w:spacing w:before="0" w:after="0"/>
            </w:pPr>
            <w: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042" w:type="pct"/>
            <w:gridSpan w:val="2"/>
            <w:vMerge w:val="continue"/>
            <w:vAlign w:val="center"/>
          </w:tcPr>
          <w:p>
            <w:pPr>
              <w:pStyle w:val="32"/>
              <w:spacing w:before="0" w:after="0"/>
            </w:pPr>
          </w:p>
        </w:tc>
        <w:tc>
          <w:tcPr>
            <w:tcW w:w="458" w:type="pct"/>
            <w:vMerge w:val="continue"/>
            <w:vAlign w:val="center"/>
          </w:tcPr>
          <w:p>
            <w:pPr>
              <w:pStyle w:val="32"/>
              <w:spacing w:before="0" w:after="0"/>
            </w:pPr>
          </w:p>
        </w:tc>
        <w:tc>
          <w:tcPr>
            <w:tcW w:w="432" w:type="pct"/>
            <w:vAlign w:val="center"/>
          </w:tcPr>
          <w:p>
            <w:pPr>
              <w:pStyle w:val="32"/>
              <w:spacing w:before="0" w:after="0"/>
            </w:pPr>
            <w:r>
              <w:t>施工期</w:t>
            </w:r>
          </w:p>
        </w:tc>
        <w:tc>
          <w:tcPr>
            <w:tcW w:w="438" w:type="pct"/>
            <w:vAlign w:val="center"/>
          </w:tcPr>
          <w:p>
            <w:pPr>
              <w:pStyle w:val="32"/>
              <w:spacing w:before="0" w:after="0"/>
            </w:pPr>
            <w:r>
              <w:t>营运期</w:t>
            </w:r>
          </w:p>
        </w:tc>
        <w:tc>
          <w:tcPr>
            <w:tcW w:w="443" w:type="pct"/>
            <w:vAlign w:val="center"/>
          </w:tcPr>
          <w:p>
            <w:pPr>
              <w:pStyle w:val="32"/>
              <w:spacing w:before="0" w:after="0"/>
            </w:pPr>
            <w:r>
              <w:t>施工期</w:t>
            </w:r>
          </w:p>
        </w:tc>
        <w:tc>
          <w:tcPr>
            <w:tcW w:w="438" w:type="pct"/>
            <w:vAlign w:val="center"/>
          </w:tcPr>
          <w:p>
            <w:pPr>
              <w:pStyle w:val="32"/>
              <w:spacing w:before="0" w:after="0"/>
            </w:pPr>
            <w:r>
              <w:t>营运期</w:t>
            </w:r>
          </w:p>
        </w:tc>
        <w:tc>
          <w:tcPr>
            <w:tcW w:w="438" w:type="pct"/>
            <w:vAlign w:val="center"/>
          </w:tcPr>
          <w:p>
            <w:pPr>
              <w:pStyle w:val="32"/>
              <w:spacing w:before="0" w:after="0"/>
            </w:pPr>
            <w:r>
              <w:t>施工期</w:t>
            </w:r>
          </w:p>
        </w:tc>
        <w:tc>
          <w:tcPr>
            <w:tcW w:w="444" w:type="pct"/>
            <w:vAlign w:val="center"/>
          </w:tcPr>
          <w:p>
            <w:pPr>
              <w:pStyle w:val="32"/>
              <w:spacing w:before="0" w:after="0"/>
            </w:pPr>
            <w:r>
              <w:t>营运期</w:t>
            </w:r>
          </w:p>
        </w:tc>
        <w:tc>
          <w:tcPr>
            <w:tcW w:w="437" w:type="pct"/>
            <w:vAlign w:val="center"/>
          </w:tcPr>
          <w:p>
            <w:pPr>
              <w:pStyle w:val="32"/>
              <w:spacing w:before="0" w:after="0"/>
            </w:pPr>
            <w:r>
              <w:t>施工期</w:t>
            </w:r>
          </w:p>
        </w:tc>
        <w:tc>
          <w:tcPr>
            <w:tcW w:w="423" w:type="pct"/>
            <w:vAlign w:val="center"/>
          </w:tcPr>
          <w:p>
            <w:pPr>
              <w:pStyle w:val="32"/>
              <w:spacing w:before="0" w:after="0"/>
            </w:pPr>
            <w: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restart"/>
            <w:vAlign w:val="center"/>
          </w:tcPr>
          <w:p>
            <w:pPr>
              <w:pStyle w:val="32"/>
              <w:spacing w:before="0" w:after="0"/>
            </w:pPr>
            <w:r>
              <w:t>自</w:t>
            </w:r>
          </w:p>
          <w:p>
            <w:pPr>
              <w:pStyle w:val="32"/>
              <w:spacing w:before="0" w:after="0"/>
            </w:pPr>
            <w:r>
              <w:t>然</w:t>
            </w:r>
          </w:p>
          <w:p>
            <w:pPr>
              <w:pStyle w:val="32"/>
              <w:spacing w:before="0" w:after="0"/>
            </w:pPr>
            <w:r>
              <w:t>环</w:t>
            </w:r>
          </w:p>
          <w:p>
            <w:pPr>
              <w:pStyle w:val="32"/>
              <w:spacing w:before="0" w:after="0"/>
            </w:pPr>
            <w:r>
              <w:t>境</w:t>
            </w:r>
          </w:p>
        </w:tc>
        <w:tc>
          <w:tcPr>
            <w:tcW w:w="753" w:type="pct"/>
            <w:vAlign w:val="center"/>
          </w:tcPr>
          <w:p>
            <w:pPr>
              <w:pStyle w:val="32"/>
              <w:spacing w:before="0" w:after="0"/>
            </w:pPr>
            <w:r>
              <w:t>地质、地貌</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小气候</w:t>
            </w:r>
          </w:p>
        </w:tc>
        <w:tc>
          <w:tcPr>
            <w:tcW w:w="458" w:type="pct"/>
            <w:vAlign w:val="center"/>
          </w:tcPr>
          <w:p>
            <w:pPr>
              <w:pStyle w:val="32"/>
              <w:spacing w:before="0" w:after="0"/>
            </w:pPr>
            <w:r>
              <w:t>—</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空气质量</w:t>
            </w:r>
          </w:p>
        </w:tc>
        <w:tc>
          <w:tcPr>
            <w:tcW w:w="458" w:type="pct"/>
            <w:vAlign w:val="center"/>
          </w:tcPr>
          <w:p>
            <w:pPr>
              <w:pStyle w:val="32"/>
              <w:spacing w:before="0" w:after="0"/>
            </w:pPr>
            <w:r>
              <w:t>〇</w:t>
            </w:r>
          </w:p>
        </w:tc>
        <w:tc>
          <w:tcPr>
            <w:tcW w:w="432" w:type="pct"/>
            <w:vAlign w:val="center"/>
          </w:tcPr>
          <w:p>
            <w:pPr>
              <w:pStyle w:val="32"/>
              <w:spacing w:before="0" w:after="0"/>
            </w:pPr>
            <w:r>
              <w:t>〇</w:t>
            </w:r>
          </w:p>
        </w:tc>
        <w:tc>
          <w:tcPr>
            <w:tcW w:w="438" w:type="pct"/>
            <w:vAlign w:val="center"/>
          </w:tcPr>
          <w:p>
            <w:pPr>
              <w:pStyle w:val="32"/>
              <w:spacing w:before="0" w:after="0"/>
            </w:pPr>
            <w:r>
              <w:rPr>
                <w:rFonts w:hint="eastAsia"/>
              </w:rP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地表水文</w:t>
            </w:r>
          </w:p>
        </w:tc>
        <w:tc>
          <w:tcPr>
            <w:tcW w:w="458" w:type="pct"/>
            <w:vAlign w:val="center"/>
          </w:tcPr>
          <w:p>
            <w:pPr>
              <w:pStyle w:val="32"/>
              <w:spacing w:before="0" w:after="0"/>
            </w:pPr>
            <w:r>
              <w:t>—</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地表水质</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〇</w:t>
            </w:r>
          </w:p>
        </w:tc>
        <w:tc>
          <w:tcPr>
            <w:tcW w:w="438" w:type="pct"/>
            <w:vAlign w:val="center"/>
          </w:tcPr>
          <w:p>
            <w:pPr>
              <w:pStyle w:val="32"/>
              <w:spacing w:before="0" w:after="0"/>
            </w:pPr>
            <w:r>
              <w:t>一</w:t>
            </w:r>
          </w:p>
        </w:tc>
        <w:tc>
          <w:tcPr>
            <w:tcW w:w="438" w:type="pct"/>
          </w:tcPr>
          <w:p>
            <w:pPr>
              <w:pStyle w:val="32"/>
              <w:spacing w:before="0" w:after="0"/>
            </w:pPr>
            <w:r>
              <w:t>〇</w:t>
            </w:r>
          </w:p>
        </w:tc>
        <w:tc>
          <w:tcPr>
            <w:tcW w:w="444" w:type="pct"/>
          </w:tcPr>
          <w:p>
            <w:pPr>
              <w:pStyle w:val="32"/>
              <w:spacing w:before="0" w:after="0"/>
            </w:pPr>
            <w:r>
              <w:t>〇</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地下水文</w:t>
            </w:r>
          </w:p>
        </w:tc>
        <w:tc>
          <w:tcPr>
            <w:tcW w:w="458" w:type="pct"/>
            <w:vAlign w:val="center"/>
          </w:tcPr>
          <w:p>
            <w:pPr>
              <w:pStyle w:val="32"/>
              <w:spacing w:before="0" w:after="0"/>
            </w:pPr>
            <w:r>
              <w:t>—</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地下水质</w:t>
            </w:r>
          </w:p>
        </w:tc>
        <w:tc>
          <w:tcPr>
            <w:tcW w:w="458" w:type="pct"/>
            <w:vAlign w:val="center"/>
          </w:tcPr>
          <w:p>
            <w:pPr>
              <w:pStyle w:val="32"/>
              <w:spacing w:before="0" w:after="0"/>
            </w:pPr>
            <w:r>
              <w:t>—</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植被</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土壤</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67" w:hRule="atLeast"/>
          <w:jc w:val="center"/>
        </w:trPr>
        <w:tc>
          <w:tcPr>
            <w:tcW w:w="289" w:type="pct"/>
            <w:vMerge w:val="continue"/>
            <w:vAlign w:val="center"/>
          </w:tcPr>
          <w:p>
            <w:pPr>
              <w:pStyle w:val="32"/>
              <w:spacing w:before="0" w:after="0"/>
            </w:pPr>
          </w:p>
        </w:tc>
        <w:tc>
          <w:tcPr>
            <w:tcW w:w="753" w:type="pct"/>
            <w:vAlign w:val="center"/>
          </w:tcPr>
          <w:p>
            <w:pPr>
              <w:pStyle w:val="32"/>
              <w:spacing w:before="0" w:after="0"/>
            </w:pPr>
            <w:r>
              <w:t>水土流失</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〇</w:t>
            </w:r>
          </w:p>
        </w:tc>
        <w:tc>
          <w:tcPr>
            <w:tcW w:w="438" w:type="pct"/>
            <w:vAlign w:val="center"/>
          </w:tcPr>
          <w:p>
            <w:pPr>
              <w:pStyle w:val="32"/>
              <w:spacing w:before="0" w:after="0"/>
            </w:pPr>
            <w:r>
              <w:t>—</w:t>
            </w:r>
          </w:p>
        </w:tc>
        <w:tc>
          <w:tcPr>
            <w:tcW w:w="438" w:type="pct"/>
            <w:vAlign w:val="center"/>
          </w:tcPr>
          <w:p>
            <w:pPr>
              <w:pStyle w:val="32"/>
              <w:spacing w:before="0" w:after="0"/>
            </w:pPr>
            <w:r>
              <w:t>〇</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声环境</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〇</w:t>
            </w:r>
          </w:p>
        </w:tc>
        <w:tc>
          <w:tcPr>
            <w:tcW w:w="423" w:type="pct"/>
            <w:vAlign w:val="center"/>
          </w:tcPr>
          <w:p>
            <w:pPr>
              <w:pStyle w:val="32"/>
              <w:spacing w:before="0" w:after="0"/>
            </w:pPr>
            <w:r>
              <w:t>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restart"/>
            <w:vAlign w:val="center"/>
          </w:tcPr>
          <w:p>
            <w:pPr>
              <w:pStyle w:val="32"/>
              <w:spacing w:before="0" w:after="0"/>
            </w:pPr>
            <w:r>
              <w:t>社</w:t>
            </w:r>
          </w:p>
          <w:p>
            <w:pPr>
              <w:pStyle w:val="32"/>
              <w:spacing w:before="0" w:after="0"/>
            </w:pPr>
            <w:r>
              <w:t>会</w:t>
            </w:r>
          </w:p>
          <w:p>
            <w:pPr>
              <w:pStyle w:val="32"/>
              <w:spacing w:before="0" w:after="0"/>
            </w:pPr>
            <w:r>
              <w:t>经</w:t>
            </w:r>
          </w:p>
          <w:p>
            <w:pPr>
              <w:pStyle w:val="32"/>
              <w:spacing w:before="0" w:after="0"/>
            </w:pPr>
            <w:r>
              <w:t>济</w:t>
            </w:r>
          </w:p>
        </w:tc>
        <w:tc>
          <w:tcPr>
            <w:tcW w:w="753" w:type="pct"/>
            <w:vAlign w:val="center"/>
          </w:tcPr>
          <w:p>
            <w:pPr>
              <w:pStyle w:val="32"/>
              <w:spacing w:before="0" w:after="0"/>
            </w:pPr>
            <w:r>
              <w:t>交通运输</w:t>
            </w:r>
          </w:p>
        </w:tc>
        <w:tc>
          <w:tcPr>
            <w:tcW w:w="458" w:type="pct"/>
            <w:vAlign w:val="center"/>
          </w:tcPr>
          <w:p>
            <w:pPr>
              <w:pStyle w:val="32"/>
              <w:spacing w:before="0" w:after="0"/>
            </w:pPr>
            <w:r>
              <w:rPr>
                <w:rFonts w:hint="eastAsia"/>
              </w:rPr>
              <w:t>◎</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〇</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区域经济</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人群健康</w:t>
            </w:r>
          </w:p>
        </w:tc>
        <w:tc>
          <w:tcPr>
            <w:tcW w:w="458" w:type="pct"/>
            <w:vAlign w:val="center"/>
          </w:tcPr>
          <w:p>
            <w:pPr>
              <w:pStyle w:val="32"/>
              <w:spacing w:before="0" w:after="0"/>
            </w:pPr>
            <w:r>
              <w:t>—</w:t>
            </w:r>
          </w:p>
        </w:tc>
        <w:tc>
          <w:tcPr>
            <w:tcW w:w="432" w:type="pct"/>
            <w:vAlign w:val="center"/>
          </w:tcPr>
          <w:p>
            <w:pPr>
              <w:pStyle w:val="32"/>
              <w:spacing w:before="0" w:after="0"/>
            </w:pPr>
            <w:r>
              <w:t>—</w:t>
            </w:r>
          </w:p>
        </w:tc>
        <w:tc>
          <w:tcPr>
            <w:tcW w:w="438" w:type="pct"/>
            <w:vAlign w:val="center"/>
          </w:tcPr>
          <w:p>
            <w:pPr>
              <w:pStyle w:val="32"/>
              <w:spacing w:before="0" w:after="0"/>
            </w:pPr>
            <w:r>
              <w:t>—</w:t>
            </w:r>
          </w:p>
        </w:tc>
        <w:tc>
          <w:tcPr>
            <w:tcW w:w="443" w:type="pct"/>
            <w:vAlign w:val="center"/>
          </w:tcPr>
          <w:p>
            <w:pPr>
              <w:pStyle w:val="32"/>
              <w:spacing w:before="0" w:after="0"/>
            </w:pPr>
            <w:r>
              <w:t>—</w:t>
            </w:r>
          </w:p>
        </w:tc>
        <w:tc>
          <w:tcPr>
            <w:tcW w:w="438" w:type="pct"/>
            <w:vAlign w:val="center"/>
          </w:tcPr>
          <w:p>
            <w:pPr>
              <w:pStyle w:val="32"/>
              <w:spacing w:before="0" w:after="0"/>
            </w:pPr>
            <w:r>
              <w:t>—</w:t>
            </w:r>
          </w:p>
        </w:tc>
        <w:tc>
          <w:tcPr>
            <w:tcW w:w="438" w:type="pct"/>
            <w:vAlign w:val="center"/>
          </w:tcPr>
          <w:p>
            <w:pPr>
              <w:pStyle w:val="32"/>
              <w:spacing w:before="0" w:after="0"/>
            </w:pPr>
            <w:r>
              <w:t>—</w:t>
            </w:r>
          </w:p>
        </w:tc>
        <w:tc>
          <w:tcPr>
            <w:tcW w:w="444" w:type="pct"/>
            <w:vAlign w:val="center"/>
          </w:tcPr>
          <w:p>
            <w:pPr>
              <w:pStyle w:val="32"/>
              <w:spacing w:before="0" w:after="0"/>
            </w:pPr>
            <w:r>
              <w:t>—</w:t>
            </w:r>
          </w:p>
        </w:tc>
        <w:tc>
          <w:tcPr>
            <w:tcW w:w="437" w:type="pct"/>
            <w:vAlign w:val="center"/>
          </w:tcPr>
          <w:p>
            <w:pPr>
              <w:pStyle w:val="32"/>
              <w:spacing w:before="0" w:after="0"/>
            </w:pPr>
            <w:r>
              <w:t>—</w:t>
            </w:r>
          </w:p>
        </w:tc>
        <w:tc>
          <w:tcPr>
            <w:tcW w:w="423" w:type="pct"/>
            <w:vAlign w:val="center"/>
          </w:tcPr>
          <w:p>
            <w:pPr>
              <w:pStyle w:val="32"/>
              <w:spacing w:before="0" w:after="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89" w:type="pct"/>
            <w:vMerge w:val="continue"/>
            <w:vAlign w:val="center"/>
          </w:tcPr>
          <w:p>
            <w:pPr>
              <w:pStyle w:val="32"/>
              <w:spacing w:before="0" w:after="0"/>
            </w:pPr>
          </w:p>
        </w:tc>
        <w:tc>
          <w:tcPr>
            <w:tcW w:w="753" w:type="pct"/>
            <w:vAlign w:val="center"/>
          </w:tcPr>
          <w:p>
            <w:pPr>
              <w:pStyle w:val="32"/>
              <w:spacing w:before="0" w:after="0"/>
            </w:pPr>
            <w:r>
              <w:t>环境风险</w:t>
            </w:r>
          </w:p>
        </w:tc>
        <w:tc>
          <w:tcPr>
            <w:tcW w:w="458" w:type="pct"/>
            <w:vAlign w:val="center"/>
          </w:tcPr>
          <w:p>
            <w:pPr>
              <w:pStyle w:val="32"/>
              <w:spacing w:before="0" w:after="0"/>
            </w:pPr>
            <w:r>
              <w:t>〇</w:t>
            </w:r>
          </w:p>
        </w:tc>
        <w:tc>
          <w:tcPr>
            <w:tcW w:w="432" w:type="pct"/>
            <w:vAlign w:val="center"/>
          </w:tcPr>
          <w:p>
            <w:pPr>
              <w:pStyle w:val="32"/>
              <w:spacing w:before="0" w:after="0"/>
            </w:pPr>
            <w:r>
              <w:t>—</w:t>
            </w:r>
          </w:p>
        </w:tc>
        <w:tc>
          <w:tcPr>
            <w:tcW w:w="438" w:type="pct"/>
            <w:vAlign w:val="center"/>
          </w:tcPr>
          <w:p>
            <w:pPr>
              <w:pStyle w:val="32"/>
              <w:spacing w:before="0" w:after="0"/>
            </w:pPr>
            <w:r>
              <w:t>〇</w:t>
            </w:r>
          </w:p>
        </w:tc>
        <w:tc>
          <w:tcPr>
            <w:tcW w:w="443" w:type="pct"/>
            <w:vAlign w:val="center"/>
          </w:tcPr>
          <w:p>
            <w:pPr>
              <w:pStyle w:val="32"/>
              <w:spacing w:before="0" w:after="0"/>
            </w:pPr>
            <w:r>
              <w:t>—</w:t>
            </w:r>
          </w:p>
        </w:tc>
        <w:tc>
          <w:tcPr>
            <w:tcW w:w="438" w:type="pct"/>
            <w:vAlign w:val="center"/>
          </w:tcPr>
          <w:p>
            <w:pPr>
              <w:pStyle w:val="32"/>
              <w:spacing w:before="0" w:after="0"/>
            </w:pPr>
            <w:r>
              <w:t>〇</w:t>
            </w:r>
          </w:p>
        </w:tc>
        <w:tc>
          <w:tcPr>
            <w:tcW w:w="438" w:type="pct"/>
            <w:vAlign w:val="center"/>
          </w:tcPr>
          <w:p>
            <w:pPr>
              <w:pStyle w:val="32"/>
              <w:spacing w:before="0" w:after="0"/>
            </w:pPr>
            <w:r>
              <w:t>—</w:t>
            </w:r>
          </w:p>
        </w:tc>
        <w:tc>
          <w:tcPr>
            <w:tcW w:w="444" w:type="pct"/>
            <w:vAlign w:val="center"/>
          </w:tcPr>
          <w:p>
            <w:pPr>
              <w:pStyle w:val="32"/>
              <w:spacing w:before="0" w:after="0"/>
            </w:pPr>
            <w:r>
              <w:t>〇</w:t>
            </w:r>
          </w:p>
        </w:tc>
        <w:tc>
          <w:tcPr>
            <w:tcW w:w="437" w:type="pct"/>
            <w:vAlign w:val="center"/>
          </w:tcPr>
          <w:p>
            <w:pPr>
              <w:pStyle w:val="32"/>
              <w:spacing w:before="0" w:after="0"/>
            </w:pPr>
            <w:r>
              <w:t>—</w:t>
            </w:r>
          </w:p>
        </w:tc>
        <w:tc>
          <w:tcPr>
            <w:tcW w:w="423" w:type="pct"/>
            <w:vAlign w:val="center"/>
          </w:tcPr>
          <w:p>
            <w:pPr>
              <w:pStyle w:val="32"/>
              <w:spacing w:before="0" w:after="0"/>
            </w:pPr>
            <w:r>
              <w:t>—</w:t>
            </w:r>
          </w:p>
        </w:tc>
      </w:tr>
    </w:tbl>
    <w:p>
      <w:pPr>
        <w:adjustRightInd w:val="0"/>
        <w:snapToGrid w:val="0"/>
        <w:rPr>
          <w:b/>
          <w:bCs/>
          <w:sz w:val="18"/>
          <w:szCs w:val="18"/>
        </w:rPr>
      </w:pPr>
      <w:r>
        <w:rPr>
          <w:b/>
          <w:bCs/>
          <w:sz w:val="18"/>
          <w:szCs w:val="18"/>
        </w:rPr>
        <w:t xml:space="preserve">注：●重大影响，    </w:t>
      </w:r>
      <w:r>
        <w:rPr>
          <w:rFonts w:hint="eastAsia" w:ascii="宋体" w:hAnsi="宋体" w:cs="宋体"/>
          <w:b/>
          <w:bCs/>
          <w:sz w:val="18"/>
          <w:szCs w:val="18"/>
        </w:rPr>
        <w:t>◎</w:t>
      </w:r>
      <w:r>
        <w:rPr>
          <w:b/>
          <w:bCs/>
          <w:sz w:val="18"/>
          <w:szCs w:val="18"/>
        </w:rPr>
        <w:t>中度影响，    〇轻微影响，    一影响很小或无影响，+为有利影响。</w:t>
      </w:r>
    </w:p>
    <w:p>
      <w:pPr>
        <w:pStyle w:val="7"/>
        <w:ind w:firstLine="480"/>
      </w:pPr>
      <w:r>
        <w:t>从表</w:t>
      </w:r>
      <w:r>
        <w:rPr>
          <w:rFonts w:hint="eastAsia"/>
          <w:lang w:val="en-US" w:eastAsia="zh-CN"/>
        </w:rPr>
        <w:t>2.3-1</w:t>
      </w:r>
      <w:r>
        <w:t>可知，本项目施工期对环境的影响主要表现在施工噪声、施工废水、施工固废、施工粉尘及扬尘；营运期对环境的影响主要表现在铸造、喷涂产生的废气，设备运转产生的噪声、其次是生产废渣、生活固废、生产、生活废水的治理及排放等</w:t>
      </w:r>
    </w:p>
    <w:p>
      <w:pPr>
        <w:pStyle w:val="9"/>
      </w:pPr>
      <w:r>
        <w:rPr>
          <w:rFonts w:hint="eastAsia"/>
        </w:rPr>
        <w:t>2.3.1.2评价因子</w:t>
      </w:r>
    </w:p>
    <w:p>
      <w:pPr>
        <w:pStyle w:val="7"/>
        <w:ind w:firstLine="480"/>
      </w:pPr>
      <w:r>
        <w:t>评价根据本项目工程性质、生产工艺与污染物排放特点，确定本项目评价因子，具体见表</w:t>
      </w:r>
      <w:r>
        <w:rPr>
          <w:rFonts w:hint="eastAsia"/>
        </w:rPr>
        <w:t>2.3-2</w:t>
      </w:r>
      <w:r>
        <w:t>。</w:t>
      </w:r>
    </w:p>
    <w:p>
      <w:pPr>
        <w:pStyle w:val="31"/>
      </w:pPr>
      <w:r>
        <w:t>表</w:t>
      </w:r>
      <w:r>
        <w:rPr>
          <w:rFonts w:hint="eastAsia"/>
        </w:rPr>
        <w:t>2.3-2</w:t>
      </w:r>
      <w:r>
        <w:t xml:space="preserve">  项目评价因子一览表</w:t>
      </w:r>
    </w:p>
    <w:tbl>
      <w:tblPr>
        <w:tblStyle w:val="27"/>
        <w:tblW w:w="5001" w:type="pct"/>
        <w:tblInd w:w="0"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668"/>
        <w:gridCol w:w="362"/>
        <w:gridCol w:w="755"/>
        <w:gridCol w:w="4886"/>
        <w:gridCol w:w="1853"/>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c>
          <w:tcPr>
            <w:tcW w:w="391" w:type="pct"/>
            <w:tcBorders>
              <w:top w:val="single" w:color="auto" w:sz="2" w:space="0"/>
            </w:tcBorders>
            <w:vAlign w:val="center"/>
          </w:tcPr>
          <w:p>
            <w:pPr>
              <w:pStyle w:val="32"/>
              <w:spacing w:before="0" w:after="0"/>
            </w:pPr>
            <w:r>
              <w:t>序号</w:t>
            </w:r>
          </w:p>
        </w:tc>
        <w:tc>
          <w:tcPr>
            <w:tcW w:w="655" w:type="pct"/>
            <w:gridSpan w:val="2"/>
            <w:tcBorders>
              <w:top w:val="single" w:color="auto" w:sz="2" w:space="0"/>
            </w:tcBorders>
            <w:vAlign w:val="center"/>
          </w:tcPr>
          <w:p>
            <w:pPr>
              <w:pStyle w:val="32"/>
              <w:spacing w:before="0" w:after="0"/>
            </w:pPr>
            <w:r>
              <w:t>项目</w:t>
            </w:r>
          </w:p>
        </w:tc>
        <w:tc>
          <w:tcPr>
            <w:tcW w:w="2865" w:type="pct"/>
            <w:tcBorders>
              <w:top w:val="single" w:color="auto" w:sz="2" w:space="0"/>
            </w:tcBorders>
            <w:vAlign w:val="center"/>
          </w:tcPr>
          <w:p>
            <w:pPr>
              <w:pStyle w:val="32"/>
              <w:spacing w:before="0" w:after="0"/>
            </w:pPr>
            <w:r>
              <w:t>现状评价因子</w:t>
            </w:r>
          </w:p>
        </w:tc>
        <w:tc>
          <w:tcPr>
            <w:tcW w:w="1087" w:type="pct"/>
            <w:tcBorders>
              <w:top w:val="single" w:color="auto" w:sz="2" w:space="0"/>
            </w:tcBorders>
            <w:vAlign w:val="center"/>
          </w:tcPr>
          <w:p>
            <w:pPr>
              <w:pStyle w:val="32"/>
              <w:spacing w:before="0" w:after="0"/>
            </w:pPr>
            <w:r>
              <w:t>预测评价因子</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c>
          <w:tcPr>
            <w:tcW w:w="391" w:type="pct"/>
            <w:vAlign w:val="center"/>
          </w:tcPr>
          <w:p>
            <w:pPr>
              <w:pStyle w:val="32"/>
              <w:spacing w:before="0" w:after="0"/>
            </w:pPr>
            <w:r>
              <w:t>1</w:t>
            </w:r>
          </w:p>
        </w:tc>
        <w:tc>
          <w:tcPr>
            <w:tcW w:w="655" w:type="pct"/>
            <w:gridSpan w:val="2"/>
            <w:vAlign w:val="center"/>
          </w:tcPr>
          <w:p>
            <w:pPr>
              <w:pStyle w:val="32"/>
              <w:spacing w:before="0" w:after="0"/>
            </w:pPr>
            <w:r>
              <w:t>大气环境</w:t>
            </w:r>
          </w:p>
        </w:tc>
        <w:tc>
          <w:tcPr>
            <w:tcW w:w="2865" w:type="pct"/>
            <w:vAlign w:val="center"/>
          </w:tcPr>
          <w:p>
            <w:pPr>
              <w:pStyle w:val="32"/>
              <w:spacing w:before="0" w:after="0"/>
            </w:pPr>
            <w:r>
              <w:t>SO</w:t>
            </w:r>
            <w:r>
              <w:rPr>
                <w:vertAlign w:val="subscript"/>
              </w:rPr>
              <w:t>2</w:t>
            </w:r>
            <w:r>
              <w:t>、TSP、PM</w:t>
            </w:r>
            <w:r>
              <w:rPr>
                <w:vertAlign w:val="subscript"/>
              </w:rPr>
              <w:t>10</w:t>
            </w:r>
            <w:r>
              <w:t>、PM</w:t>
            </w:r>
            <w:r>
              <w:rPr>
                <w:vertAlign w:val="subscript"/>
              </w:rPr>
              <w:t>2.5</w:t>
            </w:r>
            <w:r>
              <w:t>、NO</w:t>
            </w:r>
            <w:r>
              <w:rPr>
                <w:vertAlign w:val="subscript"/>
              </w:rPr>
              <w:t>2</w:t>
            </w:r>
            <w:r>
              <w:t>、</w:t>
            </w:r>
            <w:r>
              <w:rPr>
                <w:rFonts w:hint="eastAsia"/>
              </w:rPr>
              <w:t>C</w:t>
            </w:r>
            <w:r>
              <w:t>O</w:t>
            </w:r>
            <w:r>
              <w:rPr>
                <w:rFonts w:hint="eastAsia"/>
              </w:rPr>
              <w:t>、</w:t>
            </w:r>
            <w:r>
              <w:t>O</w:t>
            </w:r>
            <w:r>
              <w:rPr>
                <w:vertAlign w:val="subscript"/>
              </w:rPr>
              <w:t>3</w:t>
            </w:r>
            <w:r>
              <w:rPr>
                <w:rFonts w:hint="eastAsia"/>
              </w:rPr>
              <w:t>、</w:t>
            </w:r>
            <w:r>
              <w:t>氟化物、Cl</w:t>
            </w:r>
            <w:r>
              <w:rPr>
                <w:vertAlign w:val="subscript"/>
              </w:rPr>
              <w:t>2</w:t>
            </w:r>
            <w:r>
              <w:t>、HCl</w:t>
            </w:r>
          </w:p>
        </w:tc>
        <w:tc>
          <w:tcPr>
            <w:tcW w:w="1087" w:type="pct"/>
            <w:vAlign w:val="center"/>
          </w:tcPr>
          <w:p>
            <w:pPr>
              <w:pStyle w:val="32"/>
              <w:spacing w:before="0" w:after="0"/>
            </w:pPr>
            <w:r>
              <w:t>SO</w:t>
            </w:r>
            <w:r>
              <w:rPr>
                <w:vertAlign w:val="subscript"/>
              </w:rPr>
              <w:t>2</w:t>
            </w:r>
            <w:r>
              <w:t>、NO</w:t>
            </w:r>
            <w:r>
              <w:rPr>
                <w:vertAlign w:val="subscript"/>
              </w:rPr>
              <w:t>2</w:t>
            </w:r>
            <w:r>
              <w:t>、颗粒物、PM</w:t>
            </w:r>
            <w:r>
              <w:rPr>
                <w:rFonts w:hint="eastAsia"/>
                <w:vertAlign w:val="subscript"/>
              </w:rPr>
              <w:t>10</w:t>
            </w:r>
            <w:r>
              <w:t>、PM</w:t>
            </w:r>
            <w:r>
              <w:rPr>
                <w:vertAlign w:val="subscript"/>
              </w:rPr>
              <w:t>2.5</w:t>
            </w:r>
            <w:r>
              <w:t>、氟化物、Cl</w:t>
            </w:r>
            <w:r>
              <w:rPr>
                <w:vertAlign w:val="subscript"/>
              </w:rPr>
              <w:t>2</w:t>
            </w:r>
            <w:r>
              <w:t>、HCl</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c>
          <w:tcPr>
            <w:tcW w:w="391" w:type="pct"/>
            <w:vMerge w:val="restart"/>
            <w:vAlign w:val="center"/>
          </w:tcPr>
          <w:p>
            <w:pPr>
              <w:pStyle w:val="32"/>
              <w:spacing w:before="0" w:after="0"/>
            </w:pPr>
            <w:r>
              <w:t>2</w:t>
            </w:r>
          </w:p>
        </w:tc>
        <w:tc>
          <w:tcPr>
            <w:tcW w:w="212" w:type="pct"/>
            <w:vMerge w:val="restart"/>
            <w:vAlign w:val="center"/>
          </w:tcPr>
          <w:p>
            <w:pPr>
              <w:pStyle w:val="32"/>
              <w:spacing w:before="0" w:after="0"/>
            </w:pPr>
            <w:r>
              <w:t>水</w:t>
            </w:r>
          </w:p>
          <w:p>
            <w:pPr>
              <w:pStyle w:val="32"/>
              <w:spacing w:before="0" w:after="0"/>
            </w:pPr>
            <w:r>
              <w:t>环</w:t>
            </w:r>
          </w:p>
          <w:p>
            <w:pPr>
              <w:pStyle w:val="32"/>
              <w:spacing w:before="0" w:after="0"/>
            </w:pPr>
            <w:r>
              <w:t>境</w:t>
            </w:r>
          </w:p>
        </w:tc>
        <w:tc>
          <w:tcPr>
            <w:tcW w:w="443" w:type="pct"/>
            <w:vAlign w:val="center"/>
          </w:tcPr>
          <w:p>
            <w:pPr>
              <w:pStyle w:val="32"/>
              <w:spacing w:before="0" w:after="0"/>
            </w:pPr>
            <w:r>
              <w:t>地表水</w:t>
            </w:r>
          </w:p>
        </w:tc>
        <w:tc>
          <w:tcPr>
            <w:tcW w:w="2865" w:type="pct"/>
            <w:vAlign w:val="center"/>
          </w:tcPr>
          <w:p>
            <w:pPr>
              <w:pStyle w:val="32"/>
              <w:spacing w:before="0" w:after="0"/>
            </w:pPr>
            <w:r>
              <w:t>pH、溶解氧、化学需氧量、五日生化需氧量、氰化物、铅、镉、挥发酚、悬浮物、氟化物、硫化物、石油类、铜、氨氮、六价铬、总氮、总磷、铁、锰、汞、锌、砷、铬</w:t>
            </w:r>
          </w:p>
        </w:tc>
        <w:tc>
          <w:tcPr>
            <w:tcW w:w="1087" w:type="pct"/>
            <w:vAlign w:val="center"/>
          </w:tcPr>
          <w:p>
            <w:pPr>
              <w:pStyle w:val="32"/>
              <w:spacing w:before="0" w:after="0"/>
            </w:pPr>
            <w: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c>
          <w:tcPr>
            <w:tcW w:w="391" w:type="pct"/>
            <w:vMerge w:val="continue"/>
            <w:vAlign w:val="center"/>
          </w:tcPr>
          <w:p>
            <w:pPr>
              <w:pStyle w:val="32"/>
              <w:spacing w:before="0" w:after="0"/>
            </w:pPr>
          </w:p>
        </w:tc>
        <w:tc>
          <w:tcPr>
            <w:tcW w:w="212" w:type="pct"/>
            <w:vMerge w:val="continue"/>
            <w:vAlign w:val="center"/>
          </w:tcPr>
          <w:p>
            <w:pPr>
              <w:pStyle w:val="32"/>
              <w:spacing w:before="0" w:after="0"/>
            </w:pPr>
          </w:p>
        </w:tc>
        <w:tc>
          <w:tcPr>
            <w:tcW w:w="443" w:type="pct"/>
            <w:vAlign w:val="center"/>
          </w:tcPr>
          <w:p>
            <w:pPr>
              <w:pStyle w:val="32"/>
              <w:spacing w:before="0" w:after="0"/>
            </w:pPr>
            <w:r>
              <w:t>地下水</w:t>
            </w:r>
          </w:p>
        </w:tc>
        <w:tc>
          <w:tcPr>
            <w:tcW w:w="2865" w:type="pct"/>
            <w:vAlign w:val="center"/>
          </w:tcPr>
          <w:p>
            <w:pPr>
              <w:pStyle w:val="32"/>
              <w:spacing w:before="0" w:after="0"/>
            </w:pPr>
            <w:r>
              <w:t>pH、总硬度、溶解性总固体、硫酸盐、氯化物、挥发性酚类、阴离子表面活性剂、耗氧量、氨氮、硫化物、亚硝酸盐、硝酸盐、氰化物、氟化物、铁、锰、铜、锌、汞、砷、镉、六价铬、铅、镍、铝、总大肠菌群、菌落总数</w:t>
            </w:r>
          </w:p>
        </w:tc>
        <w:tc>
          <w:tcPr>
            <w:tcW w:w="1087" w:type="pct"/>
            <w:vAlign w:val="center"/>
          </w:tcPr>
          <w:p>
            <w:pPr>
              <w:pStyle w:val="32"/>
              <w:spacing w:before="0" w:after="0"/>
            </w:pPr>
            <w:r>
              <w:rPr>
                <w:rFonts w:hint="eastAsia"/>
              </w:rPr>
              <w:t>COD、硫化物、石油类、氟化物</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c>
          <w:tcPr>
            <w:tcW w:w="391" w:type="pct"/>
            <w:vAlign w:val="center"/>
          </w:tcPr>
          <w:p>
            <w:pPr>
              <w:pStyle w:val="32"/>
              <w:spacing w:before="0" w:after="0"/>
            </w:pPr>
            <w:r>
              <w:t>3</w:t>
            </w:r>
          </w:p>
        </w:tc>
        <w:tc>
          <w:tcPr>
            <w:tcW w:w="655" w:type="pct"/>
            <w:gridSpan w:val="2"/>
            <w:vAlign w:val="center"/>
          </w:tcPr>
          <w:p>
            <w:pPr>
              <w:pStyle w:val="32"/>
              <w:spacing w:before="0" w:after="0"/>
            </w:pPr>
            <w:r>
              <w:t>声环境</w:t>
            </w:r>
          </w:p>
        </w:tc>
        <w:tc>
          <w:tcPr>
            <w:tcW w:w="2865" w:type="pct"/>
            <w:vAlign w:val="center"/>
          </w:tcPr>
          <w:p>
            <w:pPr>
              <w:pStyle w:val="32"/>
              <w:spacing w:before="0" w:after="0"/>
            </w:pPr>
            <w:r>
              <w:t>Leq</w:t>
            </w:r>
          </w:p>
        </w:tc>
        <w:tc>
          <w:tcPr>
            <w:tcW w:w="1087" w:type="pct"/>
            <w:vAlign w:val="center"/>
          </w:tcPr>
          <w:p>
            <w:pPr>
              <w:pStyle w:val="32"/>
              <w:spacing w:before="0" w:after="0"/>
            </w:pPr>
            <w:r>
              <w:t>Leq</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1725" w:hRule="atLeast"/>
        </w:trPr>
        <w:tc>
          <w:tcPr>
            <w:tcW w:w="391" w:type="pct"/>
            <w:vAlign w:val="center"/>
          </w:tcPr>
          <w:p>
            <w:pPr>
              <w:pStyle w:val="32"/>
              <w:spacing w:before="0" w:after="0"/>
            </w:pPr>
            <w:r>
              <w:t>4</w:t>
            </w:r>
          </w:p>
        </w:tc>
        <w:tc>
          <w:tcPr>
            <w:tcW w:w="655" w:type="pct"/>
            <w:gridSpan w:val="2"/>
            <w:vAlign w:val="center"/>
          </w:tcPr>
          <w:p>
            <w:pPr>
              <w:pStyle w:val="32"/>
              <w:spacing w:before="0" w:after="0"/>
            </w:pPr>
            <w:r>
              <w:t>土壤</w:t>
            </w:r>
          </w:p>
        </w:tc>
        <w:tc>
          <w:tcPr>
            <w:tcW w:w="2865" w:type="pct"/>
            <w:vAlign w:val="center"/>
          </w:tcPr>
          <w:p>
            <w:pPr>
              <w:pStyle w:val="32"/>
              <w:spacing w:before="0" w:after="0"/>
            </w:pPr>
            <w:r>
              <w:t>镉、汞、砷、铅、六价铬、铜、镍、锌、氟化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蒽、苯并芘、苯并荧蒽、䓛、二苯并蒽、茚并芘、萘</w:t>
            </w:r>
          </w:p>
        </w:tc>
        <w:tc>
          <w:tcPr>
            <w:tcW w:w="1087" w:type="pct"/>
            <w:vAlign w:val="center"/>
          </w:tcPr>
          <w:p>
            <w:pPr>
              <w:pStyle w:val="32"/>
              <w:spacing w:before="0" w:after="0"/>
            </w:pPr>
            <w:r>
              <w:t>氟化物</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c>
          <w:tcPr>
            <w:tcW w:w="391" w:type="pct"/>
            <w:vAlign w:val="center"/>
          </w:tcPr>
          <w:p>
            <w:pPr>
              <w:pStyle w:val="32"/>
              <w:spacing w:before="0" w:after="0"/>
            </w:pPr>
            <w:r>
              <w:rPr>
                <w:rFonts w:hint="eastAsia"/>
              </w:rPr>
              <w:t>5</w:t>
            </w:r>
          </w:p>
        </w:tc>
        <w:tc>
          <w:tcPr>
            <w:tcW w:w="655" w:type="pct"/>
            <w:gridSpan w:val="2"/>
            <w:vAlign w:val="center"/>
          </w:tcPr>
          <w:p>
            <w:pPr>
              <w:pStyle w:val="32"/>
              <w:spacing w:before="0" w:after="0"/>
            </w:pPr>
            <w:r>
              <w:t>环境风险</w:t>
            </w:r>
          </w:p>
        </w:tc>
        <w:tc>
          <w:tcPr>
            <w:tcW w:w="2865" w:type="pct"/>
            <w:vAlign w:val="center"/>
          </w:tcPr>
          <w:p>
            <w:pPr>
              <w:pStyle w:val="32"/>
              <w:spacing w:before="0" w:after="0"/>
            </w:pPr>
            <w:r>
              <w:t>—</w:t>
            </w:r>
          </w:p>
        </w:tc>
        <w:tc>
          <w:tcPr>
            <w:tcW w:w="1087" w:type="pct"/>
            <w:vAlign w:val="center"/>
          </w:tcPr>
          <w:p>
            <w:pPr>
              <w:pStyle w:val="32"/>
              <w:spacing w:before="0" w:after="0"/>
              <w:rPr>
                <w:highlight w:val="yellow"/>
              </w:rPr>
            </w:pPr>
            <w:r>
              <w:t>—</w:t>
            </w:r>
          </w:p>
        </w:tc>
      </w:tr>
    </w:tbl>
    <w:p>
      <w:pPr>
        <w:pStyle w:val="8"/>
      </w:pPr>
      <w:r>
        <w:rPr>
          <w:rFonts w:hint="eastAsia"/>
        </w:rPr>
        <w:t>2.3.2评价标准</w:t>
      </w:r>
    </w:p>
    <w:p>
      <w:pPr>
        <w:pStyle w:val="7"/>
        <w:ind w:firstLine="480"/>
      </w:pPr>
      <w:r>
        <w:rPr>
          <w:rFonts w:hint="eastAsia"/>
        </w:rPr>
        <w:t>项目环境影响评价所采用的标准已得到文山壮族苗族自治州生态环境局砚山分局的确认，详见附件4。</w:t>
      </w:r>
    </w:p>
    <w:p>
      <w:pPr>
        <w:pStyle w:val="9"/>
      </w:pPr>
      <w:r>
        <w:rPr>
          <w:rFonts w:hint="eastAsia"/>
        </w:rPr>
        <w:t>2.3.2.1环境质量标准</w:t>
      </w:r>
    </w:p>
    <w:p>
      <w:pPr>
        <w:pStyle w:val="7"/>
        <w:ind w:firstLine="482"/>
        <w:rPr>
          <w:b/>
          <w:bCs/>
        </w:rPr>
      </w:pPr>
      <w:r>
        <w:rPr>
          <w:rFonts w:hint="eastAsia"/>
          <w:b/>
          <w:bCs/>
        </w:rPr>
        <w:t>1、环境空气质量标准</w:t>
      </w:r>
    </w:p>
    <w:p>
      <w:pPr>
        <w:pStyle w:val="7"/>
        <w:ind w:firstLine="480"/>
      </w:pPr>
      <w:r>
        <w:rPr>
          <w:rFonts w:hint="eastAsia"/>
        </w:rPr>
        <w:t>项目位于文山州砚山绿色铝创新产业园内，</w:t>
      </w:r>
      <w:r>
        <w:rPr>
          <w:lang w:val="zh-CN"/>
        </w:rPr>
        <w:t>环境空气执行《环境空气质量标准》(GB3095-2012</w:t>
      </w:r>
      <w:r>
        <w:rPr>
          <w:rFonts w:hint="eastAsia"/>
          <w:lang w:val="zh-CN"/>
        </w:rPr>
        <w:t>）</w:t>
      </w:r>
      <w:r>
        <w:rPr>
          <w:lang w:val="zh-CN"/>
        </w:rPr>
        <w:t>二级标准、</w:t>
      </w:r>
      <w:r>
        <w:t>听湖风景名胜区环境空气执行《环境空气质量标准》(GB3095-2012</w:t>
      </w:r>
      <w:r>
        <w:rPr>
          <w:rFonts w:hint="eastAsia"/>
          <w:lang w:eastAsia="zh-CN"/>
        </w:rPr>
        <w:t>）</w:t>
      </w:r>
      <w:r>
        <w:t>一级标准</w:t>
      </w:r>
      <w:r>
        <w:rPr>
          <w:rFonts w:hint="eastAsia"/>
        </w:rPr>
        <w:t>，各标准值具体</w:t>
      </w:r>
      <w:r>
        <w:t>见表</w:t>
      </w:r>
      <w:r>
        <w:rPr>
          <w:rFonts w:hint="eastAsia"/>
        </w:rPr>
        <w:t>2.3-3</w:t>
      </w:r>
      <w:r>
        <w:t>。</w:t>
      </w:r>
    </w:p>
    <w:p>
      <w:pPr>
        <w:pStyle w:val="31"/>
      </w:pPr>
      <w:r>
        <w:t>表</w:t>
      </w:r>
      <w:r>
        <w:rPr>
          <w:rFonts w:hint="eastAsia"/>
        </w:rPr>
        <w:t>2.3-3</w:t>
      </w:r>
      <w:r>
        <w:t xml:space="preserve">  环境空气质量标准 </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2120"/>
        <w:gridCol w:w="1556"/>
        <w:gridCol w:w="1537"/>
        <w:gridCol w:w="1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污染物项目</w:t>
            </w:r>
          </w:p>
        </w:tc>
        <w:tc>
          <w:tcPr>
            <w:tcW w:w="1244"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平均时间</w:t>
            </w:r>
          </w:p>
        </w:tc>
        <w:tc>
          <w:tcPr>
            <w:tcW w:w="1815" w:type="pct"/>
            <w:gridSpan w:val="2"/>
            <w:tcBorders>
              <w:top w:val="single" w:color="auto" w:sz="4" w:space="0"/>
              <w:left w:val="single" w:color="auto" w:sz="4" w:space="0"/>
              <w:bottom w:val="single" w:color="auto" w:sz="4" w:space="0"/>
              <w:right w:val="single" w:color="auto" w:sz="4" w:space="0"/>
            </w:tcBorders>
            <w:vAlign w:val="center"/>
          </w:tcPr>
          <w:p>
            <w:pPr>
              <w:pStyle w:val="32"/>
              <w:spacing w:before="0" w:after="0"/>
            </w:pPr>
            <w:r>
              <w:t>浓度限值（μg/m</w:t>
            </w:r>
            <w:r>
              <w:rPr>
                <w:vertAlign w:val="superscript"/>
              </w:rPr>
              <w:t>3</w:t>
            </w:r>
            <w:r>
              <w:t>）</w:t>
            </w:r>
          </w:p>
        </w:tc>
        <w:tc>
          <w:tcPr>
            <w:tcW w:w="107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一级标准</w:t>
            </w:r>
          </w:p>
        </w:tc>
        <w:tc>
          <w:tcPr>
            <w:tcW w:w="902" w:type="pct"/>
            <w:tcBorders>
              <w:top w:val="single" w:color="auto" w:sz="4" w:space="0"/>
              <w:left w:val="single" w:color="auto" w:sz="4" w:space="0"/>
              <w:bottom w:val="single" w:color="auto" w:sz="4" w:space="0"/>
              <w:right w:val="single" w:color="auto" w:sz="4" w:space="0"/>
            </w:tcBorders>
          </w:tcPr>
          <w:p>
            <w:pPr>
              <w:pStyle w:val="32"/>
              <w:spacing w:before="0" w:after="0"/>
            </w:pPr>
            <w:r>
              <w:t>二级标准</w:t>
            </w:r>
          </w:p>
        </w:tc>
        <w:tc>
          <w:tcPr>
            <w:tcW w:w="1079" w:type="pct"/>
            <w:vMerge w:val="restart"/>
            <w:tcBorders>
              <w:top w:val="single" w:color="auto" w:sz="4" w:space="0"/>
              <w:left w:val="single" w:color="auto" w:sz="4" w:space="0"/>
              <w:right w:val="single" w:color="auto" w:sz="4" w:space="0"/>
            </w:tcBorders>
            <w:vAlign w:val="center"/>
          </w:tcPr>
          <w:p>
            <w:pPr>
              <w:pStyle w:val="32"/>
              <w:spacing w:before="0" w:after="0"/>
            </w:pPr>
            <w:r>
              <w:t>《环境空气质量标准》</w:t>
            </w:r>
            <w:r>
              <w:rPr>
                <w:rFonts w:hint="eastAsia"/>
              </w:rPr>
              <w:t>（</w:t>
            </w:r>
            <w:r>
              <w:t>GB3095-2012</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SO</w:t>
            </w:r>
            <w:r>
              <w:rPr>
                <w:vertAlign w:val="subscript"/>
              </w:rPr>
              <w:t>2</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年平均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20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60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50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150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150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500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NO</w:t>
            </w:r>
            <w:r>
              <w:rPr>
                <w:vertAlign w:val="subscript"/>
              </w:rPr>
              <w:t>2</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年平均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40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40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80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80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200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200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PM</w:t>
            </w:r>
            <w:r>
              <w:rPr>
                <w:vertAlign w:val="subscript"/>
              </w:rPr>
              <w:t>10</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年平均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70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70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150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150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PM</w:t>
            </w:r>
            <w:r>
              <w:rPr>
                <w:vertAlign w:val="subscript"/>
              </w:rPr>
              <w:t>2.5</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年平均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35</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35</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75</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75</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CO</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4（mg/m³）</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4（mg/m³）</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10（mg/m³）</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10（mg/m³）</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O</w:t>
            </w:r>
            <w:r>
              <w:rPr>
                <w:vertAlign w:val="subscript"/>
              </w:rPr>
              <w:t>3</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日最大8小时平均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160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160</w:t>
            </w:r>
          </w:p>
        </w:tc>
        <w:tc>
          <w:tcPr>
            <w:tcW w:w="902" w:type="pct"/>
            <w:tcBorders>
              <w:top w:val="single" w:color="auto" w:sz="4" w:space="0"/>
              <w:left w:val="single" w:color="auto" w:sz="4" w:space="0"/>
              <w:bottom w:val="single" w:color="auto" w:sz="4" w:space="0"/>
              <w:right w:val="single" w:color="auto" w:sz="4" w:space="0"/>
            </w:tcBorders>
          </w:tcPr>
          <w:p>
            <w:pPr>
              <w:pStyle w:val="32"/>
              <w:spacing w:before="0" w:after="0"/>
            </w:pPr>
            <w:r>
              <w:t>200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TSP</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年平均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80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200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120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300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苯并[a]芘</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年平均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0.001</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0.001</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0.0025</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0.0025</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right w:val="single" w:color="auto" w:sz="4" w:space="0"/>
            </w:tcBorders>
            <w:vAlign w:val="center"/>
          </w:tcPr>
          <w:p>
            <w:pPr>
              <w:pStyle w:val="32"/>
              <w:spacing w:before="0" w:after="0"/>
              <w:rPr>
                <w:lang w:val="zh-CN"/>
              </w:rPr>
            </w:pPr>
            <w:r>
              <w:rPr>
                <w:lang w:val="zh-CN"/>
              </w:rPr>
              <w:t>氟化物</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24小时平均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7</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7</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20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rPr>
                <w:lang w:val="zh-CN"/>
              </w:rPr>
            </w:pPr>
            <w:r>
              <w:rPr>
                <w:lang w:val="zh-CN"/>
              </w:rPr>
              <w:t>20</w:t>
            </w:r>
          </w:p>
        </w:tc>
        <w:tc>
          <w:tcPr>
            <w:tcW w:w="1079" w:type="pct"/>
            <w:vMerge w:val="continue"/>
            <w:tcBorders>
              <w:left w:val="single" w:color="auto" w:sz="4" w:space="0"/>
              <w:bottom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top w:val="single" w:color="auto" w:sz="4" w:space="0"/>
              <w:left w:val="single" w:color="auto" w:sz="4" w:space="0"/>
              <w:right w:val="single" w:color="auto" w:sz="4" w:space="0"/>
            </w:tcBorders>
            <w:vAlign w:val="center"/>
          </w:tcPr>
          <w:p>
            <w:pPr>
              <w:pStyle w:val="32"/>
              <w:spacing w:before="0" w:after="0"/>
            </w:pPr>
            <w:r>
              <w:rPr>
                <w:rFonts w:hint="eastAsia"/>
              </w:rPr>
              <w:t>氯化氢</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50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30</w:t>
            </w:r>
          </w:p>
        </w:tc>
        <w:tc>
          <w:tcPr>
            <w:tcW w:w="1079" w:type="pct"/>
            <w:vMerge w:val="restart"/>
            <w:tcBorders>
              <w:top w:val="single" w:color="auto" w:sz="4" w:space="0"/>
              <w:left w:val="single" w:color="auto" w:sz="4" w:space="0"/>
              <w:right w:val="single" w:color="auto" w:sz="4" w:space="0"/>
            </w:tcBorders>
            <w:vAlign w:val="center"/>
          </w:tcPr>
          <w:p>
            <w:pPr>
              <w:pStyle w:val="32"/>
              <w:spacing w:before="0" w:after="0"/>
            </w:pPr>
            <w:bookmarkStart w:id="38" w:name="_Hlk103419242"/>
            <w:r>
              <w:t>HJ2.2-2018《环境影响评价技术导则 大气环境》中附录D</w:t>
            </w:r>
            <w:bookmarkEnd w:id="3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left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日平均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15</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15</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restart"/>
            <w:tcBorders>
              <w:left w:val="single" w:color="auto" w:sz="4" w:space="0"/>
              <w:right w:val="single" w:color="auto" w:sz="4" w:space="0"/>
            </w:tcBorders>
            <w:vAlign w:val="center"/>
          </w:tcPr>
          <w:p>
            <w:pPr>
              <w:pStyle w:val="32"/>
              <w:spacing w:before="0" w:after="0"/>
            </w:pPr>
            <w:r>
              <w:rPr>
                <w:rFonts w:hint="eastAsia"/>
              </w:rPr>
              <w:t>氯</w:t>
            </w: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1小时平均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100</w:t>
            </w:r>
          </w:p>
        </w:tc>
        <w:tc>
          <w:tcPr>
            <w:tcW w:w="1079"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61" w:type="pct"/>
            <w:vMerge w:val="continue"/>
            <w:tcBorders>
              <w:left w:val="single" w:color="auto" w:sz="4" w:space="0"/>
              <w:bottom w:val="single" w:color="auto" w:sz="4" w:space="0"/>
              <w:right w:val="single" w:color="auto" w:sz="4" w:space="0"/>
            </w:tcBorders>
            <w:vAlign w:val="center"/>
          </w:tcPr>
          <w:p>
            <w:pPr>
              <w:pStyle w:val="32"/>
              <w:spacing w:before="0" w:after="0"/>
            </w:pPr>
          </w:p>
        </w:tc>
        <w:tc>
          <w:tcPr>
            <w:tcW w:w="124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日平均</w:t>
            </w:r>
          </w:p>
        </w:tc>
        <w:tc>
          <w:tcPr>
            <w:tcW w:w="91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30</w:t>
            </w:r>
          </w:p>
        </w:tc>
        <w:tc>
          <w:tcPr>
            <w:tcW w:w="90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30</w:t>
            </w:r>
          </w:p>
        </w:tc>
        <w:tc>
          <w:tcPr>
            <w:tcW w:w="1079" w:type="pct"/>
            <w:vMerge w:val="continue"/>
            <w:tcBorders>
              <w:left w:val="single" w:color="auto" w:sz="4" w:space="0"/>
              <w:bottom w:val="single" w:color="auto" w:sz="4" w:space="0"/>
              <w:right w:val="single" w:color="auto" w:sz="4" w:space="0"/>
            </w:tcBorders>
            <w:vAlign w:val="center"/>
          </w:tcPr>
          <w:p>
            <w:pPr>
              <w:pStyle w:val="32"/>
              <w:spacing w:before="0" w:after="0"/>
            </w:pPr>
          </w:p>
        </w:tc>
      </w:tr>
    </w:tbl>
    <w:p>
      <w:pPr>
        <w:pStyle w:val="7"/>
        <w:ind w:firstLine="482"/>
        <w:rPr>
          <w:rFonts w:hint="eastAsia"/>
          <w:b/>
          <w:bCs/>
        </w:rPr>
      </w:pPr>
    </w:p>
    <w:p>
      <w:pPr>
        <w:pStyle w:val="7"/>
        <w:ind w:firstLine="482"/>
        <w:rPr>
          <w:b/>
          <w:bCs/>
        </w:rPr>
      </w:pPr>
      <w:r>
        <w:rPr>
          <w:rFonts w:hint="eastAsia"/>
          <w:b/>
          <w:bCs/>
        </w:rPr>
        <w:t>2、地表水环境质量标准</w:t>
      </w:r>
    </w:p>
    <w:p>
      <w:pPr>
        <w:pStyle w:val="7"/>
        <w:ind w:firstLine="480"/>
      </w:pPr>
      <w:r>
        <w:rPr>
          <w:rFonts w:hint="eastAsia"/>
        </w:rPr>
        <w:t>项目所在区域涉及地表水为听湖水库和公革河，听湖水库流入公革河，根据《云南省水功能区划》（2014年修订），属于清水江砚山</w:t>
      </w:r>
      <w:r>
        <w:rPr>
          <w:rFonts w:hint="eastAsia"/>
          <w:lang w:val="en-US" w:eastAsia="zh-CN"/>
        </w:rPr>
        <w:t>-</w:t>
      </w:r>
      <w:r>
        <w:rPr>
          <w:rFonts w:hint="eastAsia"/>
        </w:rPr>
        <w:t>丘北保留区，听湖水库及清水江（砚山听湖水库库区起始-丘北坝达）水质保护目标为II类。</w:t>
      </w:r>
    </w:p>
    <w:p>
      <w:pPr>
        <w:pStyle w:val="7"/>
        <w:ind w:firstLine="480"/>
      </w:pPr>
      <w:r>
        <w:rPr>
          <w:rFonts w:hint="eastAsia"/>
        </w:rPr>
        <w:t>因此听湖水库和公革河执行II类水质标准，标准值见表2.3-4。</w:t>
      </w:r>
    </w:p>
    <w:p>
      <w:pPr>
        <w:pStyle w:val="31"/>
      </w:pPr>
      <w:r>
        <w:rPr>
          <w:rFonts w:hint="eastAsia"/>
        </w:rPr>
        <w:t>表2.3-4  地表水环境质量标准</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6"/>
        <w:gridCol w:w="1361"/>
        <w:gridCol w:w="1146"/>
        <w:gridCol w:w="1040"/>
        <w:gridCol w:w="1884"/>
        <w:gridCol w:w="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0" w:type="pct"/>
            <w:vAlign w:val="center"/>
          </w:tcPr>
          <w:p>
            <w:pPr>
              <w:pStyle w:val="32"/>
            </w:pPr>
            <w:r>
              <w:t>项目</w:t>
            </w:r>
          </w:p>
        </w:tc>
        <w:tc>
          <w:tcPr>
            <w:tcW w:w="798" w:type="pct"/>
            <w:vAlign w:val="center"/>
          </w:tcPr>
          <w:p>
            <w:pPr>
              <w:pStyle w:val="32"/>
            </w:pPr>
            <w:r>
              <w:t>pH（无量纲）</w:t>
            </w:r>
          </w:p>
        </w:tc>
        <w:tc>
          <w:tcPr>
            <w:tcW w:w="672" w:type="pct"/>
            <w:vAlign w:val="center"/>
          </w:tcPr>
          <w:p>
            <w:pPr>
              <w:pStyle w:val="32"/>
            </w:pPr>
            <w:r>
              <w:t>COD</w:t>
            </w:r>
          </w:p>
        </w:tc>
        <w:tc>
          <w:tcPr>
            <w:tcW w:w="610" w:type="pct"/>
            <w:vAlign w:val="center"/>
          </w:tcPr>
          <w:p>
            <w:pPr>
              <w:pStyle w:val="32"/>
            </w:pPr>
            <w:r>
              <w:t>BOD</w:t>
            </w:r>
          </w:p>
        </w:tc>
        <w:tc>
          <w:tcPr>
            <w:tcW w:w="1105" w:type="pct"/>
            <w:vAlign w:val="center"/>
          </w:tcPr>
          <w:p>
            <w:pPr>
              <w:pStyle w:val="32"/>
            </w:pPr>
            <w:r>
              <w:t>总磷</w:t>
            </w:r>
          </w:p>
        </w:tc>
        <w:tc>
          <w:tcPr>
            <w:tcW w:w="542" w:type="pct"/>
            <w:vAlign w:val="center"/>
          </w:tcPr>
          <w:p>
            <w:pPr>
              <w:pStyle w:val="32"/>
            </w:pPr>
            <w:r>
              <w:t>NH</w:t>
            </w:r>
            <w:r>
              <w:rPr>
                <w:vertAlign w:val="subscript"/>
              </w:rPr>
              <w:t>3</w:t>
            </w:r>
            <w: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0" w:type="pct"/>
            <w:vAlign w:val="center"/>
          </w:tcPr>
          <w:p>
            <w:pPr>
              <w:pStyle w:val="32"/>
            </w:pPr>
            <w:r>
              <w:rPr>
                <w:rFonts w:hint="eastAsia"/>
              </w:rPr>
              <w:t>II</w:t>
            </w:r>
            <w:r>
              <w:t>类标准值（mg/L）</w:t>
            </w:r>
          </w:p>
        </w:tc>
        <w:tc>
          <w:tcPr>
            <w:tcW w:w="798" w:type="pct"/>
            <w:vAlign w:val="center"/>
          </w:tcPr>
          <w:p>
            <w:pPr>
              <w:pStyle w:val="32"/>
            </w:pPr>
            <w:r>
              <w:t>6～9</w:t>
            </w:r>
          </w:p>
        </w:tc>
        <w:tc>
          <w:tcPr>
            <w:tcW w:w="672" w:type="pct"/>
            <w:vAlign w:val="center"/>
          </w:tcPr>
          <w:p>
            <w:pPr>
              <w:pStyle w:val="32"/>
            </w:pPr>
            <w:r>
              <w:t>≤</w:t>
            </w:r>
            <w:r>
              <w:rPr>
                <w:rFonts w:hint="eastAsia"/>
              </w:rPr>
              <w:t>15</w:t>
            </w:r>
          </w:p>
        </w:tc>
        <w:tc>
          <w:tcPr>
            <w:tcW w:w="610" w:type="pct"/>
            <w:vAlign w:val="center"/>
          </w:tcPr>
          <w:p>
            <w:pPr>
              <w:pStyle w:val="32"/>
            </w:pPr>
            <w:r>
              <w:t>≤</w:t>
            </w:r>
            <w:r>
              <w:rPr>
                <w:rFonts w:hint="eastAsia"/>
              </w:rPr>
              <w:t>3</w:t>
            </w:r>
          </w:p>
        </w:tc>
        <w:tc>
          <w:tcPr>
            <w:tcW w:w="1105" w:type="pct"/>
            <w:vAlign w:val="center"/>
          </w:tcPr>
          <w:p>
            <w:pPr>
              <w:pStyle w:val="32"/>
            </w:pPr>
            <w:r>
              <w:t>≤</w:t>
            </w:r>
            <w:r>
              <w:rPr>
                <w:rFonts w:hint="eastAsia"/>
              </w:rPr>
              <w:t>0.1（湖库0.025）</w:t>
            </w:r>
          </w:p>
        </w:tc>
        <w:tc>
          <w:tcPr>
            <w:tcW w:w="542" w:type="pct"/>
            <w:vAlign w:val="center"/>
          </w:tcPr>
          <w:p>
            <w:pPr>
              <w:pStyle w:val="32"/>
            </w:pPr>
            <w:r>
              <w:t>≤</w:t>
            </w:r>
            <w:r>
              <w:rPr>
                <w:rFonts w:hint="eastAsi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0" w:type="pct"/>
            <w:vAlign w:val="center"/>
          </w:tcPr>
          <w:p>
            <w:pPr>
              <w:pStyle w:val="32"/>
            </w:pPr>
            <w:r>
              <w:t>项目</w:t>
            </w:r>
          </w:p>
        </w:tc>
        <w:tc>
          <w:tcPr>
            <w:tcW w:w="798" w:type="pct"/>
            <w:vAlign w:val="center"/>
          </w:tcPr>
          <w:p>
            <w:pPr>
              <w:pStyle w:val="32"/>
            </w:pPr>
            <w:r>
              <w:t>总氮</w:t>
            </w:r>
          </w:p>
        </w:tc>
        <w:tc>
          <w:tcPr>
            <w:tcW w:w="672" w:type="pct"/>
            <w:vAlign w:val="center"/>
          </w:tcPr>
          <w:p>
            <w:pPr>
              <w:pStyle w:val="32"/>
            </w:pPr>
            <w:r>
              <w:t>砷</w:t>
            </w:r>
          </w:p>
        </w:tc>
        <w:tc>
          <w:tcPr>
            <w:tcW w:w="610" w:type="pct"/>
            <w:vAlign w:val="center"/>
          </w:tcPr>
          <w:p>
            <w:pPr>
              <w:pStyle w:val="32"/>
            </w:pPr>
            <w:r>
              <w:t>氟化物</w:t>
            </w:r>
          </w:p>
        </w:tc>
        <w:tc>
          <w:tcPr>
            <w:tcW w:w="1105" w:type="pct"/>
            <w:vAlign w:val="center"/>
          </w:tcPr>
          <w:p>
            <w:pPr>
              <w:pStyle w:val="32"/>
            </w:pPr>
            <w:r>
              <w:t>硫化物</w:t>
            </w:r>
          </w:p>
        </w:tc>
        <w:tc>
          <w:tcPr>
            <w:tcW w:w="542" w:type="pct"/>
            <w:vAlign w:val="center"/>
          </w:tcPr>
          <w:p>
            <w:pPr>
              <w:pStyle w:val="32"/>
            </w:pPr>
            <w: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70" w:type="pct"/>
            <w:vAlign w:val="center"/>
          </w:tcPr>
          <w:p>
            <w:pPr>
              <w:pStyle w:val="32"/>
            </w:pPr>
            <w:r>
              <w:rPr>
                <w:rFonts w:hint="eastAsia"/>
              </w:rPr>
              <w:t>II</w:t>
            </w:r>
            <w:r>
              <w:t>类标准值（mg/L）</w:t>
            </w:r>
          </w:p>
        </w:tc>
        <w:tc>
          <w:tcPr>
            <w:tcW w:w="798" w:type="pct"/>
            <w:vAlign w:val="center"/>
          </w:tcPr>
          <w:p>
            <w:pPr>
              <w:pStyle w:val="32"/>
            </w:pPr>
            <w:r>
              <w:t>≤</w:t>
            </w:r>
            <w:r>
              <w:rPr>
                <w:rFonts w:hint="eastAsia"/>
              </w:rPr>
              <w:t>0.5</w:t>
            </w:r>
          </w:p>
        </w:tc>
        <w:tc>
          <w:tcPr>
            <w:tcW w:w="672" w:type="pct"/>
            <w:vAlign w:val="center"/>
          </w:tcPr>
          <w:p>
            <w:pPr>
              <w:pStyle w:val="32"/>
            </w:pPr>
            <w:r>
              <w:t>≤0.05</w:t>
            </w:r>
          </w:p>
        </w:tc>
        <w:tc>
          <w:tcPr>
            <w:tcW w:w="610" w:type="pct"/>
            <w:vAlign w:val="center"/>
          </w:tcPr>
          <w:p>
            <w:pPr>
              <w:pStyle w:val="32"/>
            </w:pPr>
            <w:r>
              <w:t>≤1.0</w:t>
            </w:r>
          </w:p>
        </w:tc>
        <w:tc>
          <w:tcPr>
            <w:tcW w:w="1105" w:type="pct"/>
            <w:vAlign w:val="center"/>
          </w:tcPr>
          <w:p>
            <w:pPr>
              <w:pStyle w:val="32"/>
            </w:pPr>
            <w:r>
              <w:t>≤0.</w:t>
            </w:r>
            <w:r>
              <w:rPr>
                <w:rFonts w:hint="eastAsia"/>
              </w:rPr>
              <w:t>1</w:t>
            </w:r>
          </w:p>
        </w:tc>
        <w:tc>
          <w:tcPr>
            <w:tcW w:w="542" w:type="pct"/>
            <w:vAlign w:val="center"/>
          </w:tcPr>
          <w:p>
            <w:pPr>
              <w:pStyle w:val="32"/>
            </w:pPr>
            <w:r>
              <w:t>≤0.05</w:t>
            </w:r>
          </w:p>
        </w:tc>
      </w:tr>
    </w:tbl>
    <w:p>
      <w:pPr>
        <w:pStyle w:val="7"/>
        <w:ind w:firstLine="482"/>
        <w:rPr>
          <w:b/>
          <w:bCs/>
        </w:rPr>
      </w:pPr>
    </w:p>
    <w:p>
      <w:pPr>
        <w:pStyle w:val="7"/>
        <w:ind w:firstLine="482"/>
        <w:rPr>
          <w:b/>
          <w:bCs/>
        </w:rPr>
      </w:pPr>
      <w:r>
        <w:rPr>
          <w:b/>
          <w:bCs/>
        </w:rPr>
        <w:t>3</w:t>
      </w:r>
      <w:r>
        <w:rPr>
          <w:rFonts w:hint="eastAsia"/>
          <w:b/>
          <w:bCs/>
        </w:rPr>
        <w:t>、</w:t>
      </w:r>
      <w:r>
        <w:rPr>
          <w:b/>
          <w:bCs/>
        </w:rPr>
        <w:t>地下水质量标准</w:t>
      </w:r>
    </w:p>
    <w:p>
      <w:pPr>
        <w:pStyle w:val="7"/>
        <w:ind w:firstLine="480"/>
      </w:pPr>
      <w:r>
        <w:t>区域地下水环境执行《地下水质量标准》（GB/T14848-2017）III类水质标准，标准值见表</w:t>
      </w:r>
      <w:r>
        <w:rPr>
          <w:rFonts w:hint="eastAsia"/>
        </w:rPr>
        <w:t>2.3-5</w:t>
      </w:r>
      <w:r>
        <w:t>。</w:t>
      </w:r>
    </w:p>
    <w:p>
      <w:pPr>
        <w:pStyle w:val="31"/>
      </w:pPr>
      <w:r>
        <w:t>表</w:t>
      </w:r>
      <w:r>
        <w:rPr>
          <w:rFonts w:hint="eastAsia"/>
        </w:rPr>
        <w:t>2.3-5</w:t>
      </w:r>
      <w:r>
        <w:t xml:space="preserve">  地下水质量标准    单位：mg/L，pH除外</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2350"/>
        <w:gridCol w:w="1610"/>
        <w:gridCol w:w="827"/>
        <w:gridCol w:w="1980"/>
        <w:gridCol w:w="1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序号</w:t>
            </w:r>
          </w:p>
        </w:tc>
        <w:tc>
          <w:tcPr>
            <w:tcW w:w="1378" w:type="pct"/>
            <w:vAlign w:val="center"/>
          </w:tcPr>
          <w:p>
            <w:pPr>
              <w:pStyle w:val="32"/>
            </w:pPr>
            <w:r>
              <w:t>项目</w:t>
            </w:r>
          </w:p>
        </w:tc>
        <w:tc>
          <w:tcPr>
            <w:tcW w:w="944" w:type="pct"/>
            <w:vAlign w:val="center"/>
          </w:tcPr>
          <w:p>
            <w:pPr>
              <w:pStyle w:val="32"/>
            </w:pPr>
            <w:r>
              <w:t>标准值</w:t>
            </w:r>
          </w:p>
        </w:tc>
        <w:tc>
          <w:tcPr>
            <w:tcW w:w="485" w:type="pct"/>
            <w:vAlign w:val="center"/>
          </w:tcPr>
          <w:p>
            <w:pPr>
              <w:pStyle w:val="32"/>
            </w:pPr>
            <w:r>
              <w:t>序号</w:t>
            </w:r>
          </w:p>
        </w:tc>
        <w:tc>
          <w:tcPr>
            <w:tcW w:w="1161" w:type="pct"/>
            <w:vAlign w:val="center"/>
          </w:tcPr>
          <w:p>
            <w:pPr>
              <w:pStyle w:val="32"/>
            </w:pPr>
            <w:r>
              <w:t>项目</w:t>
            </w:r>
          </w:p>
        </w:tc>
        <w:tc>
          <w:tcPr>
            <w:tcW w:w="638" w:type="pct"/>
            <w:vAlign w:val="center"/>
          </w:tcPr>
          <w:p>
            <w:pPr>
              <w:pStyle w:val="32"/>
            </w:pPr>
            <w: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1</w:t>
            </w:r>
          </w:p>
        </w:tc>
        <w:tc>
          <w:tcPr>
            <w:tcW w:w="1378" w:type="pct"/>
            <w:vAlign w:val="center"/>
          </w:tcPr>
          <w:p>
            <w:pPr>
              <w:pStyle w:val="32"/>
            </w:pPr>
            <w:r>
              <w:t>pH</w:t>
            </w:r>
          </w:p>
        </w:tc>
        <w:tc>
          <w:tcPr>
            <w:tcW w:w="944" w:type="pct"/>
            <w:vAlign w:val="center"/>
          </w:tcPr>
          <w:p>
            <w:pPr>
              <w:pStyle w:val="32"/>
            </w:pPr>
            <w:r>
              <w:t>6.5≤pH≤8.5</w:t>
            </w:r>
          </w:p>
        </w:tc>
        <w:tc>
          <w:tcPr>
            <w:tcW w:w="485" w:type="pct"/>
            <w:vAlign w:val="center"/>
          </w:tcPr>
          <w:p>
            <w:pPr>
              <w:pStyle w:val="32"/>
            </w:pPr>
            <w:r>
              <w:t>15</w:t>
            </w:r>
          </w:p>
        </w:tc>
        <w:tc>
          <w:tcPr>
            <w:tcW w:w="1161" w:type="pct"/>
            <w:vAlign w:val="center"/>
          </w:tcPr>
          <w:p>
            <w:pPr>
              <w:pStyle w:val="32"/>
            </w:pPr>
            <w:r>
              <w:t>挥发性酚类</w:t>
            </w:r>
          </w:p>
        </w:tc>
        <w:tc>
          <w:tcPr>
            <w:tcW w:w="638" w:type="pct"/>
            <w:vAlign w:val="center"/>
          </w:tcPr>
          <w:p>
            <w:pPr>
              <w:pStyle w:val="32"/>
            </w:pPr>
            <w: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2</w:t>
            </w:r>
          </w:p>
        </w:tc>
        <w:tc>
          <w:tcPr>
            <w:tcW w:w="1378" w:type="pct"/>
            <w:vAlign w:val="center"/>
          </w:tcPr>
          <w:p>
            <w:pPr>
              <w:pStyle w:val="32"/>
            </w:pPr>
            <w:r>
              <w:t>溶解性总固体</w:t>
            </w:r>
          </w:p>
        </w:tc>
        <w:tc>
          <w:tcPr>
            <w:tcW w:w="944" w:type="pct"/>
            <w:vAlign w:val="center"/>
          </w:tcPr>
          <w:p>
            <w:pPr>
              <w:pStyle w:val="32"/>
            </w:pPr>
            <w:r>
              <w:t>≤1000</w:t>
            </w:r>
          </w:p>
        </w:tc>
        <w:tc>
          <w:tcPr>
            <w:tcW w:w="485" w:type="pct"/>
            <w:vAlign w:val="center"/>
          </w:tcPr>
          <w:p>
            <w:pPr>
              <w:pStyle w:val="32"/>
            </w:pPr>
            <w:r>
              <w:t>16</w:t>
            </w:r>
          </w:p>
        </w:tc>
        <w:tc>
          <w:tcPr>
            <w:tcW w:w="1161" w:type="pct"/>
            <w:vAlign w:val="center"/>
          </w:tcPr>
          <w:p>
            <w:pPr>
              <w:pStyle w:val="32"/>
            </w:pPr>
            <w:r>
              <w:t>锰</w:t>
            </w:r>
          </w:p>
        </w:tc>
        <w:tc>
          <w:tcPr>
            <w:tcW w:w="638" w:type="pct"/>
            <w:vAlign w:val="center"/>
          </w:tcPr>
          <w:p>
            <w:pPr>
              <w:pStyle w:val="32"/>
            </w:pPr>
            <w: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3</w:t>
            </w:r>
          </w:p>
        </w:tc>
        <w:tc>
          <w:tcPr>
            <w:tcW w:w="1378" w:type="pct"/>
            <w:vAlign w:val="center"/>
          </w:tcPr>
          <w:p>
            <w:pPr>
              <w:pStyle w:val="32"/>
            </w:pPr>
            <w:r>
              <w:t>氟化物</w:t>
            </w:r>
          </w:p>
        </w:tc>
        <w:tc>
          <w:tcPr>
            <w:tcW w:w="944" w:type="pct"/>
            <w:vAlign w:val="center"/>
          </w:tcPr>
          <w:p>
            <w:pPr>
              <w:pStyle w:val="32"/>
            </w:pPr>
            <w:r>
              <w:t>≤1.0</w:t>
            </w:r>
          </w:p>
        </w:tc>
        <w:tc>
          <w:tcPr>
            <w:tcW w:w="485" w:type="pct"/>
            <w:vAlign w:val="center"/>
          </w:tcPr>
          <w:p>
            <w:pPr>
              <w:pStyle w:val="32"/>
            </w:pPr>
            <w:r>
              <w:t>17</w:t>
            </w:r>
          </w:p>
        </w:tc>
        <w:tc>
          <w:tcPr>
            <w:tcW w:w="1161" w:type="pct"/>
            <w:vAlign w:val="center"/>
          </w:tcPr>
          <w:p>
            <w:pPr>
              <w:pStyle w:val="32"/>
            </w:pPr>
            <w:r>
              <w:t>铁</w:t>
            </w:r>
          </w:p>
        </w:tc>
        <w:tc>
          <w:tcPr>
            <w:tcW w:w="638" w:type="pct"/>
            <w:vAlign w:val="center"/>
          </w:tcPr>
          <w:p>
            <w:pPr>
              <w:pStyle w:val="32"/>
            </w:pPr>
            <w: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4</w:t>
            </w:r>
          </w:p>
        </w:tc>
        <w:tc>
          <w:tcPr>
            <w:tcW w:w="1378" w:type="pct"/>
            <w:vAlign w:val="center"/>
          </w:tcPr>
          <w:p>
            <w:pPr>
              <w:pStyle w:val="32"/>
            </w:pPr>
            <w:r>
              <w:t>氨氮</w:t>
            </w:r>
          </w:p>
        </w:tc>
        <w:tc>
          <w:tcPr>
            <w:tcW w:w="944" w:type="pct"/>
            <w:vAlign w:val="center"/>
          </w:tcPr>
          <w:p>
            <w:pPr>
              <w:pStyle w:val="32"/>
            </w:pPr>
            <w:r>
              <w:t>≤0.5</w:t>
            </w:r>
          </w:p>
        </w:tc>
        <w:tc>
          <w:tcPr>
            <w:tcW w:w="485" w:type="pct"/>
            <w:vAlign w:val="center"/>
          </w:tcPr>
          <w:p>
            <w:pPr>
              <w:pStyle w:val="32"/>
            </w:pPr>
            <w:r>
              <w:t>18</w:t>
            </w:r>
          </w:p>
        </w:tc>
        <w:tc>
          <w:tcPr>
            <w:tcW w:w="1161" w:type="pct"/>
            <w:vAlign w:val="center"/>
          </w:tcPr>
          <w:p>
            <w:pPr>
              <w:pStyle w:val="32"/>
            </w:pPr>
            <w:r>
              <w:t>铅</w:t>
            </w:r>
          </w:p>
        </w:tc>
        <w:tc>
          <w:tcPr>
            <w:tcW w:w="638" w:type="pct"/>
            <w:vAlign w:val="center"/>
          </w:tcPr>
          <w:p>
            <w:pPr>
              <w:pStyle w:val="32"/>
            </w:pPr>
            <w: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5</w:t>
            </w:r>
          </w:p>
        </w:tc>
        <w:tc>
          <w:tcPr>
            <w:tcW w:w="1378" w:type="pct"/>
            <w:vAlign w:val="center"/>
          </w:tcPr>
          <w:p>
            <w:pPr>
              <w:pStyle w:val="32"/>
            </w:pPr>
            <w:r>
              <w:t>铬(六价)</w:t>
            </w:r>
          </w:p>
        </w:tc>
        <w:tc>
          <w:tcPr>
            <w:tcW w:w="944" w:type="pct"/>
            <w:vAlign w:val="center"/>
          </w:tcPr>
          <w:p>
            <w:pPr>
              <w:pStyle w:val="32"/>
            </w:pPr>
            <w:r>
              <w:t>≤0.05</w:t>
            </w:r>
          </w:p>
        </w:tc>
        <w:tc>
          <w:tcPr>
            <w:tcW w:w="485" w:type="pct"/>
            <w:vAlign w:val="center"/>
          </w:tcPr>
          <w:p>
            <w:pPr>
              <w:pStyle w:val="32"/>
            </w:pPr>
            <w:r>
              <w:t>19</w:t>
            </w:r>
          </w:p>
        </w:tc>
        <w:tc>
          <w:tcPr>
            <w:tcW w:w="1161" w:type="pct"/>
            <w:vAlign w:val="center"/>
          </w:tcPr>
          <w:p>
            <w:pPr>
              <w:pStyle w:val="32"/>
            </w:pPr>
            <w:r>
              <w:t>铜</w:t>
            </w:r>
          </w:p>
        </w:tc>
        <w:tc>
          <w:tcPr>
            <w:tcW w:w="638" w:type="pct"/>
            <w:vAlign w:val="center"/>
          </w:tcPr>
          <w:p>
            <w:pPr>
              <w:pStyle w:val="32"/>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6</w:t>
            </w:r>
          </w:p>
        </w:tc>
        <w:tc>
          <w:tcPr>
            <w:tcW w:w="1378" w:type="pct"/>
            <w:vAlign w:val="center"/>
          </w:tcPr>
          <w:p>
            <w:pPr>
              <w:pStyle w:val="32"/>
            </w:pPr>
            <w:r>
              <w:t>硝酸盐（以N计）</w:t>
            </w:r>
          </w:p>
        </w:tc>
        <w:tc>
          <w:tcPr>
            <w:tcW w:w="944" w:type="pct"/>
            <w:vAlign w:val="center"/>
          </w:tcPr>
          <w:p>
            <w:pPr>
              <w:pStyle w:val="32"/>
            </w:pPr>
            <w:r>
              <w:t>≤20</w:t>
            </w:r>
          </w:p>
        </w:tc>
        <w:tc>
          <w:tcPr>
            <w:tcW w:w="485" w:type="pct"/>
            <w:vAlign w:val="center"/>
          </w:tcPr>
          <w:p>
            <w:pPr>
              <w:pStyle w:val="32"/>
            </w:pPr>
            <w:r>
              <w:t>20</w:t>
            </w:r>
          </w:p>
        </w:tc>
        <w:tc>
          <w:tcPr>
            <w:tcW w:w="1161" w:type="pct"/>
            <w:vAlign w:val="center"/>
          </w:tcPr>
          <w:p>
            <w:pPr>
              <w:pStyle w:val="32"/>
            </w:pPr>
            <w:r>
              <w:t>锌</w:t>
            </w:r>
          </w:p>
        </w:tc>
        <w:tc>
          <w:tcPr>
            <w:tcW w:w="638" w:type="pct"/>
            <w:vAlign w:val="center"/>
          </w:tcPr>
          <w:p>
            <w:pPr>
              <w:pStyle w:val="32"/>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7</w:t>
            </w:r>
          </w:p>
        </w:tc>
        <w:tc>
          <w:tcPr>
            <w:tcW w:w="1378" w:type="pct"/>
            <w:vAlign w:val="center"/>
          </w:tcPr>
          <w:p>
            <w:pPr>
              <w:pStyle w:val="32"/>
            </w:pPr>
            <w:r>
              <w:t>亚硝酸盐（以N计）</w:t>
            </w:r>
          </w:p>
        </w:tc>
        <w:tc>
          <w:tcPr>
            <w:tcW w:w="944" w:type="pct"/>
            <w:vAlign w:val="center"/>
          </w:tcPr>
          <w:p>
            <w:pPr>
              <w:pStyle w:val="32"/>
            </w:pPr>
            <w:r>
              <w:t>≤1.0</w:t>
            </w:r>
          </w:p>
        </w:tc>
        <w:tc>
          <w:tcPr>
            <w:tcW w:w="485" w:type="pct"/>
            <w:vAlign w:val="center"/>
          </w:tcPr>
          <w:p>
            <w:pPr>
              <w:pStyle w:val="32"/>
            </w:pPr>
            <w:r>
              <w:t>21</w:t>
            </w:r>
          </w:p>
        </w:tc>
        <w:tc>
          <w:tcPr>
            <w:tcW w:w="1161" w:type="pct"/>
            <w:vAlign w:val="center"/>
          </w:tcPr>
          <w:p>
            <w:pPr>
              <w:pStyle w:val="32"/>
            </w:pPr>
            <w:r>
              <w:t>砷</w:t>
            </w:r>
          </w:p>
        </w:tc>
        <w:tc>
          <w:tcPr>
            <w:tcW w:w="638" w:type="pct"/>
            <w:vAlign w:val="center"/>
          </w:tcPr>
          <w:p>
            <w:pPr>
              <w:pStyle w:val="32"/>
            </w:pPr>
            <w: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8</w:t>
            </w:r>
          </w:p>
        </w:tc>
        <w:tc>
          <w:tcPr>
            <w:tcW w:w="1378" w:type="pct"/>
            <w:vAlign w:val="center"/>
          </w:tcPr>
          <w:p>
            <w:pPr>
              <w:pStyle w:val="32"/>
            </w:pPr>
            <w:r>
              <w:t>氯化物</w:t>
            </w:r>
          </w:p>
        </w:tc>
        <w:tc>
          <w:tcPr>
            <w:tcW w:w="944" w:type="pct"/>
            <w:vAlign w:val="center"/>
          </w:tcPr>
          <w:p>
            <w:pPr>
              <w:pStyle w:val="32"/>
            </w:pPr>
            <w:r>
              <w:t>≤250</w:t>
            </w:r>
          </w:p>
        </w:tc>
        <w:tc>
          <w:tcPr>
            <w:tcW w:w="485" w:type="pct"/>
            <w:vAlign w:val="center"/>
          </w:tcPr>
          <w:p>
            <w:pPr>
              <w:pStyle w:val="32"/>
            </w:pPr>
            <w:r>
              <w:t>22</w:t>
            </w:r>
          </w:p>
        </w:tc>
        <w:tc>
          <w:tcPr>
            <w:tcW w:w="1161" w:type="pct"/>
            <w:vAlign w:val="center"/>
          </w:tcPr>
          <w:p>
            <w:pPr>
              <w:pStyle w:val="32"/>
            </w:pPr>
            <w:r>
              <w:t>镉</w:t>
            </w:r>
          </w:p>
        </w:tc>
        <w:tc>
          <w:tcPr>
            <w:tcW w:w="638" w:type="pct"/>
            <w:vAlign w:val="center"/>
          </w:tcPr>
          <w:p>
            <w:pPr>
              <w:pStyle w:val="32"/>
            </w:pPr>
            <w: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9</w:t>
            </w:r>
          </w:p>
        </w:tc>
        <w:tc>
          <w:tcPr>
            <w:tcW w:w="1378" w:type="pct"/>
            <w:vAlign w:val="center"/>
          </w:tcPr>
          <w:p>
            <w:pPr>
              <w:pStyle w:val="32"/>
            </w:pPr>
            <w:r>
              <w:t>氰化物</w:t>
            </w:r>
          </w:p>
        </w:tc>
        <w:tc>
          <w:tcPr>
            <w:tcW w:w="944" w:type="pct"/>
            <w:vAlign w:val="center"/>
          </w:tcPr>
          <w:p>
            <w:pPr>
              <w:pStyle w:val="32"/>
            </w:pPr>
            <w:r>
              <w:t>≤0.05</w:t>
            </w:r>
          </w:p>
        </w:tc>
        <w:tc>
          <w:tcPr>
            <w:tcW w:w="485" w:type="pct"/>
            <w:vAlign w:val="center"/>
          </w:tcPr>
          <w:p>
            <w:pPr>
              <w:pStyle w:val="32"/>
            </w:pPr>
            <w:r>
              <w:t>23</w:t>
            </w:r>
          </w:p>
        </w:tc>
        <w:tc>
          <w:tcPr>
            <w:tcW w:w="1161" w:type="pct"/>
            <w:vAlign w:val="center"/>
          </w:tcPr>
          <w:p>
            <w:pPr>
              <w:pStyle w:val="32"/>
            </w:pPr>
            <w:r>
              <w:t>汞</w:t>
            </w:r>
          </w:p>
        </w:tc>
        <w:tc>
          <w:tcPr>
            <w:tcW w:w="638" w:type="pct"/>
            <w:vAlign w:val="center"/>
          </w:tcPr>
          <w:p>
            <w:pPr>
              <w:pStyle w:val="32"/>
            </w:pPr>
            <w: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10</w:t>
            </w:r>
          </w:p>
        </w:tc>
        <w:tc>
          <w:tcPr>
            <w:tcW w:w="1378" w:type="pct"/>
            <w:vAlign w:val="center"/>
          </w:tcPr>
          <w:p>
            <w:pPr>
              <w:pStyle w:val="32"/>
            </w:pPr>
            <w:r>
              <w:t>总硬度（以CaCO</w:t>
            </w:r>
            <w:r>
              <w:rPr>
                <w:vertAlign w:val="subscript"/>
              </w:rPr>
              <w:t>3</w:t>
            </w:r>
            <w:r>
              <w:t>计）</w:t>
            </w:r>
          </w:p>
        </w:tc>
        <w:tc>
          <w:tcPr>
            <w:tcW w:w="944" w:type="pct"/>
            <w:vAlign w:val="center"/>
          </w:tcPr>
          <w:p>
            <w:pPr>
              <w:pStyle w:val="32"/>
            </w:pPr>
            <w:r>
              <w:t>≤450</w:t>
            </w:r>
          </w:p>
        </w:tc>
        <w:tc>
          <w:tcPr>
            <w:tcW w:w="485" w:type="pct"/>
            <w:vAlign w:val="center"/>
          </w:tcPr>
          <w:p>
            <w:pPr>
              <w:pStyle w:val="32"/>
            </w:pPr>
            <w:r>
              <w:t>24</w:t>
            </w:r>
          </w:p>
        </w:tc>
        <w:tc>
          <w:tcPr>
            <w:tcW w:w="1161" w:type="pct"/>
            <w:vAlign w:val="center"/>
          </w:tcPr>
          <w:p>
            <w:pPr>
              <w:pStyle w:val="32"/>
            </w:pPr>
            <w:r>
              <w:t>总大肠菌群（个/L）</w:t>
            </w:r>
          </w:p>
        </w:tc>
        <w:tc>
          <w:tcPr>
            <w:tcW w:w="638" w:type="pct"/>
            <w:vAlign w:val="center"/>
          </w:tcPr>
          <w:p>
            <w:pPr>
              <w:pStyle w:val="32"/>
            </w:pPr>
            <w: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11</w:t>
            </w:r>
          </w:p>
        </w:tc>
        <w:tc>
          <w:tcPr>
            <w:tcW w:w="1378" w:type="pct"/>
            <w:vAlign w:val="center"/>
          </w:tcPr>
          <w:p>
            <w:pPr>
              <w:pStyle w:val="32"/>
            </w:pPr>
            <w:r>
              <w:t>硫酸盐</w:t>
            </w:r>
          </w:p>
        </w:tc>
        <w:tc>
          <w:tcPr>
            <w:tcW w:w="944" w:type="pct"/>
            <w:vAlign w:val="center"/>
          </w:tcPr>
          <w:p>
            <w:pPr>
              <w:pStyle w:val="32"/>
            </w:pPr>
            <w:r>
              <w:t>≤250</w:t>
            </w:r>
          </w:p>
        </w:tc>
        <w:tc>
          <w:tcPr>
            <w:tcW w:w="485" w:type="pct"/>
            <w:vAlign w:val="center"/>
          </w:tcPr>
          <w:p>
            <w:pPr>
              <w:pStyle w:val="32"/>
            </w:pPr>
            <w:r>
              <w:t>25</w:t>
            </w:r>
          </w:p>
        </w:tc>
        <w:tc>
          <w:tcPr>
            <w:tcW w:w="1161" w:type="pct"/>
            <w:vAlign w:val="center"/>
          </w:tcPr>
          <w:p>
            <w:pPr>
              <w:pStyle w:val="32"/>
            </w:pPr>
            <w:r>
              <w:t>细菌总数（个/mL）</w:t>
            </w:r>
          </w:p>
        </w:tc>
        <w:tc>
          <w:tcPr>
            <w:tcW w:w="638" w:type="pct"/>
            <w:vAlign w:val="center"/>
          </w:tcPr>
          <w:p>
            <w:pPr>
              <w:pStyle w:val="32"/>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12</w:t>
            </w:r>
          </w:p>
        </w:tc>
        <w:tc>
          <w:tcPr>
            <w:tcW w:w="1378" w:type="pct"/>
            <w:vAlign w:val="center"/>
          </w:tcPr>
          <w:p>
            <w:pPr>
              <w:pStyle w:val="32"/>
            </w:pPr>
            <w:r>
              <w:t>阴离子表面活性剂</w:t>
            </w:r>
          </w:p>
        </w:tc>
        <w:tc>
          <w:tcPr>
            <w:tcW w:w="944" w:type="pct"/>
          </w:tcPr>
          <w:p>
            <w:pPr>
              <w:pStyle w:val="32"/>
            </w:pPr>
            <w:r>
              <w:t>≤0.3</w:t>
            </w:r>
          </w:p>
        </w:tc>
        <w:tc>
          <w:tcPr>
            <w:tcW w:w="485" w:type="pct"/>
            <w:vAlign w:val="center"/>
          </w:tcPr>
          <w:p>
            <w:pPr>
              <w:pStyle w:val="32"/>
            </w:pPr>
            <w:r>
              <w:t>26</w:t>
            </w:r>
          </w:p>
        </w:tc>
        <w:tc>
          <w:tcPr>
            <w:tcW w:w="1161" w:type="pct"/>
            <w:vAlign w:val="center"/>
          </w:tcPr>
          <w:p>
            <w:pPr>
              <w:pStyle w:val="32"/>
            </w:pPr>
            <w:r>
              <w:t>铝</w:t>
            </w:r>
          </w:p>
        </w:tc>
        <w:tc>
          <w:tcPr>
            <w:tcW w:w="638" w:type="pct"/>
          </w:tcPr>
          <w:p>
            <w:pPr>
              <w:pStyle w:val="32"/>
            </w:pPr>
            <w: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13</w:t>
            </w:r>
          </w:p>
        </w:tc>
        <w:tc>
          <w:tcPr>
            <w:tcW w:w="1378" w:type="pct"/>
            <w:vAlign w:val="center"/>
          </w:tcPr>
          <w:p>
            <w:pPr>
              <w:pStyle w:val="32"/>
            </w:pPr>
            <w:r>
              <w:t>耗氧量</w:t>
            </w:r>
          </w:p>
        </w:tc>
        <w:tc>
          <w:tcPr>
            <w:tcW w:w="944" w:type="pct"/>
          </w:tcPr>
          <w:p>
            <w:pPr>
              <w:pStyle w:val="32"/>
            </w:pPr>
            <w:r>
              <w:t>≤3.0</w:t>
            </w:r>
          </w:p>
        </w:tc>
        <w:tc>
          <w:tcPr>
            <w:tcW w:w="485" w:type="pct"/>
            <w:vAlign w:val="center"/>
          </w:tcPr>
          <w:p>
            <w:pPr>
              <w:pStyle w:val="32"/>
            </w:pPr>
            <w:r>
              <w:t>27</w:t>
            </w:r>
          </w:p>
        </w:tc>
        <w:tc>
          <w:tcPr>
            <w:tcW w:w="1161" w:type="pct"/>
            <w:vAlign w:val="center"/>
          </w:tcPr>
          <w:p>
            <w:pPr>
              <w:pStyle w:val="32"/>
            </w:pPr>
            <w:r>
              <w:t>镍</w:t>
            </w:r>
          </w:p>
        </w:tc>
        <w:tc>
          <w:tcPr>
            <w:tcW w:w="638" w:type="pct"/>
          </w:tcPr>
          <w:p>
            <w:pPr>
              <w:pStyle w:val="32"/>
            </w:pPr>
            <w: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Align w:val="center"/>
          </w:tcPr>
          <w:p>
            <w:pPr>
              <w:pStyle w:val="32"/>
            </w:pPr>
            <w:r>
              <w:t>14</w:t>
            </w:r>
          </w:p>
        </w:tc>
        <w:tc>
          <w:tcPr>
            <w:tcW w:w="1378" w:type="pct"/>
            <w:vAlign w:val="center"/>
          </w:tcPr>
          <w:p>
            <w:pPr>
              <w:pStyle w:val="32"/>
            </w:pPr>
            <w:r>
              <w:t>硫化物</w:t>
            </w:r>
          </w:p>
        </w:tc>
        <w:tc>
          <w:tcPr>
            <w:tcW w:w="944" w:type="pct"/>
          </w:tcPr>
          <w:p>
            <w:pPr>
              <w:pStyle w:val="32"/>
            </w:pPr>
            <w:r>
              <w:t>≤0.02</w:t>
            </w:r>
          </w:p>
        </w:tc>
        <w:tc>
          <w:tcPr>
            <w:tcW w:w="485" w:type="pct"/>
            <w:vAlign w:val="center"/>
          </w:tcPr>
          <w:p>
            <w:pPr>
              <w:pStyle w:val="32"/>
            </w:pPr>
          </w:p>
        </w:tc>
        <w:tc>
          <w:tcPr>
            <w:tcW w:w="1161" w:type="pct"/>
            <w:vAlign w:val="center"/>
          </w:tcPr>
          <w:p>
            <w:pPr>
              <w:pStyle w:val="32"/>
            </w:pPr>
          </w:p>
        </w:tc>
        <w:tc>
          <w:tcPr>
            <w:tcW w:w="638" w:type="pct"/>
            <w:vAlign w:val="center"/>
          </w:tcPr>
          <w:p>
            <w:pPr>
              <w:pStyle w:val="32"/>
            </w:pPr>
          </w:p>
        </w:tc>
      </w:tr>
    </w:tbl>
    <w:p>
      <w:pPr>
        <w:pStyle w:val="7"/>
        <w:ind w:firstLine="482"/>
        <w:rPr>
          <w:rFonts w:hint="eastAsia"/>
          <w:b/>
          <w:bCs/>
        </w:rPr>
      </w:pPr>
    </w:p>
    <w:p>
      <w:pPr>
        <w:pStyle w:val="7"/>
        <w:ind w:firstLine="482"/>
        <w:rPr>
          <w:b/>
          <w:bCs/>
        </w:rPr>
      </w:pPr>
      <w:r>
        <w:rPr>
          <w:rFonts w:hint="eastAsia"/>
          <w:b/>
          <w:bCs/>
        </w:rPr>
        <w:t>4、声环境质量标准</w:t>
      </w:r>
    </w:p>
    <w:p>
      <w:pPr>
        <w:pStyle w:val="7"/>
        <w:ind w:firstLine="480"/>
      </w:pPr>
      <w:r>
        <w:rPr>
          <w:rFonts w:hint="eastAsia"/>
        </w:rPr>
        <w:t>项目所在地属工业园区声环境执行《声环境质量标准》（GB3096-2008）3类区标准，园区内居住区执行2类区标准。标准值见表2.3-6。</w:t>
      </w:r>
    </w:p>
    <w:p>
      <w:pPr>
        <w:pStyle w:val="31"/>
      </w:pPr>
      <w:r>
        <w:rPr>
          <w:rFonts w:hint="eastAsia"/>
        </w:rPr>
        <w:t>表2.3-6  声环境质量标准    单位：Leq[dB(A)]</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Align w:val="center"/>
          </w:tcPr>
          <w:p>
            <w:pPr>
              <w:pStyle w:val="32"/>
            </w:pPr>
            <w:r>
              <w:t>类别</w:t>
            </w:r>
          </w:p>
        </w:tc>
        <w:tc>
          <w:tcPr>
            <w:tcW w:w="1666" w:type="pct"/>
            <w:vAlign w:val="center"/>
          </w:tcPr>
          <w:p>
            <w:pPr>
              <w:pStyle w:val="32"/>
            </w:pPr>
            <w:r>
              <w:t>昼间</w:t>
            </w:r>
          </w:p>
        </w:tc>
        <w:tc>
          <w:tcPr>
            <w:tcW w:w="1666" w:type="pct"/>
            <w:vAlign w:val="center"/>
          </w:tcPr>
          <w:p>
            <w:pPr>
              <w:pStyle w:val="32"/>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Align w:val="center"/>
          </w:tcPr>
          <w:p>
            <w:pPr>
              <w:pStyle w:val="32"/>
            </w:pPr>
            <w:r>
              <w:t>2</w:t>
            </w:r>
          </w:p>
        </w:tc>
        <w:tc>
          <w:tcPr>
            <w:tcW w:w="1666" w:type="pct"/>
            <w:vAlign w:val="center"/>
          </w:tcPr>
          <w:p>
            <w:pPr>
              <w:pStyle w:val="32"/>
            </w:pPr>
            <w:r>
              <w:t>60</w:t>
            </w:r>
          </w:p>
        </w:tc>
        <w:tc>
          <w:tcPr>
            <w:tcW w:w="1666" w:type="pct"/>
            <w:vAlign w:val="center"/>
          </w:tcPr>
          <w:p>
            <w:pPr>
              <w:pStyle w:val="32"/>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Align w:val="center"/>
          </w:tcPr>
          <w:p>
            <w:pPr>
              <w:pStyle w:val="32"/>
            </w:pPr>
            <w:r>
              <w:t>3</w:t>
            </w:r>
          </w:p>
        </w:tc>
        <w:tc>
          <w:tcPr>
            <w:tcW w:w="1666" w:type="pct"/>
            <w:vAlign w:val="center"/>
          </w:tcPr>
          <w:p>
            <w:pPr>
              <w:pStyle w:val="32"/>
            </w:pPr>
            <w:r>
              <w:t>65</w:t>
            </w:r>
          </w:p>
        </w:tc>
        <w:tc>
          <w:tcPr>
            <w:tcW w:w="1666" w:type="pct"/>
            <w:vAlign w:val="center"/>
          </w:tcPr>
          <w:p>
            <w:pPr>
              <w:pStyle w:val="32"/>
            </w:pPr>
            <w:r>
              <w:t>55</w:t>
            </w:r>
          </w:p>
        </w:tc>
      </w:tr>
    </w:tbl>
    <w:p>
      <w:pPr>
        <w:pStyle w:val="7"/>
        <w:ind w:firstLine="482"/>
        <w:rPr>
          <w:b/>
          <w:bCs/>
        </w:rPr>
      </w:pPr>
      <w:r>
        <w:rPr>
          <w:rFonts w:hint="eastAsia"/>
          <w:b/>
          <w:bCs/>
        </w:rPr>
        <w:t>5、土壤环境质量标准</w:t>
      </w:r>
    </w:p>
    <w:p>
      <w:pPr>
        <w:pStyle w:val="7"/>
        <w:ind w:firstLine="480"/>
      </w:pPr>
      <w:r>
        <w:t>本项目所在区域周边农用地土壤执行《土壤环境质量 农用地土壤污染风险管控标准（试行）》（GB15618-2018）表1标准，标准值见表</w:t>
      </w:r>
      <w:r>
        <w:rPr>
          <w:rFonts w:hint="eastAsia"/>
        </w:rPr>
        <w:t>2.3</w:t>
      </w:r>
      <w:r>
        <w:t>-7。</w:t>
      </w:r>
    </w:p>
    <w:p>
      <w:pPr>
        <w:pStyle w:val="31"/>
      </w:pPr>
      <w:r>
        <w:t>表</w:t>
      </w:r>
      <w:r>
        <w:rPr>
          <w:rFonts w:hint="eastAsia"/>
        </w:rPr>
        <w:t>2.3</w:t>
      </w:r>
      <w:r>
        <w:t>-7  农用地土壤污染风险筛选值</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1" w:type="dxa"/>
          <w:bottom w:w="0" w:type="dxa"/>
          <w:right w:w="11" w:type="dxa"/>
        </w:tblCellMar>
      </w:tblPr>
      <w:tblGrid>
        <w:gridCol w:w="1432"/>
        <w:gridCol w:w="993"/>
        <w:gridCol w:w="1283"/>
        <w:gridCol w:w="1707"/>
        <w:gridCol w:w="1850"/>
        <w:gridCol w:w="1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trHeight w:val="90" w:hRule="atLeast"/>
          <w:tblHeader/>
          <w:jc w:val="center"/>
        </w:trPr>
        <w:tc>
          <w:tcPr>
            <w:tcW w:w="859" w:type="pct"/>
            <w:vAlign w:val="center"/>
          </w:tcPr>
          <w:p>
            <w:pPr>
              <w:pStyle w:val="32"/>
            </w:pPr>
            <w:r>
              <w:t>项目</w:t>
            </w:r>
          </w:p>
        </w:tc>
        <w:tc>
          <w:tcPr>
            <w:tcW w:w="596" w:type="pct"/>
            <w:vAlign w:val="center"/>
          </w:tcPr>
          <w:p>
            <w:pPr>
              <w:pStyle w:val="32"/>
            </w:pPr>
            <w:r>
              <w:t>单位</w:t>
            </w:r>
          </w:p>
        </w:tc>
        <w:tc>
          <w:tcPr>
            <w:tcW w:w="770" w:type="pct"/>
          </w:tcPr>
          <w:p>
            <w:pPr>
              <w:pStyle w:val="32"/>
            </w:pPr>
            <w:r>
              <w:t>pH≤5.5</w:t>
            </w:r>
          </w:p>
        </w:tc>
        <w:tc>
          <w:tcPr>
            <w:tcW w:w="1024" w:type="pct"/>
            <w:vAlign w:val="center"/>
          </w:tcPr>
          <w:p>
            <w:pPr>
              <w:pStyle w:val="32"/>
            </w:pPr>
            <w:r>
              <w:t>5.5＜pH≤6.5</w:t>
            </w:r>
          </w:p>
        </w:tc>
        <w:tc>
          <w:tcPr>
            <w:tcW w:w="1110" w:type="pct"/>
          </w:tcPr>
          <w:p>
            <w:pPr>
              <w:pStyle w:val="32"/>
            </w:pPr>
            <w:r>
              <w:t>6.5＜pH≤7.5</w:t>
            </w:r>
          </w:p>
        </w:tc>
        <w:tc>
          <w:tcPr>
            <w:tcW w:w="638" w:type="pct"/>
          </w:tcPr>
          <w:p>
            <w:pPr>
              <w:pStyle w:val="32"/>
            </w:pPr>
            <w:r>
              <w:t>pH&gt;7.5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Hg</w:t>
            </w:r>
            <w:r>
              <w:rPr>
                <w:rFonts w:hint="eastAsia"/>
                <w:lang w:eastAsia="zh-CN"/>
              </w:rPr>
              <w:t>（</w:t>
            </w:r>
            <w:r>
              <w:t>其他</w:t>
            </w:r>
            <w:r>
              <w:rPr>
                <w:rFonts w:hint="eastAsia"/>
                <w:lang w:eastAsia="zh-CN"/>
              </w:rPr>
              <w:t>）</w:t>
            </w:r>
          </w:p>
        </w:tc>
        <w:tc>
          <w:tcPr>
            <w:tcW w:w="596" w:type="pct"/>
            <w:vMerge w:val="restart"/>
            <w:vAlign w:val="center"/>
          </w:tcPr>
          <w:p>
            <w:pPr>
              <w:pStyle w:val="32"/>
            </w:pPr>
            <w:r>
              <w:t>mg/kg</w:t>
            </w:r>
          </w:p>
        </w:tc>
        <w:tc>
          <w:tcPr>
            <w:tcW w:w="770" w:type="pct"/>
          </w:tcPr>
          <w:p>
            <w:pPr>
              <w:pStyle w:val="32"/>
            </w:pPr>
            <w:r>
              <w:t>1.3</w:t>
            </w:r>
          </w:p>
        </w:tc>
        <w:tc>
          <w:tcPr>
            <w:tcW w:w="1024" w:type="pct"/>
            <w:vAlign w:val="center"/>
          </w:tcPr>
          <w:p>
            <w:pPr>
              <w:pStyle w:val="32"/>
            </w:pPr>
            <w:r>
              <w:t>1.8</w:t>
            </w:r>
          </w:p>
        </w:tc>
        <w:tc>
          <w:tcPr>
            <w:tcW w:w="1110" w:type="pct"/>
          </w:tcPr>
          <w:p>
            <w:pPr>
              <w:pStyle w:val="32"/>
            </w:pPr>
            <w:r>
              <w:t>2.4</w:t>
            </w:r>
          </w:p>
        </w:tc>
        <w:tc>
          <w:tcPr>
            <w:tcW w:w="638" w:type="pct"/>
          </w:tcPr>
          <w:p>
            <w:pPr>
              <w:pStyle w:val="32"/>
            </w:pPr>
            <w: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Cu</w:t>
            </w:r>
            <w:r>
              <w:rPr>
                <w:rFonts w:hint="eastAsia"/>
                <w:lang w:eastAsia="zh-CN"/>
              </w:rPr>
              <w:t>（</w:t>
            </w:r>
            <w:r>
              <w:t>其他</w:t>
            </w:r>
            <w:r>
              <w:rPr>
                <w:rFonts w:hint="eastAsia"/>
                <w:lang w:eastAsia="zh-CN"/>
              </w:rPr>
              <w:t>）</w:t>
            </w:r>
          </w:p>
        </w:tc>
        <w:tc>
          <w:tcPr>
            <w:tcW w:w="596" w:type="pct"/>
            <w:vMerge w:val="continue"/>
            <w:vAlign w:val="center"/>
          </w:tcPr>
          <w:p>
            <w:pPr>
              <w:pStyle w:val="32"/>
            </w:pPr>
          </w:p>
        </w:tc>
        <w:tc>
          <w:tcPr>
            <w:tcW w:w="770" w:type="pct"/>
          </w:tcPr>
          <w:p>
            <w:pPr>
              <w:pStyle w:val="32"/>
            </w:pPr>
            <w:r>
              <w:t>50</w:t>
            </w:r>
          </w:p>
        </w:tc>
        <w:tc>
          <w:tcPr>
            <w:tcW w:w="1024" w:type="pct"/>
            <w:vAlign w:val="center"/>
          </w:tcPr>
          <w:p>
            <w:pPr>
              <w:pStyle w:val="32"/>
            </w:pPr>
            <w:r>
              <w:t>50</w:t>
            </w:r>
          </w:p>
        </w:tc>
        <w:tc>
          <w:tcPr>
            <w:tcW w:w="1110" w:type="pct"/>
          </w:tcPr>
          <w:p>
            <w:pPr>
              <w:pStyle w:val="32"/>
            </w:pPr>
            <w:r>
              <w:t>100</w:t>
            </w:r>
          </w:p>
        </w:tc>
        <w:tc>
          <w:tcPr>
            <w:tcW w:w="638" w:type="pct"/>
          </w:tcPr>
          <w:p>
            <w:pPr>
              <w:pStyle w:val="32"/>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Pb</w:t>
            </w:r>
            <w:r>
              <w:rPr>
                <w:rFonts w:hint="eastAsia"/>
                <w:lang w:eastAsia="zh-CN"/>
              </w:rPr>
              <w:t>（</w:t>
            </w:r>
            <w:r>
              <w:t>其他</w:t>
            </w:r>
            <w:r>
              <w:rPr>
                <w:rFonts w:hint="eastAsia"/>
                <w:lang w:eastAsia="zh-CN"/>
              </w:rPr>
              <w:t>）</w:t>
            </w:r>
          </w:p>
        </w:tc>
        <w:tc>
          <w:tcPr>
            <w:tcW w:w="596" w:type="pct"/>
            <w:vMerge w:val="continue"/>
            <w:vAlign w:val="center"/>
          </w:tcPr>
          <w:p>
            <w:pPr>
              <w:pStyle w:val="32"/>
            </w:pPr>
          </w:p>
        </w:tc>
        <w:tc>
          <w:tcPr>
            <w:tcW w:w="770" w:type="pct"/>
          </w:tcPr>
          <w:p>
            <w:pPr>
              <w:pStyle w:val="32"/>
            </w:pPr>
            <w:r>
              <w:t>70</w:t>
            </w:r>
          </w:p>
        </w:tc>
        <w:tc>
          <w:tcPr>
            <w:tcW w:w="1024" w:type="pct"/>
            <w:vAlign w:val="center"/>
          </w:tcPr>
          <w:p>
            <w:pPr>
              <w:pStyle w:val="32"/>
            </w:pPr>
            <w:r>
              <w:t>90</w:t>
            </w:r>
          </w:p>
        </w:tc>
        <w:tc>
          <w:tcPr>
            <w:tcW w:w="1110" w:type="pct"/>
          </w:tcPr>
          <w:p>
            <w:pPr>
              <w:pStyle w:val="32"/>
            </w:pPr>
            <w:r>
              <w:t>120</w:t>
            </w:r>
          </w:p>
        </w:tc>
        <w:tc>
          <w:tcPr>
            <w:tcW w:w="638" w:type="pct"/>
          </w:tcPr>
          <w:p>
            <w:pPr>
              <w:pStyle w:val="32"/>
            </w:pPr>
            <w: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Zn</w:t>
            </w:r>
            <w:r>
              <w:rPr>
                <w:rFonts w:hint="eastAsia"/>
                <w:lang w:eastAsia="zh-CN"/>
              </w:rPr>
              <w:t>（</w:t>
            </w:r>
            <w:r>
              <w:t>其他</w:t>
            </w:r>
            <w:r>
              <w:rPr>
                <w:rFonts w:hint="eastAsia"/>
                <w:lang w:eastAsia="zh-CN"/>
              </w:rPr>
              <w:t>）</w:t>
            </w:r>
          </w:p>
        </w:tc>
        <w:tc>
          <w:tcPr>
            <w:tcW w:w="596" w:type="pct"/>
            <w:vMerge w:val="continue"/>
            <w:vAlign w:val="center"/>
          </w:tcPr>
          <w:p>
            <w:pPr>
              <w:pStyle w:val="32"/>
            </w:pPr>
          </w:p>
        </w:tc>
        <w:tc>
          <w:tcPr>
            <w:tcW w:w="770" w:type="pct"/>
          </w:tcPr>
          <w:p>
            <w:pPr>
              <w:pStyle w:val="32"/>
            </w:pPr>
            <w:r>
              <w:t>200</w:t>
            </w:r>
          </w:p>
        </w:tc>
        <w:tc>
          <w:tcPr>
            <w:tcW w:w="1024" w:type="pct"/>
            <w:vAlign w:val="center"/>
          </w:tcPr>
          <w:p>
            <w:pPr>
              <w:pStyle w:val="32"/>
            </w:pPr>
            <w:r>
              <w:t>200</w:t>
            </w:r>
          </w:p>
        </w:tc>
        <w:tc>
          <w:tcPr>
            <w:tcW w:w="1110" w:type="pct"/>
          </w:tcPr>
          <w:p>
            <w:pPr>
              <w:pStyle w:val="32"/>
            </w:pPr>
            <w:r>
              <w:t>250</w:t>
            </w:r>
          </w:p>
        </w:tc>
        <w:tc>
          <w:tcPr>
            <w:tcW w:w="638" w:type="pct"/>
          </w:tcPr>
          <w:p>
            <w:pPr>
              <w:pStyle w:val="32"/>
            </w:pPr>
            <w: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Cr</w:t>
            </w:r>
            <w:r>
              <w:rPr>
                <w:rFonts w:hint="eastAsia"/>
                <w:lang w:eastAsia="zh-CN"/>
              </w:rPr>
              <w:t>（</w:t>
            </w:r>
            <w:r>
              <w:t>其他</w:t>
            </w:r>
            <w:r>
              <w:rPr>
                <w:rFonts w:hint="eastAsia"/>
                <w:lang w:eastAsia="zh-CN"/>
              </w:rPr>
              <w:t>）</w:t>
            </w:r>
          </w:p>
        </w:tc>
        <w:tc>
          <w:tcPr>
            <w:tcW w:w="596" w:type="pct"/>
            <w:vMerge w:val="continue"/>
            <w:vAlign w:val="center"/>
          </w:tcPr>
          <w:p>
            <w:pPr>
              <w:pStyle w:val="32"/>
            </w:pPr>
          </w:p>
        </w:tc>
        <w:tc>
          <w:tcPr>
            <w:tcW w:w="770" w:type="pct"/>
          </w:tcPr>
          <w:p>
            <w:pPr>
              <w:pStyle w:val="32"/>
            </w:pPr>
            <w:r>
              <w:t>150</w:t>
            </w:r>
          </w:p>
        </w:tc>
        <w:tc>
          <w:tcPr>
            <w:tcW w:w="1024" w:type="pct"/>
            <w:vAlign w:val="center"/>
          </w:tcPr>
          <w:p>
            <w:pPr>
              <w:pStyle w:val="32"/>
            </w:pPr>
            <w:r>
              <w:t>150</w:t>
            </w:r>
          </w:p>
        </w:tc>
        <w:tc>
          <w:tcPr>
            <w:tcW w:w="1110" w:type="pct"/>
          </w:tcPr>
          <w:p>
            <w:pPr>
              <w:pStyle w:val="32"/>
            </w:pPr>
            <w:r>
              <w:t>200</w:t>
            </w:r>
          </w:p>
        </w:tc>
        <w:tc>
          <w:tcPr>
            <w:tcW w:w="638" w:type="pct"/>
          </w:tcPr>
          <w:p>
            <w:pPr>
              <w:pStyle w:val="32"/>
            </w:pPr>
            <w: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Ni</w:t>
            </w:r>
          </w:p>
        </w:tc>
        <w:tc>
          <w:tcPr>
            <w:tcW w:w="596" w:type="pct"/>
            <w:vMerge w:val="continue"/>
            <w:vAlign w:val="center"/>
          </w:tcPr>
          <w:p>
            <w:pPr>
              <w:pStyle w:val="32"/>
            </w:pPr>
          </w:p>
        </w:tc>
        <w:tc>
          <w:tcPr>
            <w:tcW w:w="770" w:type="pct"/>
          </w:tcPr>
          <w:p>
            <w:pPr>
              <w:pStyle w:val="32"/>
            </w:pPr>
            <w:r>
              <w:t>60</w:t>
            </w:r>
          </w:p>
        </w:tc>
        <w:tc>
          <w:tcPr>
            <w:tcW w:w="1024" w:type="pct"/>
            <w:vAlign w:val="center"/>
          </w:tcPr>
          <w:p>
            <w:pPr>
              <w:pStyle w:val="32"/>
            </w:pPr>
            <w:r>
              <w:t>70</w:t>
            </w:r>
          </w:p>
        </w:tc>
        <w:tc>
          <w:tcPr>
            <w:tcW w:w="1110" w:type="pct"/>
          </w:tcPr>
          <w:p>
            <w:pPr>
              <w:pStyle w:val="32"/>
            </w:pPr>
            <w:r>
              <w:t>100</w:t>
            </w:r>
          </w:p>
        </w:tc>
        <w:tc>
          <w:tcPr>
            <w:tcW w:w="638" w:type="pct"/>
          </w:tcPr>
          <w:p>
            <w:pPr>
              <w:pStyle w:val="32"/>
            </w:pPr>
            <w: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As</w:t>
            </w:r>
            <w:r>
              <w:rPr>
                <w:rFonts w:hint="eastAsia"/>
                <w:lang w:eastAsia="zh-CN"/>
              </w:rPr>
              <w:t>（</w:t>
            </w:r>
            <w:r>
              <w:t>其他</w:t>
            </w:r>
            <w:r>
              <w:rPr>
                <w:rFonts w:hint="eastAsia"/>
                <w:lang w:eastAsia="zh-CN"/>
              </w:rPr>
              <w:t>）</w:t>
            </w:r>
          </w:p>
        </w:tc>
        <w:tc>
          <w:tcPr>
            <w:tcW w:w="596" w:type="pct"/>
            <w:vMerge w:val="continue"/>
            <w:vAlign w:val="center"/>
          </w:tcPr>
          <w:p>
            <w:pPr>
              <w:pStyle w:val="32"/>
            </w:pPr>
          </w:p>
        </w:tc>
        <w:tc>
          <w:tcPr>
            <w:tcW w:w="770" w:type="pct"/>
          </w:tcPr>
          <w:p>
            <w:pPr>
              <w:pStyle w:val="32"/>
            </w:pPr>
            <w:r>
              <w:t>40</w:t>
            </w:r>
          </w:p>
        </w:tc>
        <w:tc>
          <w:tcPr>
            <w:tcW w:w="1024" w:type="pct"/>
            <w:vAlign w:val="center"/>
          </w:tcPr>
          <w:p>
            <w:pPr>
              <w:pStyle w:val="32"/>
            </w:pPr>
            <w:r>
              <w:t>40</w:t>
            </w:r>
          </w:p>
        </w:tc>
        <w:tc>
          <w:tcPr>
            <w:tcW w:w="1110" w:type="pct"/>
          </w:tcPr>
          <w:p>
            <w:pPr>
              <w:pStyle w:val="32"/>
            </w:pPr>
            <w:r>
              <w:t>30</w:t>
            </w:r>
          </w:p>
        </w:tc>
        <w:tc>
          <w:tcPr>
            <w:tcW w:w="638" w:type="pct"/>
          </w:tcPr>
          <w:p>
            <w:pPr>
              <w:pStyle w:val="32"/>
            </w:pPr>
            <w: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 w:type="dxa"/>
            <w:bottom w:w="0" w:type="dxa"/>
            <w:right w:w="11" w:type="dxa"/>
          </w:tblCellMar>
        </w:tblPrEx>
        <w:trPr>
          <w:cantSplit/>
          <w:jc w:val="center"/>
        </w:trPr>
        <w:tc>
          <w:tcPr>
            <w:tcW w:w="859" w:type="pct"/>
            <w:vAlign w:val="center"/>
          </w:tcPr>
          <w:p>
            <w:pPr>
              <w:pStyle w:val="32"/>
            </w:pPr>
            <w:r>
              <w:t>Cd</w:t>
            </w:r>
            <w:r>
              <w:rPr>
                <w:rFonts w:hint="eastAsia"/>
                <w:lang w:eastAsia="zh-CN"/>
              </w:rPr>
              <w:t>（</w:t>
            </w:r>
            <w:r>
              <w:t>其他</w:t>
            </w:r>
            <w:r>
              <w:rPr>
                <w:rFonts w:hint="eastAsia"/>
                <w:lang w:eastAsia="zh-CN"/>
              </w:rPr>
              <w:t>）</w:t>
            </w:r>
          </w:p>
        </w:tc>
        <w:tc>
          <w:tcPr>
            <w:tcW w:w="596" w:type="pct"/>
            <w:vMerge w:val="continue"/>
            <w:vAlign w:val="center"/>
          </w:tcPr>
          <w:p>
            <w:pPr>
              <w:pStyle w:val="32"/>
            </w:pPr>
          </w:p>
        </w:tc>
        <w:tc>
          <w:tcPr>
            <w:tcW w:w="770" w:type="pct"/>
          </w:tcPr>
          <w:p>
            <w:pPr>
              <w:pStyle w:val="32"/>
            </w:pPr>
            <w:r>
              <w:t>0.3</w:t>
            </w:r>
          </w:p>
        </w:tc>
        <w:tc>
          <w:tcPr>
            <w:tcW w:w="1024" w:type="pct"/>
            <w:vAlign w:val="center"/>
          </w:tcPr>
          <w:p>
            <w:pPr>
              <w:pStyle w:val="32"/>
            </w:pPr>
            <w:r>
              <w:t>0.3</w:t>
            </w:r>
          </w:p>
        </w:tc>
        <w:tc>
          <w:tcPr>
            <w:tcW w:w="1110" w:type="pct"/>
          </w:tcPr>
          <w:p>
            <w:pPr>
              <w:pStyle w:val="32"/>
            </w:pPr>
            <w:r>
              <w:t>0.3</w:t>
            </w:r>
          </w:p>
        </w:tc>
        <w:tc>
          <w:tcPr>
            <w:tcW w:w="638" w:type="pct"/>
          </w:tcPr>
          <w:p>
            <w:pPr>
              <w:pStyle w:val="32"/>
            </w:pPr>
            <w:r>
              <w:t>0.6</w:t>
            </w:r>
          </w:p>
        </w:tc>
      </w:tr>
    </w:tbl>
    <w:p>
      <w:pPr>
        <w:pStyle w:val="7"/>
        <w:ind w:firstLine="480"/>
      </w:pPr>
      <w:r>
        <w:t>项目区及周边建设用地土壤执行（GB 36600-2018）《土壤环境质量标准—建设用地土壤污染风险管控标准（试行）》表1标准，标准值见表</w:t>
      </w:r>
      <w:r>
        <w:rPr>
          <w:rFonts w:hint="eastAsia"/>
        </w:rPr>
        <w:t>2.3-8</w:t>
      </w:r>
      <w:r>
        <w:t>。</w:t>
      </w:r>
    </w:p>
    <w:p>
      <w:pPr>
        <w:pStyle w:val="31"/>
      </w:pPr>
      <w:r>
        <w:t>表</w:t>
      </w:r>
      <w:r>
        <w:rPr>
          <w:rFonts w:hint="eastAsia"/>
        </w:rPr>
        <w:t xml:space="preserve">2.3-8 </w:t>
      </w:r>
      <w:r>
        <w:t xml:space="preserve"> 建设用地地土壤污染风险筛选值</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2229"/>
        <w:gridCol w:w="1275"/>
        <w:gridCol w:w="1266"/>
        <w:gridCol w:w="1383"/>
        <w:gridCol w:w="14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Merge w:val="restart"/>
            <w:shd w:val="clear" w:color="auto" w:fill="auto"/>
            <w:vAlign w:val="center"/>
          </w:tcPr>
          <w:p>
            <w:pPr>
              <w:pStyle w:val="33"/>
            </w:pPr>
            <w:r>
              <w:t>序号</w:t>
            </w:r>
          </w:p>
        </w:tc>
        <w:tc>
          <w:tcPr>
            <w:tcW w:w="2229" w:type="dxa"/>
            <w:vMerge w:val="restart"/>
            <w:shd w:val="clear" w:color="auto" w:fill="auto"/>
            <w:vAlign w:val="center"/>
          </w:tcPr>
          <w:p>
            <w:pPr>
              <w:pStyle w:val="33"/>
            </w:pPr>
            <w:r>
              <w:t>污染物项目</w:t>
            </w:r>
          </w:p>
        </w:tc>
        <w:tc>
          <w:tcPr>
            <w:tcW w:w="2541" w:type="dxa"/>
            <w:gridSpan w:val="2"/>
            <w:shd w:val="clear" w:color="auto" w:fill="auto"/>
            <w:vAlign w:val="center"/>
          </w:tcPr>
          <w:p>
            <w:pPr>
              <w:pStyle w:val="33"/>
            </w:pPr>
            <w:r>
              <w:t>筛选值</w:t>
            </w:r>
          </w:p>
        </w:tc>
        <w:tc>
          <w:tcPr>
            <w:tcW w:w="2787" w:type="dxa"/>
            <w:gridSpan w:val="2"/>
            <w:shd w:val="clear" w:color="auto" w:fill="auto"/>
            <w:vAlign w:val="center"/>
          </w:tcPr>
          <w:p>
            <w:pPr>
              <w:pStyle w:val="33"/>
            </w:pPr>
            <w: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vMerge w:val="continue"/>
            <w:shd w:val="clear" w:color="auto" w:fill="auto"/>
            <w:vAlign w:val="center"/>
          </w:tcPr>
          <w:p>
            <w:pPr>
              <w:pStyle w:val="33"/>
            </w:pPr>
          </w:p>
        </w:tc>
        <w:tc>
          <w:tcPr>
            <w:tcW w:w="2229" w:type="dxa"/>
            <w:vMerge w:val="continue"/>
            <w:shd w:val="clear" w:color="auto" w:fill="auto"/>
            <w:vAlign w:val="center"/>
          </w:tcPr>
          <w:p>
            <w:pPr>
              <w:pStyle w:val="33"/>
            </w:pPr>
          </w:p>
        </w:tc>
        <w:tc>
          <w:tcPr>
            <w:tcW w:w="1275" w:type="dxa"/>
            <w:shd w:val="clear" w:color="auto" w:fill="auto"/>
            <w:vAlign w:val="center"/>
          </w:tcPr>
          <w:p>
            <w:pPr>
              <w:pStyle w:val="33"/>
            </w:pPr>
            <w:r>
              <w:t>第一类用地</w:t>
            </w:r>
          </w:p>
        </w:tc>
        <w:tc>
          <w:tcPr>
            <w:tcW w:w="1266" w:type="dxa"/>
            <w:shd w:val="clear" w:color="auto" w:fill="auto"/>
            <w:vAlign w:val="center"/>
          </w:tcPr>
          <w:p>
            <w:pPr>
              <w:pStyle w:val="33"/>
            </w:pPr>
            <w:r>
              <w:t>第二类用地</w:t>
            </w:r>
          </w:p>
        </w:tc>
        <w:tc>
          <w:tcPr>
            <w:tcW w:w="1383" w:type="dxa"/>
            <w:shd w:val="clear" w:color="auto" w:fill="auto"/>
            <w:vAlign w:val="center"/>
          </w:tcPr>
          <w:p>
            <w:pPr>
              <w:pStyle w:val="33"/>
            </w:pPr>
            <w:r>
              <w:t>第一类用地</w:t>
            </w:r>
          </w:p>
        </w:tc>
        <w:tc>
          <w:tcPr>
            <w:tcW w:w="1404" w:type="dxa"/>
            <w:shd w:val="clear" w:color="auto" w:fill="auto"/>
            <w:vAlign w:val="center"/>
          </w:tcPr>
          <w:p>
            <w:pPr>
              <w:pStyle w:val="33"/>
            </w:pPr>
            <w: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6"/>
            <w:shd w:val="clear" w:color="auto" w:fill="auto"/>
            <w:vAlign w:val="center"/>
          </w:tcPr>
          <w:p>
            <w:pPr>
              <w:pStyle w:val="33"/>
            </w:pPr>
            <w: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w:t>
            </w:r>
          </w:p>
        </w:tc>
        <w:tc>
          <w:tcPr>
            <w:tcW w:w="2229" w:type="dxa"/>
            <w:shd w:val="clear" w:color="auto" w:fill="auto"/>
            <w:vAlign w:val="center"/>
          </w:tcPr>
          <w:p>
            <w:pPr>
              <w:pStyle w:val="33"/>
            </w:pPr>
            <w:r>
              <w:t>砷</w:t>
            </w:r>
          </w:p>
        </w:tc>
        <w:tc>
          <w:tcPr>
            <w:tcW w:w="1275" w:type="dxa"/>
            <w:shd w:val="clear" w:color="auto" w:fill="auto"/>
            <w:vAlign w:val="center"/>
          </w:tcPr>
          <w:p>
            <w:pPr>
              <w:pStyle w:val="33"/>
            </w:pPr>
            <w:r>
              <w:t>20</w:t>
            </w:r>
          </w:p>
        </w:tc>
        <w:tc>
          <w:tcPr>
            <w:tcW w:w="1266" w:type="dxa"/>
            <w:shd w:val="clear" w:color="auto" w:fill="auto"/>
            <w:vAlign w:val="center"/>
          </w:tcPr>
          <w:p>
            <w:pPr>
              <w:pStyle w:val="33"/>
            </w:pPr>
            <w:r>
              <w:t>60</w:t>
            </w:r>
          </w:p>
        </w:tc>
        <w:tc>
          <w:tcPr>
            <w:tcW w:w="1383" w:type="dxa"/>
            <w:shd w:val="clear" w:color="auto" w:fill="auto"/>
            <w:vAlign w:val="center"/>
          </w:tcPr>
          <w:p>
            <w:pPr>
              <w:pStyle w:val="33"/>
            </w:pPr>
            <w:r>
              <w:t>120</w:t>
            </w:r>
          </w:p>
        </w:tc>
        <w:tc>
          <w:tcPr>
            <w:tcW w:w="1404" w:type="dxa"/>
            <w:shd w:val="clear" w:color="auto" w:fill="auto"/>
            <w:vAlign w:val="center"/>
          </w:tcPr>
          <w:p>
            <w:pPr>
              <w:pStyle w:val="33"/>
            </w:pPr>
            <w: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w:t>
            </w:r>
          </w:p>
        </w:tc>
        <w:tc>
          <w:tcPr>
            <w:tcW w:w="2229" w:type="dxa"/>
            <w:shd w:val="clear" w:color="auto" w:fill="auto"/>
            <w:vAlign w:val="center"/>
          </w:tcPr>
          <w:p>
            <w:pPr>
              <w:pStyle w:val="33"/>
            </w:pPr>
            <w:r>
              <w:t>镉</w:t>
            </w:r>
          </w:p>
        </w:tc>
        <w:tc>
          <w:tcPr>
            <w:tcW w:w="1275" w:type="dxa"/>
            <w:shd w:val="clear" w:color="auto" w:fill="auto"/>
            <w:vAlign w:val="center"/>
          </w:tcPr>
          <w:p>
            <w:pPr>
              <w:pStyle w:val="33"/>
            </w:pPr>
            <w:r>
              <w:t>20</w:t>
            </w:r>
          </w:p>
        </w:tc>
        <w:tc>
          <w:tcPr>
            <w:tcW w:w="1266" w:type="dxa"/>
            <w:shd w:val="clear" w:color="auto" w:fill="auto"/>
            <w:vAlign w:val="center"/>
          </w:tcPr>
          <w:p>
            <w:pPr>
              <w:pStyle w:val="33"/>
            </w:pPr>
            <w:r>
              <w:t>65</w:t>
            </w:r>
          </w:p>
        </w:tc>
        <w:tc>
          <w:tcPr>
            <w:tcW w:w="1383" w:type="dxa"/>
            <w:shd w:val="clear" w:color="auto" w:fill="auto"/>
            <w:vAlign w:val="center"/>
          </w:tcPr>
          <w:p>
            <w:pPr>
              <w:pStyle w:val="33"/>
            </w:pPr>
            <w:r>
              <w:t>47</w:t>
            </w:r>
          </w:p>
        </w:tc>
        <w:tc>
          <w:tcPr>
            <w:tcW w:w="1404" w:type="dxa"/>
            <w:shd w:val="clear" w:color="auto" w:fill="auto"/>
            <w:vAlign w:val="center"/>
          </w:tcPr>
          <w:p>
            <w:pPr>
              <w:pStyle w:val="33"/>
            </w:pPr>
            <w: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w:t>
            </w:r>
          </w:p>
        </w:tc>
        <w:tc>
          <w:tcPr>
            <w:tcW w:w="2229" w:type="dxa"/>
            <w:shd w:val="clear" w:color="auto" w:fill="auto"/>
            <w:vAlign w:val="center"/>
          </w:tcPr>
          <w:p>
            <w:pPr>
              <w:pStyle w:val="33"/>
            </w:pPr>
            <w:r>
              <w:t>铬（六价）</w:t>
            </w:r>
          </w:p>
        </w:tc>
        <w:tc>
          <w:tcPr>
            <w:tcW w:w="1275" w:type="dxa"/>
            <w:shd w:val="clear" w:color="auto" w:fill="auto"/>
            <w:vAlign w:val="center"/>
          </w:tcPr>
          <w:p>
            <w:pPr>
              <w:pStyle w:val="33"/>
            </w:pPr>
            <w:r>
              <w:t>3.0</w:t>
            </w:r>
          </w:p>
        </w:tc>
        <w:tc>
          <w:tcPr>
            <w:tcW w:w="1266" w:type="dxa"/>
            <w:shd w:val="clear" w:color="auto" w:fill="auto"/>
            <w:vAlign w:val="center"/>
          </w:tcPr>
          <w:p>
            <w:pPr>
              <w:pStyle w:val="33"/>
            </w:pPr>
            <w:r>
              <w:t>5.7</w:t>
            </w:r>
          </w:p>
        </w:tc>
        <w:tc>
          <w:tcPr>
            <w:tcW w:w="1383" w:type="dxa"/>
            <w:shd w:val="clear" w:color="auto" w:fill="auto"/>
            <w:vAlign w:val="center"/>
          </w:tcPr>
          <w:p>
            <w:pPr>
              <w:pStyle w:val="33"/>
            </w:pPr>
            <w:r>
              <w:t>30</w:t>
            </w:r>
          </w:p>
        </w:tc>
        <w:tc>
          <w:tcPr>
            <w:tcW w:w="1404" w:type="dxa"/>
            <w:shd w:val="clear" w:color="auto" w:fill="auto"/>
            <w:vAlign w:val="center"/>
          </w:tcPr>
          <w:p>
            <w:pPr>
              <w:pStyle w:val="33"/>
            </w:pPr>
            <w: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w:t>
            </w:r>
          </w:p>
        </w:tc>
        <w:tc>
          <w:tcPr>
            <w:tcW w:w="2229" w:type="dxa"/>
            <w:shd w:val="clear" w:color="auto" w:fill="auto"/>
            <w:vAlign w:val="center"/>
          </w:tcPr>
          <w:p>
            <w:pPr>
              <w:pStyle w:val="33"/>
            </w:pPr>
            <w:r>
              <w:t>铜</w:t>
            </w:r>
          </w:p>
        </w:tc>
        <w:tc>
          <w:tcPr>
            <w:tcW w:w="1275" w:type="dxa"/>
            <w:shd w:val="clear" w:color="auto" w:fill="auto"/>
            <w:vAlign w:val="center"/>
          </w:tcPr>
          <w:p>
            <w:pPr>
              <w:pStyle w:val="33"/>
            </w:pPr>
            <w:r>
              <w:t>2000</w:t>
            </w:r>
          </w:p>
        </w:tc>
        <w:tc>
          <w:tcPr>
            <w:tcW w:w="1266" w:type="dxa"/>
            <w:shd w:val="clear" w:color="auto" w:fill="auto"/>
            <w:vAlign w:val="center"/>
          </w:tcPr>
          <w:p>
            <w:pPr>
              <w:pStyle w:val="33"/>
            </w:pPr>
            <w:r>
              <w:t>18000</w:t>
            </w:r>
          </w:p>
        </w:tc>
        <w:tc>
          <w:tcPr>
            <w:tcW w:w="1383" w:type="dxa"/>
            <w:shd w:val="clear" w:color="auto" w:fill="auto"/>
            <w:vAlign w:val="center"/>
          </w:tcPr>
          <w:p>
            <w:pPr>
              <w:pStyle w:val="33"/>
            </w:pPr>
            <w:r>
              <w:t>8000</w:t>
            </w:r>
          </w:p>
        </w:tc>
        <w:tc>
          <w:tcPr>
            <w:tcW w:w="1404" w:type="dxa"/>
            <w:shd w:val="clear" w:color="auto" w:fill="auto"/>
            <w:vAlign w:val="center"/>
          </w:tcPr>
          <w:p>
            <w:pPr>
              <w:pStyle w:val="33"/>
            </w:pPr>
            <w: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5</w:t>
            </w:r>
          </w:p>
        </w:tc>
        <w:tc>
          <w:tcPr>
            <w:tcW w:w="2229" w:type="dxa"/>
            <w:shd w:val="clear" w:color="auto" w:fill="auto"/>
            <w:vAlign w:val="center"/>
          </w:tcPr>
          <w:p>
            <w:pPr>
              <w:pStyle w:val="33"/>
            </w:pPr>
            <w:r>
              <w:t>铅</w:t>
            </w:r>
          </w:p>
        </w:tc>
        <w:tc>
          <w:tcPr>
            <w:tcW w:w="1275" w:type="dxa"/>
            <w:shd w:val="clear" w:color="auto" w:fill="auto"/>
            <w:vAlign w:val="center"/>
          </w:tcPr>
          <w:p>
            <w:pPr>
              <w:pStyle w:val="33"/>
            </w:pPr>
            <w:r>
              <w:t>400</w:t>
            </w:r>
          </w:p>
        </w:tc>
        <w:tc>
          <w:tcPr>
            <w:tcW w:w="1266" w:type="dxa"/>
            <w:shd w:val="clear" w:color="auto" w:fill="auto"/>
            <w:vAlign w:val="center"/>
          </w:tcPr>
          <w:p>
            <w:pPr>
              <w:pStyle w:val="33"/>
            </w:pPr>
            <w:r>
              <w:t>800</w:t>
            </w:r>
          </w:p>
        </w:tc>
        <w:tc>
          <w:tcPr>
            <w:tcW w:w="1383" w:type="dxa"/>
            <w:shd w:val="clear" w:color="auto" w:fill="auto"/>
            <w:vAlign w:val="center"/>
          </w:tcPr>
          <w:p>
            <w:pPr>
              <w:pStyle w:val="33"/>
            </w:pPr>
            <w:r>
              <w:t>800</w:t>
            </w:r>
          </w:p>
        </w:tc>
        <w:tc>
          <w:tcPr>
            <w:tcW w:w="1404" w:type="dxa"/>
            <w:shd w:val="clear" w:color="auto" w:fill="auto"/>
            <w:vAlign w:val="center"/>
          </w:tcPr>
          <w:p>
            <w:pPr>
              <w:pStyle w:val="33"/>
            </w:pPr>
            <w: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6</w:t>
            </w:r>
          </w:p>
        </w:tc>
        <w:tc>
          <w:tcPr>
            <w:tcW w:w="2229" w:type="dxa"/>
            <w:shd w:val="clear" w:color="auto" w:fill="auto"/>
            <w:vAlign w:val="center"/>
          </w:tcPr>
          <w:p>
            <w:pPr>
              <w:pStyle w:val="33"/>
            </w:pPr>
            <w:r>
              <w:t>汞</w:t>
            </w:r>
          </w:p>
        </w:tc>
        <w:tc>
          <w:tcPr>
            <w:tcW w:w="1275" w:type="dxa"/>
            <w:shd w:val="clear" w:color="auto" w:fill="auto"/>
            <w:vAlign w:val="center"/>
          </w:tcPr>
          <w:p>
            <w:pPr>
              <w:pStyle w:val="33"/>
            </w:pPr>
            <w:r>
              <w:t>8</w:t>
            </w:r>
          </w:p>
        </w:tc>
        <w:tc>
          <w:tcPr>
            <w:tcW w:w="1266" w:type="dxa"/>
            <w:shd w:val="clear" w:color="auto" w:fill="auto"/>
            <w:vAlign w:val="center"/>
          </w:tcPr>
          <w:p>
            <w:pPr>
              <w:pStyle w:val="33"/>
            </w:pPr>
            <w:r>
              <w:t>38</w:t>
            </w:r>
          </w:p>
        </w:tc>
        <w:tc>
          <w:tcPr>
            <w:tcW w:w="1383" w:type="dxa"/>
            <w:shd w:val="clear" w:color="auto" w:fill="auto"/>
            <w:vAlign w:val="center"/>
          </w:tcPr>
          <w:p>
            <w:pPr>
              <w:pStyle w:val="33"/>
            </w:pPr>
            <w:r>
              <w:t>33</w:t>
            </w:r>
          </w:p>
        </w:tc>
        <w:tc>
          <w:tcPr>
            <w:tcW w:w="1404" w:type="dxa"/>
            <w:shd w:val="clear" w:color="auto" w:fill="auto"/>
            <w:vAlign w:val="center"/>
          </w:tcPr>
          <w:p>
            <w:pPr>
              <w:pStyle w:val="33"/>
            </w:pPr>
            <w: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7</w:t>
            </w:r>
          </w:p>
        </w:tc>
        <w:tc>
          <w:tcPr>
            <w:tcW w:w="2229" w:type="dxa"/>
            <w:shd w:val="clear" w:color="auto" w:fill="auto"/>
            <w:vAlign w:val="center"/>
          </w:tcPr>
          <w:p>
            <w:pPr>
              <w:pStyle w:val="33"/>
            </w:pPr>
            <w:r>
              <w:t>镍</w:t>
            </w:r>
          </w:p>
        </w:tc>
        <w:tc>
          <w:tcPr>
            <w:tcW w:w="1275" w:type="dxa"/>
            <w:shd w:val="clear" w:color="auto" w:fill="auto"/>
            <w:vAlign w:val="center"/>
          </w:tcPr>
          <w:p>
            <w:pPr>
              <w:pStyle w:val="33"/>
            </w:pPr>
            <w:r>
              <w:t>150</w:t>
            </w:r>
          </w:p>
        </w:tc>
        <w:tc>
          <w:tcPr>
            <w:tcW w:w="1266" w:type="dxa"/>
            <w:shd w:val="clear" w:color="auto" w:fill="auto"/>
            <w:vAlign w:val="center"/>
          </w:tcPr>
          <w:p>
            <w:pPr>
              <w:pStyle w:val="33"/>
            </w:pPr>
            <w:r>
              <w:t>900</w:t>
            </w:r>
          </w:p>
        </w:tc>
        <w:tc>
          <w:tcPr>
            <w:tcW w:w="1383" w:type="dxa"/>
            <w:shd w:val="clear" w:color="auto" w:fill="auto"/>
            <w:vAlign w:val="center"/>
          </w:tcPr>
          <w:p>
            <w:pPr>
              <w:pStyle w:val="33"/>
            </w:pPr>
            <w:r>
              <w:t>600</w:t>
            </w:r>
          </w:p>
        </w:tc>
        <w:tc>
          <w:tcPr>
            <w:tcW w:w="1404" w:type="dxa"/>
            <w:shd w:val="clear" w:color="auto" w:fill="auto"/>
            <w:vAlign w:val="center"/>
          </w:tcPr>
          <w:p>
            <w:pPr>
              <w:pStyle w:val="33"/>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6"/>
            <w:shd w:val="clear" w:color="auto" w:fill="auto"/>
            <w:vAlign w:val="center"/>
          </w:tcPr>
          <w:p>
            <w:pPr>
              <w:pStyle w:val="33"/>
            </w:pPr>
            <w:r>
              <w:t>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8</w:t>
            </w:r>
          </w:p>
        </w:tc>
        <w:tc>
          <w:tcPr>
            <w:tcW w:w="2229" w:type="dxa"/>
            <w:shd w:val="clear" w:color="auto" w:fill="auto"/>
            <w:vAlign w:val="center"/>
          </w:tcPr>
          <w:p>
            <w:pPr>
              <w:pStyle w:val="33"/>
            </w:pPr>
            <w:r>
              <w:t>四氯化碳</w:t>
            </w:r>
          </w:p>
        </w:tc>
        <w:tc>
          <w:tcPr>
            <w:tcW w:w="1275" w:type="dxa"/>
            <w:shd w:val="clear" w:color="auto" w:fill="auto"/>
            <w:vAlign w:val="center"/>
          </w:tcPr>
          <w:p>
            <w:pPr>
              <w:pStyle w:val="33"/>
            </w:pPr>
            <w:r>
              <w:t>0.9</w:t>
            </w:r>
          </w:p>
        </w:tc>
        <w:tc>
          <w:tcPr>
            <w:tcW w:w="1266" w:type="dxa"/>
            <w:shd w:val="clear" w:color="auto" w:fill="auto"/>
            <w:vAlign w:val="center"/>
          </w:tcPr>
          <w:p>
            <w:pPr>
              <w:pStyle w:val="33"/>
            </w:pPr>
            <w:r>
              <w:t>2.8</w:t>
            </w:r>
          </w:p>
        </w:tc>
        <w:tc>
          <w:tcPr>
            <w:tcW w:w="1383" w:type="dxa"/>
            <w:shd w:val="clear" w:color="auto" w:fill="auto"/>
            <w:vAlign w:val="center"/>
          </w:tcPr>
          <w:p>
            <w:pPr>
              <w:pStyle w:val="33"/>
            </w:pPr>
            <w:r>
              <w:t>9</w:t>
            </w:r>
          </w:p>
        </w:tc>
        <w:tc>
          <w:tcPr>
            <w:tcW w:w="1404" w:type="dxa"/>
            <w:shd w:val="clear" w:color="auto" w:fill="auto"/>
            <w:vAlign w:val="center"/>
          </w:tcPr>
          <w:p>
            <w:pPr>
              <w:pStyle w:val="33"/>
            </w:pPr>
            <w: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9</w:t>
            </w:r>
          </w:p>
        </w:tc>
        <w:tc>
          <w:tcPr>
            <w:tcW w:w="2229" w:type="dxa"/>
            <w:shd w:val="clear" w:color="auto" w:fill="auto"/>
            <w:vAlign w:val="center"/>
          </w:tcPr>
          <w:p>
            <w:pPr>
              <w:pStyle w:val="33"/>
            </w:pPr>
            <w:r>
              <w:t>氯仿</w:t>
            </w:r>
          </w:p>
        </w:tc>
        <w:tc>
          <w:tcPr>
            <w:tcW w:w="1275" w:type="dxa"/>
            <w:shd w:val="clear" w:color="auto" w:fill="auto"/>
            <w:vAlign w:val="center"/>
          </w:tcPr>
          <w:p>
            <w:pPr>
              <w:pStyle w:val="33"/>
            </w:pPr>
            <w:r>
              <w:t>0.3</w:t>
            </w:r>
          </w:p>
        </w:tc>
        <w:tc>
          <w:tcPr>
            <w:tcW w:w="1266" w:type="dxa"/>
            <w:shd w:val="clear" w:color="auto" w:fill="auto"/>
            <w:vAlign w:val="center"/>
          </w:tcPr>
          <w:p>
            <w:pPr>
              <w:pStyle w:val="33"/>
            </w:pPr>
            <w:r>
              <w:t>0.9</w:t>
            </w:r>
          </w:p>
        </w:tc>
        <w:tc>
          <w:tcPr>
            <w:tcW w:w="1383" w:type="dxa"/>
            <w:shd w:val="clear" w:color="auto" w:fill="auto"/>
            <w:vAlign w:val="center"/>
          </w:tcPr>
          <w:p>
            <w:pPr>
              <w:pStyle w:val="33"/>
            </w:pPr>
            <w:r>
              <w:t>5</w:t>
            </w:r>
          </w:p>
        </w:tc>
        <w:tc>
          <w:tcPr>
            <w:tcW w:w="1404" w:type="dxa"/>
            <w:shd w:val="clear" w:color="auto" w:fill="auto"/>
            <w:vAlign w:val="center"/>
          </w:tcPr>
          <w:p>
            <w:pPr>
              <w:pStyle w:val="33"/>
            </w:pPr>
            <w: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10</w:t>
            </w:r>
          </w:p>
        </w:tc>
        <w:tc>
          <w:tcPr>
            <w:tcW w:w="2229" w:type="dxa"/>
            <w:shd w:val="clear" w:color="auto" w:fill="auto"/>
            <w:vAlign w:val="center"/>
          </w:tcPr>
          <w:p>
            <w:pPr>
              <w:pStyle w:val="33"/>
            </w:pPr>
            <w:r>
              <w:t>氯甲烷</w:t>
            </w:r>
          </w:p>
        </w:tc>
        <w:tc>
          <w:tcPr>
            <w:tcW w:w="1275" w:type="dxa"/>
            <w:shd w:val="clear" w:color="auto" w:fill="auto"/>
            <w:vAlign w:val="center"/>
          </w:tcPr>
          <w:p>
            <w:pPr>
              <w:pStyle w:val="33"/>
            </w:pPr>
            <w:r>
              <w:t>12</w:t>
            </w:r>
          </w:p>
        </w:tc>
        <w:tc>
          <w:tcPr>
            <w:tcW w:w="1266" w:type="dxa"/>
            <w:shd w:val="clear" w:color="auto" w:fill="auto"/>
            <w:vAlign w:val="center"/>
          </w:tcPr>
          <w:p>
            <w:pPr>
              <w:pStyle w:val="33"/>
            </w:pPr>
            <w:r>
              <w:t>37</w:t>
            </w:r>
          </w:p>
        </w:tc>
        <w:tc>
          <w:tcPr>
            <w:tcW w:w="1383" w:type="dxa"/>
            <w:shd w:val="clear" w:color="auto" w:fill="auto"/>
            <w:vAlign w:val="center"/>
          </w:tcPr>
          <w:p>
            <w:pPr>
              <w:pStyle w:val="33"/>
            </w:pPr>
            <w:r>
              <w:t>21</w:t>
            </w:r>
          </w:p>
        </w:tc>
        <w:tc>
          <w:tcPr>
            <w:tcW w:w="1404" w:type="dxa"/>
            <w:shd w:val="clear" w:color="auto" w:fill="auto"/>
            <w:vAlign w:val="center"/>
          </w:tcPr>
          <w:p>
            <w:pPr>
              <w:pStyle w:val="33"/>
            </w:pPr>
            <w: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11</w:t>
            </w:r>
          </w:p>
        </w:tc>
        <w:tc>
          <w:tcPr>
            <w:tcW w:w="2229" w:type="dxa"/>
            <w:shd w:val="clear" w:color="auto" w:fill="auto"/>
            <w:vAlign w:val="center"/>
          </w:tcPr>
          <w:p>
            <w:pPr>
              <w:pStyle w:val="33"/>
            </w:pPr>
            <w:r>
              <w:t>1，1-二氯甲烷</w:t>
            </w:r>
          </w:p>
        </w:tc>
        <w:tc>
          <w:tcPr>
            <w:tcW w:w="1275" w:type="dxa"/>
            <w:shd w:val="clear" w:color="auto" w:fill="auto"/>
            <w:vAlign w:val="center"/>
          </w:tcPr>
          <w:p>
            <w:pPr>
              <w:pStyle w:val="33"/>
            </w:pPr>
            <w:r>
              <w:t>3</w:t>
            </w:r>
          </w:p>
        </w:tc>
        <w:tc>
          <w:tcPr>
            <w:tcW w:w="1266" w:type="dxa"/>
            <w:shd w:val="clear" w:color="auto" w:fill="auto"/>
            <w:vAlign w:val="center"/>
          </w:tcPr>
          <w:p>
            <w:pPr>
              <w:pStyle w:val="33"/>
            </w:pPr>
            <w:r>
              <w:t>9</w:t>
            </w:r>
          </w:p>
        </w:tc>
        <w:tc>
          <w:tcPr>
            <w:tcW w:w="1383" w:type="dxa"/>
            <w:shd w:val="clear" w:color="auto" w:fill="auto"/>
            <w:vAlign w:val="center"/>
          </w:tcPr>
          <w:p>
            <w:pPr>
              <w:pStyle w:val="33"/>
            </w:pPr>
            <w:r>
              <w:t>20</w:t>
            </w:r>
          </w:p>
        </w:tc>
        <w:tc>
          <w:tcPr>
            <w:tcW w:w="1404" w:type="dxa"/>
            <w:shd w:val="clear" w:color="auto" w:fill="auto"/>
            <w:vAlign w:val="center"/>
          </w:tcPr>
          <w:p>
            <w:pPr>
              <w:pStyle w:val="33"/>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12</w:t>
            </w:r>
          </w:p>
        </w:tc>
        <w:tc>
          <w:tcPr>
            <w:tcW w:w="2229" w:type="dxa"/>
            <w:shd w:val="clear" w:color="auto" w:fill="auto"/>
            <w:vAlign w:val="center"/>
          </w:tcPr>
          <w:p>
            <w:pPr>
              <w:pStyle w:val="33"/>
            </w:pPr>
            <w:r>
              <w:t>1，2-二氯乙烷</w:t>
            </w:r>
          </w:p>
        </w:tc>
        <w:tc>
          <w:tcPr>
            <w:tcW w:w="1275" w:type="dxa"/>
            <w:shd w:val="clear" w:color="auto" w:fill="auto"/>
            <w:vAlign w:val="center"/>
          </w:tcPr>
          <w:p>
            <w:pPr>
              <w:pStyle w:val="33"/>
            </w:pPr>
            <w:r>
              <w:t>0.52</w:t>
            </w:r>
          </w:p>
        </w:tc>
        <w:tc>
          <w:tcPr>
            <w:tcW w:w="1266" w:type="dxa"/>
            <w:shd w:val="clear" w:color="auto" w:fill="auto"/>
            <w:vAlign w:val="center"/>
          </w:tcPr>
          <w:p>
            <w:pPr>
              <w:pStyle w:val="33"/>
            </w:pPr>
            <w:r>
              <w:t>5</w:t>
            </w:r>
          </w:p>
        </w:tc>
        <w:tc>
          <w:tcPr>
            <w:tcW w:w="1383" w:type="dxa"/>
            <w:shd w:val="clear" w:color="auto" w:fill="auto"/>
            <w:vAlign w:val="center"/>
          </w:tcPr>
          <w:p>
            <w:pPr>
              <w:pStyle w:val="33"/>
            </w:pPr>
            <w:r>
              <w:t>6</w:t>
            </w:r>
          </w:p>
        </w:tc>
        <w:tc>
          <w:tcPr>
            <w:tcW w:w="1404" w:type="dxa"/>
            <w:shd w:val="clear" w:color="auto" w:fill="auto"/>
            <w:vAlign w:val="center"/>
          </w:tcPr>
          <w:p>
            <w:pPr>
              <w:pStyle w:val="33"/>
            </w:pPr>
            <w: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13</w:t>
            </w:r>
          </w:p>
        </w:tc>
        <w:tc>
          <w:tcPr>
            <w:tcW w:w="2229" w:type="dxa"/>
            <w:shd w:val="clear" w:color="auto" w:fill="auto"/>
            <w:vAlign w:val="center"/>
          </w:tcPr>
          <w:p>
            <w:pPr>
              <w:pStyle w:val="33"/>
            </w:pPr>
            <w:r>
              <w:t>1，1-二氯乙烯</w:t>
            </w:r>
          </w:p>
        </w:tc>
        <w:tc>
          <w:tcPr>
            <w:tcW w:w="1275" w:type="dxa"/>
            <w:shd w:val="clear" w:color="auto" w:fill="auto"/>
            <w:vAlign w:val="center"/>
          </w:tcPr>
          <w:p>
            <w:pPr>
              <w:pStyle w:val="33"/>
            </w:pPr>
            <w:r>
              <w:t>12</w:t>
            </w:r>
          </w:p>
        </w:tc>
        <w:tc>
          <w:tcPr>
            <w:tcW w:w="1266" w:type="dxa"/>
            <w:shd w:val="clear" w:color="auto" w:fill="auto"/>
            <w:vAlign w:val="center"/>
          </w:tcPr>
          <w:p>
            <w:pPr>
              <w:pStyle w:val="33"/>
            </w:pPr>
            <w:r>
              <w:t>66</w:t>
            </w:r>
          </w:p>
        </w:tc>
        <w:tc>
          <w:tcPr>
            <w:tcW w:w="1383" w:type="dxa"/>
            <w:shd w:val="clear" w:color="auto" w:fill="auto"/>
            <w:vAlign w:val="center"/>
          </w:tcPr>
          <w:p>
            <w:pPr>
              <w:pStyle w:val="33"/>
            </w:pPr>
            <w:r>
              <w:t>40</w:t>
            </w:r>
          </w:p>
        </w:tc>
        <w:tc>
          <w:tcPr>
            <w:tcW w:w="1404" w:type="dxa"/>
            <w:shd w:val="clear" w:color="auto" w:fill="auto"/>
            <w:vAlign w:val="center"/>
          </w:tcPr>
          <w:p>
            <w:pPr>
              <w:pStyle w:val="33"/>
            </w:pPr>
            <w: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14</w:t>
            </w:r>
          </w:p>
        </w:tc>
        <w:tc>
          <w:tcPr>
            <w:tcW w:w="2229" w:type="dxa"/>
            <w:shd w:val="clear" w:color="auto" w:fill="auto"/>
            <w:vAlign w:val="center"/>
          </w:tcPr>
          <w:p>
            <w:pPr>
              <w:pStyle w:val="33"/>
            </w:pPr>
            <w:r>
              <w:t>顺式-1，2-二氯乙烯</w:t>
            </w:r>
          </w:p>
        </w:tc>
        <w:tc>
          <w:tcPr>
            <w:tcW w:w="1275" w:type="dxa"/>
            <w:shd w:val="clear" w:color="auto" w:fill="auto"/>
            <w:vAlign w:val="center"/>
          </w:tcPr>
          <w:p>
            <w:pPr>
              <w:pStyle w:val="33"/>
            </w:pPr>
            <w:r>
              <w:t>66</w:t>
            </w:r>
          </w:p>
        </w:tc>
        <w:tc>
          <w:tcPr>
            <w:tcW w:w="1266" w:type="dxa"/>
            <w:shd w:val="clear" w:color="auto" w:fill="auto"/>
            <w:vAlign w:val="center"/>
          </w:tcPr>
          <w:p>
            <w:pPr>
              <w:pStyle w:val="33"/>
            </w:pPr>
            <w:r>
              <w:t>596</w:t>
            </w:r>
          </w:p>
        </w:tc>
        <w:tc>
          <w:tcPr>
            <w:tcW w:w="1383" w:type="dxa"/>
            <w:shd w:val="clear" w:color="auto" w:fill="auto"/>
            <w:vAlign w:val="center"/>
          </w:tcPr>
          <w:p>
            <w:pPr>
              <w:pStyle w:val="33"/>
            </w:pPr>
            <w:r>
              <w:t>200</w:t>
            </w:r>
          </w:p>
        </w:tc>
        <w:tc>
          <w:tcPr>
            <w:tcW w:w="1404" w:type="dxa"/>
            <w:shd w:val="clear" w:color="auto" w:fill="auto"/>
            <w:vAlign w:val="center"/>
          </w:tcPr>
          <w:p>
            <w:pPr>
              <w:pStyle w:val="33"/>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15</w:t>
            </w:r>
          </w:p>
        </w:tc>
        <w:tc>
          <w:tcPr>
            <w:tcW w:w="2229" w:type="dxa"/>
            <w:shd w:val="clear" w:color="auto" w:fill="auto"/>
            <w:vAlign w:val="center"/>
          </w:tcPr>
          <w:p>
            <w:pPr>
              <w:pStyle w:val="33"/>
            </w:pPr>
            <w:r>
              <w:t>反式-1，2-二氯乙烯</w:t>
            </w:r>
          </w:p>
        </w:tc>
        <w:tc>
          <w:tcPr>
            <w:tcW w:w="1275" w:type="dxa"/>
            <w:shd w:val="clear" w:color="auto" w:fill="auto"/>
            <w:vAlign w:val="center"/>
          </w:tcPr>
          <w:p>
            <w:pPr>
              <w:pStyle w:val="33"/>
            </w:pPr>
            <w:r>
              <w:t>10</w:t>
            </w:r>
          </w:p>
        </w:tc>
        <w:tc>
          <w:tcPr>
            <w:tcW w:w="1266" w:type="dxa"/>
            <w:shd w:val="clear" w:color="auto" w:fill="auto"/>
            <w:vAlign w:val="center"/>
          </w:tcPr>
          <w:p>
            <w:pPr>
              <w:pStyle w:val="33"/>
            </w:pPr>
            <w:r>
              <w:t>54</w:t>
            </w:r>
          </w:p>
        </w:tc>
        <w:tc>
          <w:tcPr>
            <w:tcW w:w="1383" w:type="dxa"/>
            <w:shd w:val="clear" w:color="auto" w:fill="auto"/>
            <w:vAlign w:val="center"/>
          </w:tcPr>
          <w:p>
            <w:pPr>
              <w:pStyle w:val="33"/>
            </w:pPr>
            <w:r>
              <w:t>31</w:t>
            </w:r>
          </w:p>
        </w:tc>
        <w:tc>
          <w:tcPr>
            <w:tcW w:w="1404" w:type="dxa"/>
            <w:shd w:val="clear" w:color="auto" w:fill="auto"/>
            <w:vAlign w:val="center"/>
          </w:tcPr>
          <w:p>
            <w:pPr>
              <w:pStyle w:val="33"/>
            </w:pPr>
            <w: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16</w:t>
            </w:r>
          </w:p>
        </w:tc>
        <w:tc>
          <w:tcPr>
            <w:tcW w:w="2229" w:type="dxa"/>
            <w:shd w:val="clear" w:color="auto" w:fill="auto"/>
            <w:vAlign w:val="center"/>
          </w:tcPr>
          <w:p>
            <w:pPr>
              <w:pStyle w:val="33"/>
            </w:pPr>
            <w:r>
              <w:t>二氯甲烷</w:t>
            </w:r>
          </w:p>
        </w:tc>
        <w:tc>
          <w:tcPr>
            <w:tcW w:w="1275" w:type="dxa"/>
            <w:shd w:val="clear" w:color="auto" w:fill="auto"/>
            <w:vAlign w:val="center"/>
          </w:tcPr>
          <w:p>
            <w:pPr>
              <w:pStyle w:val="33"/>
            </w:pPr>
            <w:r>
              <w:t>94</w:t>
            </w:r>
          </w:p>
        </w:tc>
        <w:tc>
          <w:tcPr>
            <w:tcW w:w="1266" w:type="dxa"/>
            <w:shd w:val="clear" w:color="auto" w:fill="auto"/>
            <w:vAlign w:val="center"/>
          </w:tcPr>
          <w:p>
            <w:pPr>
              <w:pStyle w:val="33"/>
            </w:pPr>
            <w:r>
              <w:t>616</w:t>
            </w:r>
          </w:p>
        </w:tc>
        <w:tc>
          <w:tcPr>
            <w:tcW w:w="1383" w:type="dxa"/>
            <w:shd w:val="clear" w:color="auto" w:fill="auto"/>
            <w:vAlign w:val="center"/>
          </w:tcPr>
          <w:p>
            <w:pPr>
              <w:pStyle w:val="33"/>
            </w:pPr>
            <w:r>
              <w:t>300</w:t>
            </w:r>
          </w:p>
        </w:tc>
        <w:tc>
          <w:tcPr>
            <w:tcW w:w="1404" w:type="dxa"/>
            <w:shd w:val="clear" w:color="auto" w:fill="auto"/>
            <w:vAlign w:val="center"/>
          </w:tcPr>
          <w:p>
            <w:pPr>
              <w:pStyle w:val="33"/>
            </w:pPr>
            <w: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17</w:t>
            </w:r>
          </w:p>
        </w:tc>
        <w:tc>
          <w:tcPr>
            <w:tcW w:w="2229" w:type="dxa"/>
            <w:shd w:val="clear" w:color="auto" w:fill="auto"/>
            <w:vAlign w:val="center"/>
          </w:tcPr>
          <w:p>
            <w:pPr>
              <w:pStyle w:val="33"/>
            </w:pPr>
            <w:r>
              <w:t>1，2-二氯丙烷</w:t>
            </w:r>
          </w:p>
        </w:tc>
        <w:tc>
          <w:tcPr>
            <w:tcW w:w="1275" w:type="dxa"/>
            <w:shd w:val="clear" w:color="auto" w:fill="auto"/>
            <w:vAlign w:val="center"/>
          </w:tcPr>
          <w:p>
            <w:pPr>
              <w:pStyle w:val="33"/>
            </w:pPr>
            <w:r>
              <w:t>1</w:t>
            </w:r>
          </w:p>
        </w:tc>
        <w:tc>
          <w:tcPr>
            <w:tcW w:w="1266" w:type="dxa"/>
            <w:shd w:val="clear" w:color="auto" w:fill="auto"/>
            <w:vAlign w:val="center"/>
          </w:tcPr>
          <w:p>
            <w:pPr>
              <w:pStyle w:val="33"/>
            </w:pPr>
            <w:r>
              <w:t>5</w:t>
            </w:r>
          </w:p>
        </w:tc>
        <w:tc>
          <w:tcPr>
            <w:tcW w:w="1383" w:type="dxa"/>
            <w:shd w:val="clear" w:color="auto" w:fill="auto"/>
            <w:vAlign w:val="center"/>
          </w:tcPr>
          <w:p>
            <w:pPr>
              <w:pStyle w:val="33"/>
            </w:pPr>
            <w:r>
              <w:t>5</w:t>
            </w:r>
          </w:p>
        </w:tc>
        <w:tc>
          <w:tcPr>
            <w:tcW w:w="1404" w:type="dxa"/>
            <w:shd w:val="clear" w:color="auto" w:fill="auto"/>
            <w:vAlign w:val="center"/>
          </w:tcPr>
          <w:p>
            <w:pPr>
              <w:pStyle w:val="33"/>
            </w:pPr>
            <w: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18</w:t>
            </w:r>
          </w:p>
        </w:tc>
        <w:tc>
          <w:tcPr>
            <w:tcW w:w="2229" w:type="dxa"/>
            <w:shd w:val="clear" w:color="auto" w:fill="auto"/>
            <w:vAlign w:val="center"/>
          </w:tcPr>
          <w:p>
            <w:pPr>
              <w:pStyle w:val="33"/>
            </w:pPr>
            <w:r>
              <w:t>1，1，1，2-四氯乙烷</w:t>
            </w:r>
          </w:p>
        </w:tc>
        <w:tc>
          <w:tcPr>
            <w:tcW w:w="1275" w:type="dxa"/>
            <w:shd w:val="clear" w:color="auto" w:fill="auto"/>
            <w:vAlign w:val="center"/>
          </w:tcPr>
          <w:p>
            <w:pPr>
              <w:pStyle w:val="33"/>
            </w:pPr>
            <w:r>
              <w:t>2.6</w:t>
            </w:r>
          </w:p>
        </w:tc>
        <w:tc>
          <w:tcPr>
            <w:tcW w:w="1266" w:type="dxa"/>
            <w:shd w:val="clear" w:color="auto" w:fill="auto"/>
            <w:vAlign w:val="center"/>
          </w:tcPr>
          <w:p>
            <w:pPr>
              <w:pStyle w:val="33"/>
            </w:pPr>
            <w:r>
              <w:t>10</w:t>
            </w:r>
          </w:p>
        </w:tc>
        <w:tc>
          <w:tcPr>
            <w:tcW w:w="1383" w:type="dxa"/>
            <w:shd w:val="clear" w:color="auto" w:fill="auto"/>
            <w:vAlign w:val="center"/>
          </w:tcPr>
          <w:p>
            <w:pPr>
              <w:pStyle w:val="33"/>
            </w:pPr>
            <w:r>
              <w:t>26</w:t>
            </w:r>
          </w:p>
        </w:tc>
        <w:tc>
          <w:tcPr>
            <w:tcW w:w="1404" w:type="dxa"/>
            <w:shd w:val="clear" w:color="auto" w:fill="auto"/>
            <w:vAlign w:val="center"/>
          </w:tcPr>
          <w:p>
            <w:pPr>
              <w:pStyle w:val="33"/>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19</w:t>
            </w:r>
          </w:p>
        </w:tc>
        <w:tc>
          <w:tcPr>
            <w:tcW w:w="2229" w:type="dxa"/>
            <w:shd w:val="clear" w:color="auto" w:fill="auto"/>
            <w:vAlign w:val="center"/>
          </w:tcPr>
          <w:p>
            <w:pPr>
              <w:pStyle w:val="33"/>
            </w:pPr>
            <w:r>
              <w:t>1，1，2，2-四氯乙烷</w:t>
            </w:r>
          </w:p>
        </w:tc>
        <w:tc>
          <w:tcPr>
            <w:tcW w:w="1275" w:type="dxa"/>
            <w:shd w:val="clear" w:color="auto" w:fill="auto"/>
            <w:vAlign w:val="center"/>
          </w:tcPr>
          <w:p>
            <w:pPr>
              <w:pStyle w:val="33"/>
            </w:pPr>
            <w:r>
              <w:t>1.6</w:t>
            </w:r>
          </w:p>
        </w:tc>
        <w:tc>
          <w:tcPr>
            <w:tcW w:w="1266" w:type="dxa"/>
            <w:shd w:val="clear" w:color="auto" w:fill="auto"/>
            <w:vAlign w:val="center"/>
          </w:tcPr>
          <w:p>
            <w:pPr>
              <w:pStyle w:val="33"/>
            </w:pPr>
            <w:r>
              <w:t>6.8</w:t>
            </w:r>
          </w:p>
        </w:tc>
        <w:tc>
          <w:tcPr>
            <w:tcW w:w="1383" w:type="dxa"/>
            <w:shd w:val="clear" w:color="auto" w:fill="auto"/>
            <w:vAlign w:val="center"/>
          </w:tcPr>
          <w:p>
            <w:pPr>
              <w:pStyle w:val="33"/>
            </w:pPr>
            <w:r>
              <w:t>14</w:t>
            </w:r>
          </w:p>
        </w:tc>
        <w:tc>
          <w:tcPr>
            <w:tcW w:w="1404" w:type="dxa"/>
            <w:shd w:val="clear" w:color="auto" w:fill="auto"/>
            <w:vAlign w:val="center"/>
          </w:tcPr>
          <w:p>
            <w:pPr>
              <w:pStyle w:val="33"/>
            </w:pPr>
            <w: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20</w:t>
            </w:r>
          </w:p>
        </w:tc>
        <w:tc>
          <w:tcPr>
            <w:tcW w:w="2229" w:type="dxa"/>
            <w:shd w:val="clear" w:color="auto" w:fill="auto"/>
            <w:vAlign w:val="center"/>
          </w:tcPr>
          <w:p>
            <w:pPr>
              <w:pStyle w:val="33"/>
            </w:pPr>
            <w:r>
              <w:t>四氯乙烯</w:t>
            </w:r>
          </w:p>
        </w:tc>
        <w:tc>
          <w:tcPr>
            <w:tcW w:w="1275" w:type="dxa"/>
            <w:shd w:val="clear" w:color="auto" w:fill="auto"/>
            <w:vAlign w:val="center"/>
          </w:tcPr>
          <w:p>
            <w:pPr>
              <w:pStyle w:val="33"/>
            </w:pPr>
            <w:r>
              <w:t>11</w:t>
            </w:r>
          </w:p>
        </w:tc>
        <w:tc>
          <w:tcPr>
            <w:tcW w:w="1266" w:type="dxa"/>
            <w:shd w:val="clear" w:color="auto" w:fill="auto"/>
            <w:vAlign w:val="center"/>
          </w:tcPr>
          <w:p>
            <w:pPr>
              <w:pStyle w:val="33"/>
            </w:pPr>
            <w:r>
              <w:t>53</w:t>
            </w:r>
          </w:p>
        </w:tc>
        <w:tc>
          <w:tcPr>
            <w:tcW w:w="1383" w:type="dxa"/>
            <w:shd w:val="clear" w:color="auto" w:fill="auto"/>
            <w:vAlign w:val="center"/>
          </w:tcPr>
          <w:p>
            <w:pPr>
              <w:pStyle w:val="33"/>
            </w:pPr>
            <w:r>
              <w:t>34</w:t>
            </w:r>
          </w:p>
        </w:tc>
        <w:tc>
          <w:tcPr>
            <w:tcW w:w="1404" w:type="dxa"/>
            <w:shd w:val="clear" w:color="auto" w:fill="auto"/>
            <w:vAlign w:val="center"/>
          </w:tcPr>
          <w:p>
            <w:pPr>
              <w:pStyle w:val="33"/>
            </w:pPr>
            <w: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21</w:t>
            </w:r>
          </w:p>
        </w:tc>
        <w:tc>
          <w:tcPr>
            <w:tcW w:w="2229" w:type="dxa"/>
            <w:shd w:val="clear" w:color="auto" w:fill="auto"/>
            <w:vAlign w:val="center"/>
          </w:tcPr>
          <w:p>
            <w:pPr>
              <w:pStyle w:val="33"/>
            </w:pPr>
            <w:r>
              <w:t>1，1，1-三氯乙烷</w:t>
            </w:r>
          </w:p>
        </w:tc>
        <w:tc>
          <w:tcPr>
            <w:tcW w:w="1275" w:type="dxa"/>
            <w:shd w:val="clear" w:color="auto" w:fill="auto"/>
            <w:vAlign w:val="center"/>
          </w:tcPr>
          <w:p>
            <w:pPr>
              <w:pStyle w:val="33"/>
            </w:pPr>
            <w:r>
              <w:t>701</w:t>
            </w:r>
          </w:p>
        </w:tc>
        <w:tc>
          <w:tcPr>
            <w:tcW w:w="1266" w:type="dxa"/>
            <w:shd w:val="clear" w:color="auto" w:fill="auto"/>
            <w:vAlign w:val="center"/>
          </w:tcPr>
          <w:p>
            <w:pPr>
              <w:pStyle w:val="33"/>
            </w:pPr>
            <w:r>
              <w:t>840</w:t>
            </w:r>
          </w:p>
        </w:tc>
        <w:tc>
          <w:tcPr>
            <w:tcW w:w="1383" w:type="dxa"/>
            <w:shd w:val="clear" w:color="auto" w:fill="auto"/>
            <w:vAlign w:val="center"/>
          </w:tcPr>
          <w:p>
            <w:pPr>
              <w:pStyle w:val="33"/>
            </w:pPr>
            <w:r>
              <w:t>840</w:t>
            </w:r>
          </w:p>
        </w:tc>
        <w:tc>
          <w:tcPr>
            <w:tcW w:w="1404" w:type="dxa"/>
            <w:shd w:val="clear" w:color="auto" w:fill="auto"/>
            <w:vAlign w:val="center"/>
          </w:tcPr>
          <w:p>
            <w:pPr>
              <w:pStyle w:val="33"/>
            </w:pPr>
            <w: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22</w:t>
            </w:r>
          </w:p>
        </w:tc>
        <w:tc>
          <w:tcPr>
            <w:tcW w:w="2229" w:type="dxa"/>
            <w:shd w:val="clear" w:color="auto" w:fill="auto"/>
            <w:vAlign w:val="center"/>
          </w:tcPr>
          <w:p>
            <w:pPr>
              <w:pStyle w:val="33"/>
            </w:pPr>
            <w:r>
              <w:t>1，1，2-三氯乙烷</w:t>
            </w:r>
          </w:p>
        </w:tc>
        <w:tc>
          <w:tcPr>
            <w:tcW w:w="1275" w:type="dxa"/>
            <w:shd w:val="clear" w:color="auto" w:fill="auto"/>
            <w:vAlign w:val="center"/>
          </w:tcPr>
          <w:p>
            <w:pPr>
              <w:pStyle w:val="33"/>
            </w:pPr>
            <w:r>
              <w:t>0.6</w:t>
            </w:r>
          </w:p>
        </w:tc>
        <w:tc>
          <w:tcPr>
            <w:tcW w:w="1266" w:type="dxa"/>
            <w:shd w:val="clear" w:color="auto" w:fill="auto"/>
            <w:vAlign w:val="center"/>
          </w:tcPr>
          <w:p>
            <w:pPr>
              <w:pStyle w:val="33"/>
            </w:pPr>
            <w:r>
              <w:t>2.8</w:t>
            </w:r>
          </w:p>
        </w:tc>
        <w:tc>
          <w:tcPr>
            <w:tcW w:w="1383" w:type="dxa"/>
            <w:shd w:val="clear" w:color="auto" w:fill="auto"/>
            <w:vAlign w:val="center"/>
          </w:tcPr>
          <w:p>
            <w:pPr>
              <w:pStyle w:val="33"/>
            </w:pPr>
            <w:r>
              <w:t>5</w:t>
            </w:r>
          </w:p>
        </w:tc>
        <w:tc>
          <w:tcPr>
            <w:tcW w:w="1404" w:type="dxa"/>
            <w:shd w:val="clear" w:color="auto" w:fill="auto"/>
            <w:vAlign w:val="center"/>
          </w:tcPr>
          <w:p>
            <w:pPr>
              <w:pStyle w:val="33"/>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23</w:t>
            </w:r>
          </w:p>
        </w:tc>
        <w:tc>
          <w:tcPr>
            <w:tcW w:w="2229" w:type="dxa"/>
            <w:shd w:val="clear" w:color="auto" w:fill="auto"/>
            <w:vAlign w:val="center"/>
          </w:tcPr>
          <w:p>
            <w:pPr>
              <w:pStyle w:val="33"/>
            </w:pPr>
            <w:r>
              <w:t>三氯乙烯</w:t>
            </w:r>
          </w:p>
        </w:tc>
        <w:tc>
          <w:tcPr>
            <w:tcW w:w="1275" w:type="dxa"/>
            <w:shd w:val="clear" w:color="auto" w:fill="auto"/>
            <w:vAlign w:val="center"/>
          </w:tcPr>
          <w:p>
            <w:pPr>
              <w:pStyle w:val="33"/>
            </w:pPr>
            <w:r>
              <w:t>0.7</w:t>
            </w:r>
          </w:p>
        </w:tc>
        <w:tc>
          <w:tcPr>
            <w:tcW w:w="1266" w:type="dxa"/>
            <w:shd w:val="clear" w:color="auto" w:fill="auto"/>
            <w:vAlign w:val="center"/>
          </w:tcPr>
          <w:p>
            <w:pPr>
              <w:pStyle w:val="33"/>
            </w:pPr>
            <w:r>
              <w:t>2.8</w:t>
            </w:r>
          </w:p>
        </w:tc>
        <w:tc>
          <w:tcPr>
            <w:tcW w:w="1383" w:type="dxa"/>
            <w:shd w:val="clear" w:color="auto" w:fill="auto"/>
            <w:vAlign w:val="center"/>
          </w:tcPr>
          <w:p>
            <w:pPr>
              <w:pStyle w:val="33"/>
            </w:pPr>
            <w:r>
              <w:t>7</w:t>
            </w:r>
          </w:p>
        </w:tc>
        <w:tc>
          <w:tcPr>
            <w:tcW w:w="1404" w:type="dxa"/>
            <w:shd w:val="clear" w:color="auto" w:fill="auto"/>
            <w:vAlign w:val="center"/>
          </w:tcPr>
          <w:p>
            <w:pPr>
              <w:pStyle w:val="33"/>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24</w:t>
            </w:r>
          </w:p>
        </w:tc>
        <w:tc>
          <w:tcPr>
            <w:tcW w:w="2229" w:type="dxa"/>
            <w:shd w:val="clear" w:color="auto" w:fill="auto"/>
            <w:vAlign w:val="center"/>
          </w:tcPr>
          <w:p>
            <w:pPr>
              <w:pStyle w:val="33"/>
            </w:pPr>
            <w:r>
              <w:t>1，2，3-三氯丙烷</w:t>
            </w:r>
          </w:p>
        </w:tc>
        <w:tc>
          <w:tcPr>
            <w:tcW w:w="1275" w:type="dxa"/>
            <w:shd w:val="clear" w:color="auto" w:fill="auto"/>
            <w:vAlign w:val="center"/>
          </w:tcPr>
          <w:p>
            <w:pPr>
              <w:pStyle w:val="33"/>
            </w:pPr>
            <w:r>
              <w:t>0.05</w:t>
            </w:r>
          </w:p>
        </w:tc>
        <w:tc>
          <w:tcPr>
            <w:tcW w:w="1266" w:type="dxa"/>
            <w:shd w:val="clear" w:color="auto" w:fill="auto"/>
            <w:vAlign w:val="center"/>
          </w:tcPr>
          <w:p>
            <w:pPr>
              <w:pStyle w:val="33"/>
            </w:pPr>
            <w:r>
              <w:t>0.5</w:t>
            </w:r>
          </w:p>
        </w:tc>
        <w:tc>
          <w:tcPr>
            <w:tcW w:w="1383" w:type="dxa"/>
            <w:shd w:val="clear" w:color="auto" w:fill="auto"/>
            <w:vAlign w:val="center"/>
          </w:tcPr>
          <w:p>
            <w:pPr>
              <w:pStyle w:val="33"/>
            </w:pPr>
            <w:r>
              <w:t>0.5</w:t>
            </w:r>
          </w:p>
        </w:tc>
        <w:tc>
          <w:tcPr>
            <w:tcW w:w="1404" w:type="dxa"/>
            <w:shd w:val="clear" w:color="auto" w:fill="auto"/>
            <w:vAlign w:val="center"/>
          </w:tcPr>
          <w:p>
            <w:pPr>
              <w:pStyle w:val="33"/>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25</w:t>
            </w:r>
          </w:p>
        </w:tc>
        <w:tc>
          <w:tcPr>
            <w:tcW w:w="2229" w:type="dxa"/>
            <w:shd w:val="clear" w:color="auto" w:fill="auto"/>
            <w:vAlign w:val="center"/>
          </w:tcPr>
          <w:p>
            <w:pPr>
              <w:pStyle w:val="33"/>
            </w:pPr>
            <w:r>
              <w:t>氯乙烯</w:t>
            </w:r>
          </w:p>
        </w:tc>
        <w:tc>
          <w:tcPr>
            <w:tcW w:w="1275" w:type="dxa"/>
            <w:shd w:val="clear" w:color="auto" w:fill="auto"/>
            <w:vAlign w:val="center"/>
          </w:tcPr>
          <w:p>
            <w:pPr>
              <w:pStyle w:val="33"/>
            </w:pPr>
            <w:r>
              <w:t>0.12</w:t>
            </w:r>
          </w:p>
        </w:tc>
        <w:tc>
          <w:tcPr>
            <w:tcW w:w="1266" w:type="dxa"/>
            <w:shd w:val="clear" w:color="auto" w:fill="auto"/>
            <w:vAlign w:val="center"/>
          </w:tcPr>
          <w:p>
            <w:pPr>
              <w:pStyle w:val="33"/>
            </w:pPr>
            <w:r>
              <w:t>0.43</w:t>
            </w:r>
          </w:p>
        </w:tc>
        <w:tc>
          <w:tcPr>
            <w:tcW w:w="1383" w:type="dxa"/>
            <w:shd w:val="clear" w:color="auto" w:fill="auto"/>
            <w:vAlign w:val="center"/>
          </w:tcPr>
          <w:p>
            <w:pPr>
              <w:pStyle w:val="33"/>
            </w:pPr>
            <w:r>
              <w:t>1.2</w:t>
            </w:r>
          </w:p>
        </w:tc>
        <w:tc>
          <w:tcPr>
            <w:tcW w:w="1404" w:type="dxa"/>
            <w:shd w:val="clear" w:color="auto" w:fill="auto"/>
            <w:vAlign w:val="center"/>
          </w:tcPr>
          <w:p>
            <w:pPr>
              <w:pStyle w:val="33"/>
            </w:pPr>
            <w: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26</w:t>
            </w:r>
          </w:p>
        </w:tc>
        <w:tc>
          <w:tcPr>
            <w:tcW w:w="2229" w:type="dxa"/>
            <w:shd w:val="clear" w:color="auto" w:fill="auto"/>
            <w:vAlign w:val="center"/>
          </w:tcPr>
          <w:p>
            <w:pPr>
              <w:pStyle w:val="33"/>
            </w:pPr>
            <w:r>
              <w:t>苯</w:t>
            </w:r>
          </w:p>
        </w:tc>
        <w:tc>
          <w:tcPr>
            <w:tcW w:w="1275" w:type="dxa"/>
            <w:shd w:val="clear" w:color="auto" w:fill="auto"/>
            <w:vAlign w:val="center"/>
          </w:tcPr>
          <w:p>
            <w:pPr>
              <w:pStyle w:val="33"/>
            </w:pPr>
            <w:r>
              <w:t>1</w:t>
            </w:r>
          </w:p>
        </w:tc>
        <w:tc>
          <w:tcPr>
            <w:tcW w:w="1266" w:type="dxa"/>
            <w:shd w:val="clear" w:color="auto" w:fill="auto"/>
            <w:vAlign w:val="center"/>
          </w:tcPr>
          <w:p>
            <w:pPr>
              <w:pStyle w:val="33"/>
            </w:pPr>
            <w:r>
              <w:t>4</w:t>
            </w:r>
          </w:p>
        </w:tc>
        <w:tc>
          <w:tcPr>
            <w:tcW w:w="1383" w:type="dxa"/>
            <w:shd w:val="clear" w:color="auto" w:fill="auto"/>
            <w:vAlign w:val="center"/>
          </w:tcPr>
          <w:p>
            <w:pPr>
              <w:pStyle w:val="33"/>
            </w:pPr>
            <w:r>
              <w:t>10</w:t>
            </w:r>
          </w:p>
        </w:tc>
        <w:tc>
          <w:tcPr>
            <w:tcW w:w="1404" w:type="dxa"/>
            <w:shd w:val="clear" w:color="auto" w:fill="auto"/>
            <w:vAlign w:val="center"/>
          </w:tcPr>
          <w:p>
            <w:pPr>
              <w:pStyle w:val="33"/>
            </w:pPr>
            <w: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27</w:t>
            </w:r>
          </w:p>
        </w:tc>
        <w:tc>
          <w:tcPr>
            <w:tcW w:w="2229" w:type="dxa"/>
            <w:shd w:val="clear" w:color="auto" w:fill="auto"/>
            <w:vAlign w:val="center"/>
          </w:tcPr>
          <w:p>
            <w:pPr>
              <w:pStyle w:val="33"/>
            </w:pPr>
            <w:r>
              <w:t>氯苯</w:t>
            </w:r>
          </w:p>
        </w:tc>
        <w:tc>
          <w:tcPr>
            <w:tcW w:w="1275" w:type="dxa"/>
            <w:shd w:val="clear" w:color="auto" w:fill="auto"/>
            <w:vAlign w:val="center"/>
          </w:tcPr>
          <w:p>
            <w:pPr>
              <w:pStyle w:val="33"/>
            </w:pPr>
            <w:r>
              <w:t>68</w:t>
            </w:r>
          </w:p>
        </w:tc>
        <w:tc>
          <w:tcPr>
            <w:tcW w:w="1266" w:type="dxa"/>
            <w:shd w:val="clear" w:color="auto" w:fill="auto"/>
            <w:vAlign w:val="center"/>
          </w:tcPr>
          <w:p>
            <w:pPr>
              <w:pStyle w:val="33"/>
            </w:pPr>
            <w:r>
              <w:t>270</w:t>
            </w:r>
          </w:p>
        </w:tc>
        <w:tc>
          <w:tcPr>
            <w:tcW w:w="1383" w:type="dxa"/>
            <w:shd w:val="clear" w:color="auto" w:fill="auto"/>
            <w:vAlign w:val="center"/>
          </w:tcPr>
          <w:p>
            <w:pPr>
              <w:pStyle w:val="33"/>
            </w:pPr>
            <w:r>
              <w:t>200</w:t>
            </w:r>
          </w:p>
        </w:tc>
        <w:tc>
          <w:tcPr>
            <w:tcW w:w="1404" w:type="dxa"/>
            <w:shd w:val="clear" w:color="auto" w:fill="auto"/>
            <w:vAlign w:val="center"/>
          </w:tcPr>
          <w:p>
            <w:pPr>
              <w:pStyle w:val="33"/>
            </w:pPr>
            <w: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28</w:t>
            </w:r>
          </w:p>
        </w:tc>
        <w:tc>
          <w:tcPr>
            <w:tcW w:w="2229" w:type="dxa"/>
            <w:shd w:val="clear" w:color="auto" w:fill="auto"/>
            <w:vAlign w:val="center"/>
          </w:tcPr>
          <w:p>
            <w:pPr>
              <w:pStyle w:val="33"/>
            </w:pPr>
            <w:r>
              <w:t>1，2-二氯苯</w:t>
            </w:r>
          </w:p>
        </w:tc>
        <w:tc>
          <w:tcPr>
            <w:tcW w:w="1275" w:type="dxa"/>
            <w:shd w:val="clear" w:color="auto" w:fill="auto"/>
            <w:vAlign w:val="center"/>
          </w:tcPr>
          <w:p>
            <w:pPr>
              <w:pStyle w:val="33"/>
            </w:pPr>
            <w:r>
              <w:t>560</w:t>
            </w:r>
          </w:p>
        </w:tc>
        <w:tc>
          <w:tcPr>
            <w:tcW w:w="1266" w:type="dxa"/>
            <w:shd w:val="clear" w:color="auto" w:fill="auto"/>
            <w:vAlign w:val="center"/>
          </w:tcPr>
          <w:p>
            <w:pPr>
              <w:pStyle w:val="33"/>
            </w:pPr>
            <w:r>
              <w:t>560</w:t>
            </w:r>
          </w:p>
        </w:tc>
        <w:tc>
          <w:tcPr>
            <w:tcW w:w="1383" w:type="dxa"/>
            <w:shd w:val="clear" w:color="auto" w:fill="auto"/>
            <w:vAlign w:val="center"/>
          </w:tcPr>
          <w:p>
            <w:pPr>
              <w:pStyle w:val="33"/>
            </w:pPr>
            <w:r>
              <w:t>560</w:t>
            </w:r>
          </w:p>
        </w:tc>
        <w:tc>
          <w:tcPr>
            <w:tcW w:w="1404" w:type="dxa"/>
            <w:shd w:val="clear" w:color="auto" w:fill="auto"/>
            <w:vAlign w:val="center"/>
          </w:tcPr>
          <w:p>
            <w:pPr>
              <w:pStyle w:val="33"/>
            </w:pPr>
            <w: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29</w:t>
            </w:r>
          </w:p>
        </w:tc>
        <w:tc>
          <w:tcPr>
            <w:tcW w:w="2229" w:type="dxa"/>
            <w:shd w:val="clear" w:color="auto" w:fill="auto"/>
            <w:vAlign w:val="center"/>
          </w:tcPr>
          <w:p>
            <w:pPr>
              <w:pStyle w:val="33"/>
            </w:pPr>
            <w:r>
              <w:t>1，4-二氯苯</w:t>
            </w:r>
          </w:p>
        </w:tc>
        <w:tc>
          <w:tcPr>
            <w:tcW w:w="1275" w:type="dxa"/>
            <w:shd w:val="clear" w:color="auto" w:fill="auto"/>
            <w:vAlign w:val="center"/>
          </w:tcPr>
          <w:p>
            <w:pPr>
              <w:pStyle w:val="33"/>
            </w:pPr>
            <w:r>
              <w:t>5.6</w:t>
            </w:r>
          </w:p>
        </w:tc>
        <w:tc>
          <w:tcPr>
            <w:tcW w:w="1266" w:type="dxa"/>
            <w:shd w:val="clear" w:color="auto" w:fill="auto"/>
            <w:vAlign w:val="center"/>
          </w:tcPr>
          <w:p>
            <w:pPr>
              <w:pStyle w:val="33"/>
            </w:pPr>
            <w:r>
              <w:t>20</w:t>
            </w:r>
          </w:p>
        </w:tc>
        <w:tc>
          <w:tcPr>
            <w:tcW w:w="1383" w:type="dxa"/>
            <w:shd w:val="clear" w:color="auto" w:fill="auto"/>
            <w:vAlign w:val="center"/>
          </w:tcPr>
          <w:p>
            <w:pPr>
              <w:pStyle w:val="33"/>
            </w:pPr>
            <w:r>
              <w:t>56</w:t>
            </w:r>
          </w:p>
        </w:tc>
        <w:tc>
          <w:tcPr>
            <w:tcW w:w="1404" w:type="dxa"/>
            <w:shd w:val="clear" w:color="auto" w:fill="auto"/>
            <w:vAlign w:val="center"/>
          </w:tcPr>
          <w:p>
            <w:pPr>
              <w:pStyle w:val="33"/>
            </w:pPr>
            <w: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30</w:t>
            </w:r>
          </w:p>
        </w:tc>
        <w:tc>
          <w:tcPr>
            <w:tcW w:w="2229" w:type="dxa"/>
            <w:shd w:val="clear" w:color="auto" w:fill="auto"/>
            <w:vAlign w:val="center"/>
          </w:tcPr>
          <w:p>
            <w:pPr>
              <w:pStyle w:val="33"/>
            </w:pPr>
            <w:r>
              <w:t>乙苯</w:t>
            </w:r>
          </w:p>
        </w:tc>
        <w:tc>
          <w:tcPr>
            <w:tcW w:w="1275" w:type="dxa"/>
            <w:shd w:val="clear" w:color="auto" w:fill="auto"/>
            <w:vAlign w:val="center"/>
          </w:tcPr>
          <w:p>
            <w:pPr>
              <w:pStyle w:val="33"/>
            </w:pPr>
            <w:r>
              <w:t>7.2</w:t>
            </w:r>
          </w:p>
        </w:tc>
        <w:tc>
          <w:tcPr>
            <w:tcW w:w="1266" w:type="dxa"/>
            <w:shd w:val="clear" w:color="auto" w:fill="auto"/>
            <w:vAlign w:val="center"/>
          </w:tcPr>
          <w:p>
            <w:pPr>
              <w:pStyle w:val="33"/>
            </w:pPr>
            <w:r>
              <w:t>28</w:t>
            </w:r>
          </w:p>
        </w:tc>
        <w:tc>
          <w:tcPr>
            <w:tcW w:w="1383" w:type="dxa"/>
            <w:shd w:val="clear" w:color="auto" w:fill="auto"/>
            <w:vAlign w:val="center"/>
          </w:tcPr>
          <w:p>
            <w:pPr>
              <w:pStyle w:val="33"/>
            </w:pPr>
            <w:r>
              <w:t>72</w:t>
            </w:r>
          </w:p>
        </w:tc>
        <w:tc>
          <w:tcPr>
            <w:tcW w:w="1404" w:type="dxa"/>
            <w:shd w:val="clear" w:color="auto" w:fill="auto"/>
            <w:vAlign w:val="center"/>
          </w:tcPr>
          <w:p>
            <w:pPr>
              <w:pStyle w:val="33"/>
            </w:pPr>
            <w: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31</w:t>
            </w:r>
          </w:p>
        </w:tc>
        <w:tc>
          <w:tcPr>
            <w:tcW w:w="2229" w:type="dxa"/>
            <w:shd w:val="clear" w:color="auto" w:fill="auto"/>
            <w:vAlign w:val="center"/>
          </w:tcPr>
          <w:p>
            <w:pPr>
              <w:pStyle w:val="33"/>
            </w:pPr>
            <w:r>
              <w:t>苯乙烯</w:t>
            </w:r>
          </w:p>
        </w:tc>
        <w:tc>
          <w:tcPr>
            <w:tcW w:w="1275" w:type="dxa"/>
            <w:shd w:val="clear" w:color="auto" w:fill="auto"/>
            <w:vAlign w:val="center"/>
          </w:tcPr>
          <w:p>
            <w:pPr>
              <w:pStyle w:val="33"/>
            </w:pPr>
            <w:r>
              <w:t>1290</w:t>
            </w:r>
          </w:p>
        </w:tc>
        <w:tc>
          <w:tcPr>
            <w:tcW w:w="1266" w:type="dxa"/>
            <w:shd w:val="clear" w:color="auto" w:fill="auto"/>
            <w:vAlign w:val="center"/>
          </w:tcPr>
          <w:p>
            <w:pPr>
              <w:pStyle w:val="33"/>
            </w:pPr>
            <w:r>
              <w:t>1290</w:t>
            </w:r>
          </w:p>
        </w:tc>
        <w:tc>
          <w:tcPr>
            <w:tcW w:w="1383" w:type="dxa"/>
            <w:shd w:val="clear" w:color="auto" w:fill="auto"/>
            <w:vAlign w:val="center"/>
          </w:tcPr>
          <w:p>
            <w:pPr>
              <w:pStyle w:val="33"/>
            </w:pPr>
            <w:r>
              <w:t>1290</w:t>
            </w:r>
          </w:p>
        </w:tc>
        <w:tc>
          <w:tcPr>
            <w:tcW w:w="1404" w:type="dxa"/>
            <w:shd w:val="clear" w:color="auto" w:fill="auto"/>
            <w:vAlign w:val="center"/>
          </w:tcPr>
          <w:p>
            <w:pPr>
              <w:pStyle w:val="33"/>
            </w:pPr>
            <w: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32</w:t>
            </w:r>
          </w:p>
        </w:tc>
        <w:tc>
          <w:tcPr>
            <w:tcW w:w="2229" w:type="dxa"/>
            <w:shd w:val="clear" w:color="auto" w:fill="auto"/>
            <w:vAlign w:val="center"/>
          </w:tcPr>
          <w:p>
            <w:pPr>
              <w:pStyle w:val="33"/>
            </w:pPr>
            <w:r>
              <w:t>甲苯</w:t>
            </w:r>
          </w:p>
        </w:tc>
        <w:tc>
          <w:tcPr>
            <w:tcW w:w="1275" w:type="dxa"/>
            <w:shd w:val="clear" w:color="auto" w:fill="auto"/>
            <w:vAlign w:val="center"/>
          </w:tcPr>
          <w:p>
            <w:pPr>
              <w:pStyle w:val="33"/>
            </w:pPr>
            <w:r>
              <w:t>1200</w:t>
            </w:r>
          </w:p>
        </w:tc>
        <w:tc>
          <w:tcPr>
            <w:tcW w:w="1266" w:type="dxa"/>
            <w:shd w:val="clear" w:color="auto" w:fill="auto"/>
            <w:vAlign w:val="center"/>
          </w:tcPr>
          <w:p>
            <w:pPr>
              <w:pStyle w:val="33"/>
            </w:pPr>
            <w:r>
              <w:t>1200</w:t>
            </w:r>
          </w:p>
        </w:tc>
        <w:tc>
          <w:tcPr>
            <w:tcW w:w="1383" w:type="dxa"/>
            <w:shd w:val="clear" w:color="auto" w:fill="auto"/>
            <w:vAlign w:val="center"/>
          </w:tcPr>
          <w:p>
            <w:pPr>
              <w:pStyle w:val="33"/>
            </w:pPr>
            <w:r>
              <w:t>1200</w:t>
            </w:r>
          </w:p>
        </w:tc>
        <w:tc>
          <w:tcPr>
            <w:tcW w:w="1404" w:type="dxa"/>
            <w:shd w:val="clear" w:color="auto" w:fill="auto"/>
            <w:vAlign w:val="center"/>
          </w:tcPr>
          <w:p>
            <w:pPr>
              <w:pStyle w:val="33"/>
            </w:pPr>
            <w: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33</w:t>
            </w:r>
          </w:p>
        </w:tc>
        <w:tc>
          <w:tcPr>
            <w:tcW w:w="2229" w:type="dxa"/>
            <w:shd w:val="clear" w:color="auto" w:fill="auto"/>
            <w:vAlign w:val="center"/>
          </w:tcPr>
          <w:p>
            <w:pPr>
              <w:pStyle w:val="33"/>
            </w:pPr>
            <w:r>
              <w:t>间二甲苯+对二甲苯</w:t>
            </w:r>
          </w:p>
        </w:tc>
        <w:tc>
          <w:tcPr>
            <w:tcW w:w="1275" w:type="dxa"/>
            <w:shd w:val="clear" w:color="auto" w:fill="auto"/>
            <w:vAlign w:val="center"/>
          </w:tcPr>
          <w:p>
            <w:pPr>
              <w:pStyle w:val="33"/>
            </w:pPr>
            <w:r>
              <w:t>163</w:t>
            </w:r>
          </w:p>
        </w:tc>
        <w:tc>
          <w:tcPr>
            <w:tcW w:w="1266" w:type="dxa"/>
            <w:shd w:val="clear" w:color="auto" w:fill="auto"/>
            <w:vAlign w:val="center"/>
          </w:tcPr>
          <w:p>
            <w:pPr>
              <w:pStyle w:val="33"/>
            </w:pPr>
            <w:r>
              <w:t>570</w:t>
            </w:r>
          </w:p>
        </w:tc>
        <w:tc>
          <w:tcPr>
            <w:tcW w:w="1383" w:type="dxa"/>
            <w:shd w:val="clear" w:color="auto" w:fill="auto"/>
            <w:vAlign w:val="center"/>
          </w:tcPr>
          <w:p>
            <w:pPr>
              <w:pStyle w:val="33"/>
            </w:pPr>
            <w:r>
              <w:t>500</w:t>
            </w:r>
          </w:p>
        </w:tc>
        <w:tc>
          <w:tcPr>
            <w:tcW w:w="1404" w:type="dxa"/>
            <w:shd w:val="clear" w:color="auto" w:fill="auto"/>
            <w:vAlign w:val="center"/>
          </w:tcPr>
          <w:p>
            <w:pPr>
              <w:pStyle w:val="33"/>
            </w:pPr>
            <w: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34</w:t>
            </w:r>
          </w:p>
        </w:tc>
        <w:tc>
          <w:tcPr>
            <w:tcW w:w="2229" w:type="dxa"/>
            <w:shd w:val="clear" w:color="auto" w:fill="auto"/>
            <w:vAlign w:val="center"/>
          </w:tcPr>
          <w:p>
            <w:pPr>
              <w:pStyle w:val="33"/>
            </w:pPr>
            <w:r>
              <w:t>邻-二甲苯</w:t>
            </w:r>
          </w:p>
        </w:tc>
        <w:tc>
          <w:tcPr>
            <w:tcW w:w="1275" w:type="dxa"/>
            <w:shd w:val="clear" w:color="auto" w:fill="auto"/>
            <w:vAlign w:val="center"/>
          </w:tcPr>
          <w:p>
            <w:pPr>
              <w:pStyle w:val="33"/>
            </w:pPr>
            <w:r>
              <w:t>222</w:t>
            </w:r>
          </w:p>
        </w:tc>
        <w:tc>
          <w:tcPr>
            <w:tcW w:w="1266" w:type="dxa"/>
            <w:shd w:val="clear" w:color="auto" w:fill="auto"/>
            <w:vAlign w:val="center"/>
          </w:tcPr>
          <w:p>
            <w:pPr>
              <w:pStyle w:val="33"/>
            </w:pPr>
            <w:r>
              <w:t>640</w:t>
            </w:r>
          </w:p>
        </w:tc>
        <w:tc>
          <w:tcPr>
            <w:tcW w:w="1383" w:type="dxa"/>
            <w:shd w:val="clear" w:color="auto" w:fill="auto"/>
            <w:vAlign w:val="center"/>
          </w:tcPr>
          <w:p>
            <w:pPr>
              <w:pStyle w:val="33"/>
            </w:pPr>
            <w:r>
              <w:t>640</w:t>
            </w:r>
          </w:p>
        </w:tc>
        <w:tc>
          <w:tcPr>
            <w:tcW w:w="1404" w:type="dxa"/>
            <w:shd w:val="clear" w:color="auto" w:fill="auto"/>
            <w:vAlign w:val="center"/>
          </w:tcPr>
          <w:p>
            <w:pPr>
              <w:pStyle w:val="33"/>
            </w:pPr>
            <w: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6"/>
            <w:shd w:val="clear" w:color="auto" w:fill="auto"/>
            <w:vAlign w:val="center"/>
          </w:tcPr>
          <w:p>
            <w:pPr>
              <w:pStyle w:val="33"/>
            </w:pPr>
            <w:r>
              <w:t>半挥发性有机物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35</w:t>
            </w:r>
          </w:p>
        </w:tc>
        <w:tc>
          <w:tcPr>
            <w:tcW w:w="2229" w:type="dxa"/>
            <w:shd w:val="clear" w:color="auto" w:fill="auto"/>
            <w:vAlign w:val="center"/>
          </w:tcPr>
          <w:p>
            <w:pPr>
              <w:pStyle w:val="33"/>
            </w:pPr>
            <w:r>
              <w:t>硝基苯</w:t>
            </w:r>
          </w:p>
        </w:tc>
        <w:tc>
          <w:tcPr>
            <w:tcW w:w="1275" w:type="dxa"/>
            <w:shd w:val="clear" w:color="auto" w:fill="auto"/>
            <w:vAlign w:val="center"/>
          </w:tcPr>
          <w:p>
            <w:pPr>
              <w:pStyle w:val="33"/>
            </w:pPr>
            <w:r>
              <w:t>34</w:t>
            </w:r>
          </w:p>
        </w:tc>
        <w:tc>
          <w:tcPr>
            <w:tcW w:w="1266" w:type="dxa"/>
            <w:shd w:val="clear" w:color="auto" w:fill="auto"/>
            <w:vAlign w:val="center"/>
          </w:tcPr>
          <w:p>
            <w:pPr>
              <w:pStyle w:val="33"/>
            </w:pPr>
            <w:r>
              <w:t>76</w:t>
            </w:r>
          </w:p>
        </w:tc>
        <w:tc>
          <w:tcPr>
            <w:tcW w:w="1383" w:type="dxa"/>
            <w:shd w:val="clear" w:color="auto" w:fill="auto"/>
            <w:vAlign w:val="center"/>
          </w:tcPr>
          <w:p>
            <w:pPr>
              <w:pStyle w:val="33"/>
            </w:pPr>
            <w:r>
              <w:t>190</w:t>
            </w:r>
          </w:p>
        </w:tc>
        <w:tc>
          <w:tcPr>
            <w:tcW w:w="1404" w:type="dxa"/>
            <w:shd w:val="clear" w:color="auto" w:fill="auto"/>
            <w:vAlign w:val="center"/>
          </w:tcPr>
          <w:p>
            <w:pPr>
              <w:pStyle w:val="33"/>
            </w:pPr>
            <w: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36</w:t>
            </w:r>
          </w:p>
        </w:tc>
        <w:tc>
          <w:tcPr>
            <w:tcW w:w="2229" w:type="dxa"/>
            <w:shd w:val="clear" w:color="auto" w:fill="auto"/>
            <w:vAlign w:val="center"/>
          </w:tcPr>
          <w:p>
            <w:pPr>
              <w:pStyle w:val="33"/>
            </w:pPr>
            <w:r>
              <w:t>苯胺</w:t>
            </w:r>
          </w:p>
        </w:tc>
        <w:tc>
          <w:tcPr>
            <w:tcW w:w="1275" w:type="dxa"/>
            <w:shd w:val="clear" w:color="auto" w:fill="auto"/>
            <w:vAlign w:val="center"/>
          </w:tcPr>
          <w:p>
            <w:pPr>
              <w:pStyle w:val="33"/>
            </w:pPr>
            <w:r>
              <w:t>92</w:t>
            </w:r>
          </w:p>
        </w:tc>
        <w:tc>
          <w:tcPr>
            <w:tcW w:w="1266" w:type="dxa"/>
            <w:shd w:val="clear" w:color="auto" w:fill="auto"/>
            <w:vAlign w:val="center"/>
          </w:tcPr>
          <w:p>
            <w:pPr>
              <w:pStyle w:val="33"/>
            </w:pPr>
            <w:r>
              <w:t>260</w:t>
            </w:r>
          </w:p>
        </w:tc>
        <w:tc>
          <w:tcPr>
            <w:tcW w:w="1383" w:type="dxa"/>
            <w:shd w:val="clear" w:color="auto" w:fill="auto"/>
            <w:vAlign w:val="center"/>
          </w:tcPr>
          <w:p>
            <w:pPr>
              <w:pStyle w:val="33"/>
            </w:pPr>
            <w:r>
              <w:t>211</w:t>
            </w:r>
          </w:p>
        </w:tc>
        <w:tc>
          <w:tcPr>
            <w:tcW w:w="1404" w:type="dxa"/>
            <w:shd w:val="clear" w:color="auto" w:fill="auto"/>
            <w:vAlign w:val="center"/>
          </w:tcPr>
          <w:p>
            <w:pPr>
              <w:pStyle w:val="33"/>
            </w:pPr>
            <w: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37</w:t>
            </w:r>
          </w:p>
        </w:tc>
        <w:tc>
          <w:tcPr>
            <w:tcW w:w="2229" w:type="dxa"/>
            <w:shd w:val="clear" w:color="auto" w:fill="auto"/>
            <w:vAlign w:val="center"/>
          </w:tcPr>
          <w:p>
            <w:pPr>
              <w:pStyle w:val="33"/>
            </w:pPr>
            <w:r>
              <w:t>2-氯酚</w:t>
            </w:r>
          </w:p>
        </w:tc>
        <w:tc>
          <w:tcPr>
            <w:tcW w:w="1275" w:type="dxa"/>
            <w:shd w:val="clear" w:color="auto" w:fill="auto"/>
            <w:vAlign w:val="center"/>
          </w:tcPr>
          <w:p>
            <w:pPr>
              <w:pStyle w:val="33"/>
            </w:pPr>
            <w:r>
              <w:t>250</w:t>
            </w:r>
          </w:p>
        </w:tc>
        <w:tc>
          <w:tcPr>
            <w:tcW w:w="1266" w:type="dxa"/>
            <w:shd w:val="clear" w:color="auto" w:fill="auto"/>
            <w:vAlign w:val="center"/>
          </w:tcPr>
          <w:p>
            <w:pPr>
              <w:pStyle w:val="33"/>
            </w:pPr>
            <w:r>
              <w:t>2256</w:t>
            </w:r>
          </w:p>
        </w:tc>
        <w:tc>
          <w:tcPr>
            <w:tcW w:w="1383" w:type="dxa"/>
            <w:shd w:val="clear" w:color="auto" w:fill="auto"/>
            <w:vAlign w:val="center"/>
          </w:tcPr>
          <w:p>
            <w:pPr>
              <w:pStyle w:val="33"/>
            </w:pPr>
            <w:r>
              <w:t>500</w:t>
            </w:r>
          </w:p>
        </w:tc>
        <w:tc>
          <w:tcPr>
            <w:tcW w:w="1404" w:type="dxa"/>
            <w:shd w:val="clear" w:color="auto" w:fill="auto"/>
            <w:vAlign w:val="center"/>
          </w:tcPr>
          <w:p>
            <w:pPr>
              <w:pStyle w:val="33"/>
            </w:pPr>
            <w: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38</w:t>
            </w:r>
          </w:p>
        </w:tc>
        <w:tc>
          <w:tcPr>
            <w:tcW w:w="2229" w:type="dxa"/>
            <w:shd w:val="clear" w:color="auto" w:fill="auto"/>
            <w:vAlign w:val="center"/>
          </w:tcPr>
          <w:p>
            <w:pPr>
              <w:pStyle w:val="33"/>
            </w:pPr>
            <w:r>
              <w:t>苯并[a]蒽</w:t>
            </w:r>
          </w:p>
        </w:tc>
        <w:tc>
          <w:tcPr>
            <w:tcW w:w="1275" w:type="dxa"/>
            <w:shd w:val="clear" w:color="auto" w:fill="auto"/>
            <w:vAlign w:val="center"/>
          </w:tcPr>
          <w:p>
            <w:pPr>
              <w:pStyle w:val="33"/>
            </w:pPr>
            <w:r>
              <w:t>5.5</w:t>
            </w:r>
          </w:p>
        </w:tc>
        <w:tc>
          <w:tcPr>
            <w:tcW w:w="1266" w:type="dxa"/>
            <w:shd w:val="clear" w:color="auto" w:fill="auto"/>
            <w:vAlign w:val="center"/>
          </w:tcPr>
          <w:p>
            <w:pPr>
              <w:pStyle w:val="33"/>
            </w:pPr>
            <w:r>
              <w:t>15</w:t>
            </w:r>
          </w:p>
        </w:tc>
        <w:tc>
          <w:tcPr>
            <w:tcW w:w="1383" w:type="dxa"/>
            <w:shd w:val="clear" w:color="auto" w:fill="auto"/>
            <w:vAlign w:val="center"/>
          </w:tcPr>
          <w:p>
            <w:pPr>
              <w:pStyle w:val="33"/>
            </w:pPr>
            <w:r>
              <w:t>55</w:t>
            </w:r>
          </w:p>
        </w:tc>
        <w:tc>
          <w:tcPr>
            <w:tcW w:w="1404" w:type="dxa"/>
            <w:shd w:val="clear" w:color="auto" w:fill="auto"/>
            <w:vAlign w:val="center"/>
          </w:tcPr>
          <w:p>
            <w:pPr>
              <w:pStyle w:val="33"/>
            </w:pPr>
            <w: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39</w:t>
            </w:r>
          </w:p>
        </w:tc>
        <w:tc>
          <w:tcPr>
            <w:tcW w:w="2229" w:type="dxa"/>
            <w:shd w:val="clear" w:color="auto" w:fill="auto"/>
            <w:vAlign w:val="center"/>
          </w:tcPr>
          <w:p>
            <w:pPr>
              <w:pStyle w:val="33"/>
            </w:pPr>
            <w:r>
              <w:t>苯并[a]芘</w:t>
            </w:r>
          </w:p>
        </w:tc>
        <w:tc>
          <w:tcPr>
            <w:tcW w:w="1275" w:type="dxa"/>
            <w:shd w:val="clear" w:color="auto" w:fill="auto"/>
            <w:vAlign w:val="center"/>
          </w:tcPr>
          <w:p>
            <w:pPr>
              <w:pStyle w:val="33"/>
            </w:pPr>
            <w:r>
              <w:t>0.55</w:t>
            </w:r>
          </w:p>
        </w:tc>
        <w:tc>
          <w:tcPr>
            <w:tcW w:w="1266" w:type="dxa"/>
            <w:shd w:val="clear" w:color="auto" w:fill="auto"/>
            <w:vAlign w:val="center"/>
          </w:tcPr>
          <w:p>
            <w:pPr>
              <w:pStyle w:val="33"/>
            </w:pPr>
            <w:r>
              <w:t>1.5</w:t>
            </w:r>
          </w:p>
        </w:tc>
        <w:tc>
          <w:tcPr>
            <w:tcW w:w="1383" w:type="dxa"/>
            <w:shd w:val="clear" w:color="auto" w:fill="auto"/>
            <w:vAlign w:val="center"/>
          </w:tcPr>
          <w:p>
            <w:pPr>
              <w:pStyle w:val="33"/>
            </w:pPr>
            <w:r>
              <w:t>5.5</w:t>
            </w:r>
          </w:p>
        </w:tc>
        <w:tc>
          <w:tcPr>
            <w:tcW w:w="1404" w:type="dxa"/>
            <w:shd w:val="clear" w:color="auto" w:fill="auto"/>
            <w:vAlign w:val="center"/>
          </w:tcPr>
          <w:p>
            <w:pPr>
              <w:pStyle w:val="33"/>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40</w:t>
            </w:r>
          </w:p>
        </w:tc>
        <w:tc>
          <w:tcPr>
            <w:tcW w:w="2229" w:type="dxa"/>
            <w:shd w:val="clear" w:color="auto" w:fill="auto"/>
            <w:vAlign w:val="center"/>
          </w:tcPr>
          <w:p>
            <w:pPr>
              <w:pStyle w:val="33"/>
            </w:pPr>
            <w:r>
              <w:t>苯并[b]荧蒽</w:t>
            </w:r>
          </w:p>
        </w:tc>
        <w:tc>
          <w:tcPr>
            <w:tcW w:w="1275" w:type="dxa"/>
            <w:shd w:val="clear" w:color="auto" w:fill="auto"/>
            <w:vAlign w:val="center"/>
          </w:tcPr>
          <w:p>
            <w:pPr>
              <w:pStyle w:val="33"/>
            </w:pPr>
            <w:r>
              <w:t>5.5</w:t>
            </w:r>
          </w:p>
        </w:tc>
        <w:tc>
          <w:tcPr>
            <w:tcW w:w="1266" w:type="dxa"/>
            <w:shd w:val="clear" w:color="auto" w:fill="auto"/>
            <w:vAlign w:val="center"/>
          </w:tcPr>
          <w:p>
            <w:pPr>
              <w:pStyle w:val="33"/>
            </w:pPr>
            <w:r>
              <w:t>15</w:t>
            </w:r>
          </w:p>
        </w:tc>
        <w:tc>
          <w:tcPr>
            <w:tcW w:w="1383" w:type="dxa"/>
            <w:shd w:val="clear" w:color="auto" w:fill="auto"/>
            <w:vAlign w:val="center"/>
          </w:tcPr>
          <w:p>
            <w:pPr>
              <w:pStyle w:val="33"/>
            </w:pPr>
            <w:r>
              <w:t>55</w:t>
            </w:r>
          </w:p>
        </w:tc>
        <w:tc>
          <w:tcPr>
            <w:tcW w:w="1404" w:type="dxa"/>
            <w:shd w:val="clear" w:color="auto" w:fill="auto"/>
            <w:vAlign w:val="center"/>
          </w:tcPr>
          <w:p>
            <w:pPr>
              <w:pStyle w:val="33"/>
            </w:pPr>
            <w: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41</w:t>
            </w:r>
          </w:p>
        </w:tc>
        <w:tc>
          <w:tcPr>
            <w:tcW w:w="2229" w:type="dxa"/>
            <w:shd w:val="clear" w:color="auto" w:fill="auto"/>
            <w:vAlign w:val="center"/>
          </w:tcPr>
          <w:p>
            <w:pPr>
              <w:pStyle w:val="33"/>
            </w:pPr>
            <w:r>
              <w:t>苯并[k]荧蒽</w:t>
            </w:r>
          </w:p>
        </w:tc>
        <w:tc>
          <w:tcPr>
            <w:tcW w:w="1275" w:type="dxa"/>
            <w:shd w:val="clear" w:color="auto" w:fill="auto"/>
            <w:vAlign w:val="center"/>
          </w:tcPr>
          <w:p>
            <w:pPr>
              <w:pStyle w:val="33"/>
            </w:pPr>
            <w:r>
              <w:t>55</w:t>
            </w:r>
          </w:p>
        </w:tc>
        <w:tc>
          <w:tcPr>
            <w:tcW w:w="1266" w:type="dxa"/>
            <w:shd w:val="clear" w:color="auto" w:fill="auto"/>
            <w:vAlign w:val="center"/>
          </w:tcPr>
          <w:p>
            <w:pPr>
              <w:pStyle w:val="33"/>
            </w:pPr>
            <w:r>
              <w:t>151</w:t>
            </w:r>
          </w:p>
        </w:tc>
        <w:tc>
          <w:tcPr>
            <w:tcW w:w="1383" w:type="dxa"/>
            <w:shd w:val="clear" w:color="auto" w:fill="auto"/>
            <w:vAlign w:val="center"/>
          </w:tcPr>
          <w:p>
            <w:pPr>
              <w:pStyle w:val="33"/>
            </w:pPr>
            <w:r>
              <w:t>550</w:t>
            </w:r>
          </w:p>
        </w:tc>
        <w:tc>
          <w:tcPr>
            <w:tcW w:w="1404" w:type="dxa"/>
            <w:shd w:val="clear" w:color="auto" w:fill="auto"/>
            <w:vAlign w:val="center"/>
          </w:tcPr>
          <w:p>
            <w:pPr>
              <w:pStyle w:val="33"/>
            </w:pPr>
            <w: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42</w:t>
            </w:r>
          </w:p>
        </w:tc>
        <w:tc>
          <w:tcPr>
            <w:tcW w:w="2229" w:type="dxa"/>
            <w:shd w:val="clear" w:color="auto" w:fill="auto"/>
            <w:vAlign w:val="center"/>
          </w:tcPr>
          <w:p>
            <w:pPr>
              <w:pStyle w:val="33"/>
            </w:pPr>
            <w:r>
              <w:t>䓛</w:t>
            </w:r>
          </w:p>
        </w:tc>
        <w:tc>
          <w:tcPr>
            <w:tcW w:w="1275" w:type="dxa"/>
            <w:shd w:val="clear" w:color="auto" w:fill="auto"/>
            <w:vAlign w:val="center"/>
          </w:tcPr>
          <w:p>
            <w:pPr>
              <w:pStyle w:val="33"/>
            </w:pPr>
            <w:r>
              <w:t>490</w:t>
            </w:r>
          </w:p>
        </w:tc>
        <w:tc>
          <w:tcPr>
            <w:tcW w:w="1266" w:type="dxa"/>
            <w:shd w:val="clear" w:color="auto" w:fill="auto"/>
            <w:vAlign w:val="center"/>
          </w:tcPr>
          <w:p>
            <w:pPr>
              <w:pStyle w:val="33"/>
            </w:pPr>
            <w:r>
              <w:t>1293</w:t>
            </w:r>
          </w:p>
        </w:tc>
        <w:tc>
          <w:tcPr>
            <w:tcW w:w="1383" w:type="dxa"/>
            <w:shd w:val="clear" w:color="auto" w:fill="auto"/>
            <w:vAlign w:val="center"/>
          </w:tcPr>
          <w:p>
            <w:pPr>
              <w:pStyle w:val="33"/>
            </w:pPr>
            <w:r>
              <w:t>4900</w:t>
            </w:r>
          </w:p>
        </w:tc>
        <w:tc>
          <w:tcPr>
            <w:tcW w:w="1404" w:type="dxa"/>
            <w:shd w:val="clear" w:color="auto" w:fill="auto"/>
            <w:vAlign w:val="center"/>
          </w:tcPr>
          <w:p>
            <w:pPr>
              <w:pStyle w:val="33"/>
            </w:pPr>
            <w:r>
              <w:t>12900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43</w:t>
            </w:r>
          </w:p>
        </w:tc>
        <w:tc>
          <w:tcPr>
            <w:tcW w:w="2229" w:type="dxa"/>
            <w:shd w:val="clear" w:color="auto" w:fill="auto"/>
            <w:vAlign w:val="center"/>
          </w:tcPr>
          <w:p>
            <w:pPr>
              <w:pStyle w:val="33"/>
            </w:pPr>
            <w:r>
              <w:t>二苯并[a，h]蒽</w:t>
            </w:r>
          </w:p>
        </w:tc>
        <w:tc>
          <w:tcPr>
            <w:tcW w:w="1275" w:type="dxa"/>
            <w:shd w:val="clear" w:color="auto" w:fill="auto"/>
            <w:vAlign w:val="center"/>
          </w:tcPr>
          <w:p>
            <w:pPr>
              <w:pStyle w:val="33"/>
            </w:pPr>
            <w:r>
              <w:t>0.55</w:t>
            </w:r>
          </w:p>
        </w:tc>
        <w:tc>
          <w:tcPr>
            <w:tcW w:w="1266" w:type="dxa"/>
            <w:shd w:val="clear" w:color="auto" w:fill="auto"/>
            <w:vAlign w:val="center"/>
          </w:tcPr>
          <w:p>
            <w:pPr>
              <w:pStyle w:val="33"/>
            </w:pPr>
            <w:r>
              <w:t>1.5</w:t>
            </w:r>
          </w:p>
        </w:tc>
        <w:tc>
          <w:tcPr>
            <w:tcW w:w="1383" w:type="dxa"/>
            <w:shd w:val="clear" w:color="auto" w:fill="auto"/>
            <w:vAlign w:val="center"/>
          </w:tcPr>
          <w:p>
            <w:pPr>
              <w:pStyle w:val="33"/>
            </w:pPr>
            <w:r>
              <w:t>5.5</w:t>
            </w:r>
          </w:p>
        </w:tc>
        <w:tc>
          <w:tcPr>
            <w:tcW w:w="1404" w:type="dxa"/>
            <w:shd w:val="clear" w:color="auto" w:fill="auto"/>
            <w:vAlign w:val="center"/>
          </w:tcPr>
          <w:p>
            <w:pPr>
              <w:pStyle w:val="33"/>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44</w:t>
            </w:r>
          </w:p>
        </w:tc>
        <w:tc>
          <w:tcPr>
            <w:tcW w:w="2229" w:type="dxa"/>
            <w:shd w:val="clear" w:color="auto" w:fill="auto"/>
            <w:vAlign w:val="center"/>
          </w:tcPr>
          <w:p>
            <w:pPr>
              <w:pStyle w:val="33"/>
            </w:pPr>
            <w:r>
              <w:t>茚并[1，2，3-cd]芘</w:t>
            </w:r>
          </w:p>
        </w:tc>
        <w:tc>
          <w:tcPr>
            <w:tcW w:w="1275" w:type="dxa"/>
            <w:shd w:val="clear" w:color="auto" w:fill="auto"/>
            <w:vAlign w:val="center"/>
          </w:tcPr>
          <w:p>
            <w:pPr>
              <w:pStyle w:val="33"/>
            </w:pPr>
            <w:r>
              <w:t>5.5</w:t>
            </w:r>
          </w:p>
        </w:tc>
        <w:tc>
          <w:tcPr>
            <w:tcW w:w="1266" w:type="dxa"/>
            <w:shd w:val="clear" w:color="auto" w:fill="auto"/>
            <w:vAlign w:val="center"/>
          </w:tcPr>
          <w:p>
            <w:pPr>
              <w:pStyle w:val="33"/>
            </w:pPr>
            <w:r>
              <w:t>15</w:t>
            </w:r>
          </w:p>
        </w:tc>
        <w:tc>
          <w:tcPr>
            <w:tcW w:w="1383" w:type="dxa"/>
            <w:shd w:val="clear" w:color="auto" w:fill="auto"/>
            <w:vAlign w:val="center"/>
          </w:tcPr>
          <w:p>
            <w:pPr>
              <w:pStyle w:val="33"/>
            </w:pPr>
            <w:r>
              <w:t>55</w:t>
            </w:r>
          </w:p>
        </w:tc>
        <w:tc>
          <w:tcPr>
            <w:tcW w:w="1404" w:type="dxa"/>
            <w:shd w:val="clear" w:color="auto" w:fill="auto"/>
            <w:vAlign w:val="center"/>
          </w:tcPr>
          <w:p>
            <w:pPr>
              <w:pStyle w:val="33"/>
            </w:pPr>
            <w: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shd w:val="clear" w:color="auto" w:fill="auto"/>
            <w:vAlign w:val="center"/>
          </w:tcPr>
          <w:p>
            <w:pPr>
              <w:pStyle w:val="33"/>
            </w:pPr>
            <w:r>
              <w:t>45</w:t>
            </w:r>
          </w:p>
        </w:tc>
        <w:tc>
          <w:tcPr>
            <w:tcW w:w="2229" w:type="dxa"/>
            <w:shd w:val="clear" w:color="auto" w:fill="auto"/>
            <w:vAlign w:val="center"/>
          </w:tcPr>
          <w:p>
            <w:pPr>
              <w:pStyle w:val="33"/>
            </w:pPr>
            <w:r>
              <w:t>萘</w:t>
            </w:r>
          </w:p>
        </w:tc>
        <w:tc>
          <w:tcPr>
            <w:tcW w:w="1275" w:type="dxa"/>
            <w:shd w:val="clear" w:color="auto" w:fill="auto"/>
            <w:vAlign w:val="center"/>
          </w:tcPr>
          <w:p>
            <w:pPr>
              <w:pStyle w:val="33"/>
            </w:pPr>
            <w:r>
              <w:t>25</w:t>
            </w:r>
          </w:p>
        </w:tc>
        <w:tc>
          <w:tcPr>
            <w:tcW w:w="1266" w:type="dxa"/>
            <w:shd w:val="clear" w:color="auto" w:fill="auto"/>
            <w:vAlign w:val="center"/>
          </w:tcPr>
          <w:p>
            <w:pPr>
              <w:pStyle w:val="33"/>
            </w:pPr>
            <w:r>
              <w:t>70</w:t>
            </w:r>
          </w:p>
        </w:tc>
        <w:tc>
          <w:tcPr>
            <w:tcW w:w="1383" w:type="dxa"/>
            <w:shd w:val="clear" w:color="auto" w:fill="auto"/>
            <w:vAlign w:val="center"/>
          </w:tcPr>
          <w:p>
            <w:pPr>
              <w:pStyle w:val="33"/>
            </w:pPr>
            <w:r>
              <w:t>255</w:t>
            </w:r>
          </w:p>
        </w:tc>
        <w:tc>
          <w:tcPr>
            <w:tcW w:w="1404" w:type="dxa"/>
            <w:shd w:val="clear" w:color="auto" w:fill="auto"/>
            <w:vAlign w:val="center"/>
          </w:tcPr>
          <w:p>
            <w:pPr>
              <w:pStyle w:val="33"/>
            </w:pPr>
            <w:r>
              <w:t>700</w:t>
            </w:r>
          </w:p>
        </w:tc>
      </w:tr>
    </w:tbl>
    <w:p>
      <w:pPr>
        <w:pStyle w:val="9"/>
      </w:pPr>
      <w:r>
        <w:rPr>
          <w:rFonts w:hint="eastAsia"/>
        </w:rPr>
        <w:t>2.3.2.2污染物排放标准</w:t>
      </w:r>
    </w:p>
    <w:p>
      <w:pPr>
        <w:pStyle w:val="7"/>
        <w:ind w:firstLine="482"/>
        <w:rPr>
          <w:b/>
          <w:bCs/>
        </w:rPr>
      </w:pPr>
      <w:r>
        <w:rPr>
          <w:rFonts w:hint="eastAsia"/>
          <w:b/>
          <w:bCs/>
        </w:rPr>
        <w:t>1、大气污染物排放标准</w:t>
      </w:r>
    </w:p>
    <w:p>
      <w:pPr>
        <w:pStyle w:val="7"/>
        <w:ind w:firstLine="480"/>
      </w:pPr>
      <w:r>
        <w:rPr>
          <w:rFonts w:hint="eastAsia"/>
        </w:rPr>
        <w:t>（1）施工期</w:t>
      </w:r>
    </w:p>
    <w:p>
      <w:pPr>
        <w:pStyle w:val="7"/>
        <w:ind w:firstLine="480"/>
      </w:pPr>
      <w:r>
        <w:rPr>
          <w:rFonts w:hint="eastAsia"/>
        </w:rPr>
        <w:t>施工期大气污染物排放执行《大气污染物综合排放标准》（GB16297-1996），具体标准值见表2.3-9。</w:t>
      </w:r>
    </w:p>
    <w:p>
      <w:pPr>
        <w:pStyle w:val="41"/>
      </w:pPr>
      <w:r>
        <w:t>表</w:t>
      </w:r>
      <w:r>
        <w:rPr>
          <w:rFonts w:hint="eastAsia"/>
        </w:rPr>
        <w:t>2.3-9</w:t>
      </w:r>
      <w:r>
        <w:t xml:space="preserve"> </w:t>
      </w:r>
      <w:r>
        <w:rPr>
          <w:rFonts w:hint="eastAsia"/>
        </w:rPr>
        <w:t xml:space="preserve"> 施工期</w:t>
      </w:r>
      <w:r>
        <w:t>大气污染物排放标准</w:t>
      </w:r>
      <w:r>
        <w:rPr>
          <w:rFonts w:hint="eastAsia"/>
        </w:rPr>
        <w:t xml:space="preserve"> </w:t>
      </w:r>
      <w:r>
        <w:t xml:space="preserve"> 单位：mg/m</w:t>
      </w:r>
      <w:r>
        <w:rPr>
          <w:vertAlign w:val="superscript"/>
        </w:rPr>
        <w:t>3</w:t>
      </w:r>
    </w:p>
    <w:tbl>
      <w:tblPr>
        <w:tblStyle w:val="27"/>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732"/>
        <w:gridCol w:w="3483"/>
        <w:gridCol w:w="402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732" w:type="dxa"/>
            <w:vMerge w:val="restart"/>
            <w:tcBorders>
              <w:top w:val="single" w:color="auto" w:sz="4" w:space="0"/>
              <w:left w:val="single" w:color="auto" w:sz="4" w:space="0"/>
              <w:right w:val="single" w:color="auto" w:sz="4" w:space="0"/>
            </w:tcBorders>
            <w:vAlign w:val="center"/>
          </w:tcPr>
          <w:p>
            <w:pPr>
              <w:pStyle w:val="32"/>
            </w:pPr>
            <w:r>
              <w:rPr>
                <w:rFonts w:hint="eastAsia"/>
              </w:rPr>
              <w:t>污染物</w:t>
            </w:r>
          </w:p>
        </w:tc>
        <w:tc>
          <w:tcPr>
            <w:tcW w:w="7510" w:type="dxa"/>
            <w:gridSpan w:val="2"/>
            <w:tcBorders>
              <w:top w:val="single" w:color="auto" w:sz="4" w:space="0"/>
              <w:left w:val="single" w:color="auto" w:sz="4" w:space="0"/>
              <w:bottom w:val="single" w:color="auto" w:sz="4" w:space="0"/>
              <w:right w:val="single" w:color="auto" w:sz="4" w:space="0"/>
            </w:tcBorders>
            <w:vAlign w:val="center"/>
          </w:tcPr>
          <w:p>
            <w:pPr>
              <w:pStyle w:val="32"/>
            </w:pPr>
            <w:r>
              <w:rPr>
                <w:rFonts w:hint="eastAsia"/>
              </w:rPr>
              <w:t>无组织排放监控浓度限值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732" w:type="dxa"/>
            <w:vMerge w:val="continue"/>
            <w:tcBorders>
              <w:left w:val="single" w:color="auto" w:sz="4" w:space="0"/>
              <w:bottom w:val="single" w:color="auto" w:sz="4" w:space="0"/>
              <w:right w:val="single" w:color="auto" w:sz="4" w:space="0"/>
            </w:tcBorders>
            <w:vAlign w:val="center"/>
          </w:tcPr>
          <w:p>
            <w:pPr>
              <w:pStyle w:val="32"/>
            </w:pPr>
          </w:p>
        </w:tc>
        <w:tc>
          <w:tcPr>
            <w:tcW w:w="3483" w:type="dxa"/>
            <w:tcBorders>
              <w:top w:val="single" w:color="auto" w:sz="4" w:space="0"/>
              <w:left w:val="single" w:color="auto" w:sz="4" w:space="0"/>
              <w:bottom w:val="single" w:color="auto" w:sz="4" w:space="0"/>
              <w:right w:val="single" w:color="auto" w:sz="4" w:space="0"/>
            </w:tcBorders>
            <w:vAlign w:val="center"/>
          </w:tcPr>
          <w:p>
            <w:pPr>
              <w:pStyle w:val="32"/>
            </w:pPr>
            <w:r>
              <w:rPr>
                <w:rFonts w:hint="eastAsia"/>
              </w:rPr>
              <w:t>监控点</w:t>
            </w:r>
          </w:p>
        </w:tc>
        <w:tc>
          <w:tcPr>
            <w:tcW w:w="4027" w:type="dxa"/>
            <w:tcBorders>
              <w:top w:val="single" w:color="auto" w:sz="4" w:space="0"/>
              <w:left w:val="single" w:color="auto" w:sz="4" w:space="0"/>
              <w:bottom w:val="single" w:color="auto" w:sz="4" w:space="0"/>
              <w:right w:val="single" w:color="auto" w:sz="4" w:space="0"/>
            </w:tcBorders>
            <w:vAlign w:val="center"/>
          </w:tcPr>
          <w:p>
            <w:pPr>
              <w:pStyle w:val="32"/>
            </w:pPr>
            <w:r>
              <w:rPr>
                <w:rFonts w:hint="eastAsia"/>
              </w:rPr>
              <w:t>浓度限值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732" w:type="dxa"/>
            <w:tcBorders>
              <w:top w:val="single" w:color="auto" w:sz="4" w:space="0"/>
              <w:left w:val="single" w:color="auto" w:sz="4" w:space="0"/>
              <w:bottom w:val="single" w:color="auto" w:sz="4" w:space="0"/>
              <w:right w:val="single" w:color="auto" w:sz="4" w:space="0"/>
            </w:tcBorders>
            <w:vAlign w:val="center"/>
          </w:tcPr>
          <w:p>
            <w:pPr>
              <w:pStyle w:val="32"/>
            </w:pPr>
            <w:r>
              <w:rPr>
                <w:rFonts w:hint="eastAsia"/>
              </w:rPr>
              <w:t xml:space="preserve">颗粒物 </w:t>
            </w:r>
          </w:p>
        </w:tc>
        <w:tc>
          <w:tcPr>
            <w:tcW w:w="3483" w:type="dxa"/>
            <w:tcBorders>
              <w:top w:val="single" w:color="auto" w:sz="4" w:space="0"/>
              <w:left w:val="single" w:color="auto" w:sz="4" w:space="0"/>
              <w:bottom w:val="single" w:color="auto" w:sz="4" w:space="0"/>
              <w:right w:val="single" w:color="auto" w:sz="4" w:space="0"/>
            </w:tcBorders>
            <w:vAlign w:val="center"/>
          </w:tcPr>
          <w:p>
            <w:pPr>
              <w:pStyle w:val="32"/>
            </w:pPr>
            <w:r>
              <w:rPr>
                <w:rFonts w:hint="eastAsia"/>
              </w:rPr>
              <w:t>周界外最高点</w:t>
            </w:r>
          </w:p>
        </w:tc>
        <w:tc>
          <w:tcPr>
            <w:tcW w:w="4027" w:type="dxa"/>
            <w:tcBorders>
              <w:top w:val="single" w:color="auto" w:sz="4" w:space="0"/>
              <w:left w:val="single" w:color="auto" w:sz="4" w:space="0"/>
              <w:bottom w:val="single" w:color="auto" w:sz="4" w:space="0"/>
              <w:right w:val="single" w:color="auto" w:sz="4" w:space="0"/>
            </w:tcBorders>
            <w:vAlign w:val="center"/>
          </w:tcPr>
          <w:p>
            <w:pPr>
              <w:pStyle w:val="32"/>
            </w:pPr>
            <w:r>
              <w:t>1.0</w:t>
            </w:r>
          </w:p>
        </w:tc>
      </w:tr>
    </w:tbl>
    <w:p>
      <w:pPr>
        <w:pStyle w:val="7"/>
        <w:ind w:firstLine="480"/>
      </w:pPr>
      <w:r>
        <w:rPr>
          <w:rFonts w:hint="eastAsia"/>
        </w:rPr>
        <w:t>（2）运营期</w:t>
      </w:r>
    </w:p>
    <w:p>
      <w:pPr>
        <w:pStyle w:val="7"/>
        <w:ind w:firstLine="480"/>
      </w:pPr>
      <w:r>
        <w:rPr>
          <w:rFonts w:hint="eastAsia"/>
        </w:rPr>
        <w:t>项目熔炼炉、保温炉、均质炉执行《工业炉窑大气污染物排放标准》（GB9078-1996），其烟尘及生产性粉尘、二氧化硫、氟化物最高允许排放浓度及烟气黑度限值按标准中表2的规定执行；各种工业炉窑（不分其安装时间），无组织排放烟（粉）尘最高允许浓度，按标准中表3规定执行。氮氧化物、</w:t>
      </w:r>
      <w:r>
        <w:rPr>
          <w:rFonts w:hint="eastAsia"/>
          <w:bCs/>
        </w:rPr>
        <w:t>氯化氢、氯气</w:t>
      </w:r>
      <w:r>
        <w:rPr>
          <w:rFonts w:hint="eastAsia"/>
        </w:rPr>
        <w:t>执行《大气污染物综合排放标准》（GB16297-1997）中标准限值要求。具体见表2.3-10。</w:t>
      </w:r>
    </w:p>
    <w:p>
      <w:pPr>
        <w:pStyle w:val="7"/>
        <w:ind w:firstLine="480"/>
      </w:pPr>
      <w:r>
        <w:rPr>
          <w:rFonts w:hint="eastAsia"/>
        </w:rPr>
        <w:t>厂界颗粒物（无组织）、SO</w:t>
      </w:r>
      <w:r>
        <w:rPr>
          <w:rFonts w:hint="eastAsia"/>
          <w:vertAlign w:val="subscript"/>
        </w:rPr>
        <w:t>2</w:t>
      </w:r>
      <w:r>
        <w:rPr>
          <w:rFonts w:hint="eastAsia"/>
        </w:rPr>
        <w:t>（无组织）、氮氧化物（无组织）排放执行《大气污染物综合排放标准》（GB16297-1997）中标准限值要求。</w:t>
      </w:r>
    </w:p>
    <w:p>
      <w:pPr>
        <w:pStyle w:val="7"/>
        <w:ind w:firstLine="480"/>
      </w:pPr>
      <w:r>
        <w:rPr>
          <w:rFonts w:hint="eastAsia"/>
        </w:rPr>
        <w:t>按照标准规定，各种工业炉窑烟囱（或排气筒）最低允许高度为15m。</w:t>
      </w:r>
    </w:p>
    <w:p>
      <w:pPr>
        <w:pStyle w:val="31"/>
      </w:pPr>
      <w:r>
        <w:rPr>
          <w:rFonts w:hint="eastAsia"/>
        </w:rPr>
        <w:t>表2.3-10  运营期废气</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1189"/>
        <w:gridCol w:w="1281"/>
        <w:gridCol w:w="958"/>
        <w:gridCol w:w="1292"/>
        <w:gridCol w:w="992"/>
        <w:gridCol w:w="13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污染物</w:t>
            </w:r>
          </w:p>
        </w:tc>
        <w:tc>
          <w:tcPr>
            <w:tcW w:w="697"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最高允许浓度（mg/m</w:t>
            </w:r>
            <w:r>
              <w:rPr>
                <w:vertAlign w:val="superscript"/>
              </w:rPr>
              <w:t>3</w:t>
            </w:r>
            <w:r>
              <w:t>）</w:t>
            </w:r>
          </w:p>
        </w:tc>
        <w:tc>
          <w:tcPr>
            <w:tcW w:w="1313" w:type="pct"/>
            <w:gridSpan w:val="2"/>
            <w:tcBorders>
              <w:top w:val="single" w:color="auto" w:sz="4" w:space="0"/>
              <w:left w:val="single" w:color="auto" w:sz="4" w:space="0"/>
              <w:bottom w:val="single" w:color="auto" w:sz="4" w:space="0"/>
              <w:right w:val="single" w:color="auto" w:sz="4" w:space="0"/>
            </w:tcBorders>
            <w:vAlign w:val="center"/>
          </w:tcPr>
          <w:p>
            <w:pPr>
              <w:pStyle w:val="32"/>
              <w:spacing w:before="0" w:after="0"/>
            </w:pPr>
            <w:r>
              <w:t>最高允许排放速率（kg/h）</w:t>
            </w:r>
          </w:p>
        </w:tc>
        <w:tc>
          <w:tcPr>
            <w:tcW w:w="758"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无组织排放监控浓度（mg/m</w:t>
            </w:r>
            <w:r>
              <w:rPr>
                <w:vertAlign w:val="superscript"/>
              </w:rPr>
              <w:t>3</w:t>
            </w:r>
            <w:r>
              <w:t>）</w:t>
            </w:r>
          </w:p>
        </w:tc>
        <w:tc>
          <w:tcPr>
            <w:tcW w:w="582"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污染源工段</w:t>
            </w:r>
          </w:p>
        </w:tc>
        <w:tc>
          <w:tcPr>
            <w:tcW w:w="783"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697"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751"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排气筒（m）</w:t>
            </w:r>
          </w:p>
        </w:tc>
        <w:tc>
          <w:tcPr>
            <w:tcW w:w="56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二级</w:t>
            </w:r>
          </w:p>
        </w:tc>
        <w:tc>
          <w:tcPr>
            <w:tcW w:w="758"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582"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78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right w:val="single" w:color="auto" w:sz="4" w:space="0"/>
            </w:tcBorders>
            <w:vAlign w:val="center"/>
          </w:tcPr>
          <w:p>
            <w:pPr>
              <w:pStyle w:val="32"/>
              <w:spacing w:before="0" w:after="0"/>
            </w:pPr>
            <w:r>
              <w:t>颗粒物</w:t>
            </w:r>
          </w:p>
        </w:tc>
        <w:tc>
          <w:tcPr>
            <w:tcW w:w="697" w:type="pct"/>
            <w:tcBorders>
              <w:top w:val="single" w:color="auto" w:sz="4" w:space="0"/>
              <w:left w:val="single" w:color="auto" w:sz="4" w:space="0"/>
              <w:right w:val="single" w:color="auto" w:sz="4" w:space="0"/>
            </w:tcBorders>
            <w:vAlign w:val="center"/>
          </w:tcPr>
          <w:p>
            <w:pPr>
              <w:pStyle w:val="32"/>
              <w:spacing w:before="0" w:after="0"/>
            </w:pPr>
            <w:r>
              <w:t>120</w:t>
            </w:r>
          </w:p>
        </w:tc>
        <w:tc>
          <w:tcPr>
            <w:tcW w:w="751" w:type="pct"/>
            <w:tcBorders>
              <w:top w:val="single" w:color="auto" w:sz="4" w:space="0"/>
              <w:left w:val="single" w:color="auto" w:sz="4" w:space="0"/>
              <w:right w:val="single" w:color="auto" w:sz="4" w:space="0"/>
            </w:tcBorders>
            <w:vAlign w:val="center"/>
          </w:tcPr>
          <w:p>
            <w:pPr>
              <w:pStyle w:val="33"/>
            </w:pPr>
            <w:r>
              <w:t>15</w:t>
            </w:r>
          </w:p>
          <w:p>
            <w:pPr>
              <w:pStyle w:val="33"/>
            </w:pPr>
            <w:r>
              <w:t>20</w:t>
            </w:r>
          </w:p>
          <w:p>
            <w:pPr>
              <w:pStyle w:val="33"/>
            </w:pPr>
            <w:r>
              <w:rPr>
                <w:rFonts w:hint="eastAsia"/>
              </w:rPr>
              <w:t>25</w:t>
            </w:r>
          </w:p>
          <w:p>
            <w:pPr>
              <w:pStyle w:val="33"/>
            </w:pPr>
            <w:r>
              <w:rPr>
                <w:rFonts w:hint="eastAsia"/>
              </w:rPr>
              <w:t>30</w:t>
            </w:r>
          </w:p>
          <w:p>
            <w:pPr>
              <w:pStyle w:val="33"/>
            </w:pPr>
            <w:r>
              <w:rPr>
                <w:rFonts w:hint="eastAsia"/>
              </w:rPr>
              <w:t>35</w:t>
            </w:r>
          </w:p>
        </w:tc>
        <w:tc>
          <w:tcPr>
            <w:tcW w:w="562" w:type="pct"/>
            <w:tcBorders>
              <w:top w:val="single" w:color="auto" w:sz="4" w:space="0"/>
              <w:left w:val="single" w:color="auto" w:sz="4" w:space="0"/>
              <w:right w:val="single" w:color="auto" w:sz="4" w:space="0"/>
            </w:tcBorders>
            <w:vAlign w:val="center"/>
          </w:tcPr>
          <w:p>
            <w:pPr>
              <w:pStyle w:val="33"/>
            </w:pPr>
            <w:r>
              <w:t>3.5</w:t>
            </w:r>
          </w:p>
          <w:p>
            <w:pPr>
              <w:pStyle w:val="33"/>
            </w:pPr>
            <w:r>
              <w:t>5.9</w:t>
            </w:r>
          </w:p>
          <w:p>
            <w:pPr>
              <w:pStyle w:val="33"/>
            </w:pPr>
            <w:r>
              <w:rPr>
                <w:rFonts w:hint="eastAsia"/>
              </w:rPr>
              <w:t>14.45</w:t>
            </w:r>
          </w:p>
          <w:p>
            <w:pPr>
              <w:pStyle w:val="33"/>
            </w:pPr>
            <w:r>
              <w:rPr>
                <w:rFonts w:hint="eastAsia"/>
              </w:rPr>
              <w:t>23</w:t>
            </w:r>
          </w:p>
          <w:p>
            <w:pPr>
              <w:pStyle w:val="33"/>
            </w:pPr>
            <w:r>
              <w:rPr>
                <w:rFonts w:hint="eastAsia"/>
              </w:rPr>
              <w:t>31</w:t>
            </w:r>
          </w:p>
        </w:tc>
        <w:tc>
          <w:tcPr>
            <w:tcW w:w="758" w:type="pct"/>
            <w:tcBorders>
              <w:top w:val="single" w:color="auto" w:sz="4" w:space="0"/>
              <w:left w:val="single" w:color="auto" w:sz="4" w:space="0"/>
              <w:right w:val="single" w:color="auto" w:sz="4" w:space="0"/>
            </w:tcBorders>
            <w:vAlign w:val="center"/>
          </w:tcPr>
          <w:p>
            <w:pPr>
              <w:pStyle w:val="32"/>
              <w:spacing w:before="0" w:after="0"/>
            </w:pPr>
            <w:r>
              <w:t>周界外浓度最高点1.0</w:t>
            </w:r>
          </w:p>
        </w:tc>
        <w:tc>
          <w:tcPr>
            <w:tcW w:w="582"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全厂污染排放源</w:t>
            </w:r>
          </w:p>
        </w:tc>
        <w:tc>
          <w:tcPr>
            <w:tcW w:w="783" w:type="pct"/>
            <w:vMerge w:val="restart"/>
            <w:tcBorders>
              <w:top w:val="single" w:color="auto" w:sz="4" w:space="0"/>
              <w:left w:val="single" w:color="auto" w:sz="4" w:space="0"/>
              <w:right w:val="single" w:color="auto" w:sz="4" w:space="0"/>
            </w:tcBorders>
            <w:vAlign w:val="center"/>
          </w:tcPr>
          <w:p>
            <w:pPr>
              <w:pStyle w:val="32"/>
              <w:spacing w:before="0" w:after="0"/>
            </w:pPr>
            <w: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1"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二氧化硫</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550</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r>
              <w:t>15</w:t>
            </w:r>
          </w:p>
          <w:p>
            <w:pPr>
              <w:pStyle w:val="33"/>
            </w:pPr>
            <w:r>
              <w:t>20</w:t>
            </w:r>
          </w:p>
          <w:p>
            <w:pPr>
              <w:pStyle w:val="33"/>
            </w:pPr>
            <w:r>
              <w:rPr>
                <w:rFonts w:hint="eastAsia"/>
              </w:rPr>
              <w:t>25</w:t>
            </w:r>
          </w:p>
          <w:p>
            <w:pPr>
              <w:pStyle w:val="33"/>
            </w:pPr>
            <w:r>
              <w:t>30</w:t>
            </w:r>
          </w:p>
          <w:p>
            <w:pPr>
              <w:pStyle w:val="33"/>
            </w:pPr>
            <w:r>
              <w:rPr>
                <w:rFonts w:hint="eastAsia"/>
              </w:rPr>
              <w:t>35</w:t>
            </w: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r>
              <w:t>2.6</w:t>
            </w:r>
          </w:p>
          <w:p>
            <w:pPr>
              <w:pStyle w:val="33"/>
            </w:pPr>
            <w:r>
              <w:t>4.3</w:t>
            </w:r>
          </w:p>
          <w:p>
            <w:pPr>
              <w:pStyle w:val="33"/>
            </w:pPr>
            <w:r>
              <w:rPr>
                <w:rFonts w:hint="eastAsia"/>
              </w:rPr>
              <w:t>9.65</w:t>
            </w:r>
          </w:p>
          <w:p>
            <w:pPr>
              <w:pStyle w:val="33"/>
            </w:pPr>
            <w:r>
              <w:t>15</w:t>
            </w:r>
          </w:p>
          <w:p>
            <w:pPr>
              <w:pStyle w:val="33"/>
            </w:pPr>
            <w:r>
              <w:rPr>
                <w:rFonts w:hint="eastAsia"/>
              </w:rPr>
              <w:t>20</w:t>
            </w: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周界外浓度最高点0.40</w:t>
            </w:r>
          </w:p>
        </w:tc>
        <w:tc>
          <w:tcPr>
            <w:tcW w:w="582" w:type="pct"/>
            <w:vMerge w:val="restart"/>
            <w:tcBorders>
              <w:top w:val="single" w:color="auto" w:sz="4" w:space="0"/>
              <w:left w:val="single" w:color="auto" w:sz="4" w:space="0"/>
              <w:right w:val="single" w:color="auto" w:sz="4" w:space="0"/>
            </w:tcBorders>
            <w:vAlign w:val="center"/>
          </w:tcPr>
          <w:p>
            <w:pPr>
              <w:pStyle w:val="32"/>
              <w:spacing w:before="0" w:after="0"/>
            </w:pPr>
            <w:r>
              <w:t>/</w:t>
            </w:r>
          </w:p>
        </w:tc>
        <w:tc>
          <w:tcPr>
            <w:tcW w:w="783"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氮氧化物</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240</w:t>
            </w:r>
          </w:p>
          <w:p>
            <w:pPr>
              <w:pStyle w:val="32"/>
              <w:spacing w:before="0" w:after="0"/>
            </w:pPr>
            <w:r>
              <w:t>（硝酸使用和其他）</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r>
              <w:t>15</w:t>
            </w:r>
          </w:p>
          <w:p>
            <w:pPr>
              <w:pStyle w:val="33"/>
            </w:pPr>
            <w:r>
              <w:t>20</w:t>
            </w:r>
          </w:p>
          <w:p>
            <w:pPr>
              <w:pStyle w:val="33"/>
            </w:pPr>
            <w:r>
              <w:rPr>
                <w:rFonts w:hint="eastAsia"/>
              </w:rPr>
              <w:t>25</w:t>
            </w:r>
          </w:p>
          <w:p>
            <w:pPr>
              <w:pStyle w:val="33"/>
            </w:pPr>
            <w:r>
              <w:t>30</w:t>
            </w:r>
          </w:p>
          <w:p>
            <w:pPr>
              <w:pStyle w:val="33"/>
            </w:pPr>
            <w:r>
              <w:rPr>
                <w:rFonts w:hint="eastAsia"/>
              </w:rPr>
              <w:t>35</w:t>
            </w: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r>
              <w:t>0.77</w:t>
            </w:r>
          </w:p>
          <w:p>
            <w:pPr>
              <w:pStyle w:val="33"/>
            </w:pPr>
            <w:r>
              <w:t>1.3</w:t>
            </w:r>
          </w:p>
          <w:p>
            <w:pPr>
              <w:pStyle w:val="33"/>
            </w:pPr>
            <w:r>
              <w:rPr>
                <w:rFonts w:hint="eastAsia"/>
              </w:rPr>
              <w:t>2.85</w:t>
            </w:r>
          </w:p>
          <w:p>
            <w:pPr>
              <w:pStyle w:val="33"/>
            </w:pPr>
            <w:r>
              <w:t>4.4</w:t>
            </w:r>
          </w:p>
          <w:p>
            <w:pPr>
              <w:pStyle w:val="33"/>
            </w:pPr>
            <w:r>
              <w:rPr>
                <w:rFonts w:hint="eastAsia"/>
              </w:rPr>
              <w:t>5.95</w:t>
            </w: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周界外浓度最高点0.12</w:t>
            </w:r>
          </w:p>
        </w:tc>
        <w:tc>
          <w:tcPr>
            <w:tcW w:w="582" w:type="pct"/>
            <w:vMerge w:val="continue"/>
            <w:tcBorders>
              <w:left w:val="single" w:color="auto" w:sz="4" w:space="0"/>
              <w:right w:val="single" w:color="auto" w:sz="4" w:space="0"/>
            </w:tcBorders>
            <w:vAlign w:val="center"/>
          </w:tcPr>
          <w:p>
            <w:pPr>
              <w:pStyle w:val="32"/>
              <w:spacing w:before="0" w:after="0"/>
            </w:pPr>
          </w:p>
        </w:tc>
        <w:tc>
          <w:tcPr>
            <w:tcW w:w="783"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氯化氢</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100</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r>
              <w:t>15</w:t>
            </w:r>
          </w:p>
          <w:p>
            <w:pPr>
              <w:pStyle w:val="33"/>
            </w:pPr>
            <w:r>
              <w:t>20</w:t>
            </w:r>
          </w:p>
          <w:p>
            <w:pPr>
              <w:pStyle w:val="33"/>
            </w:pPr>
            <w:r>
              <w:t>30</w:t>
            </w:r>
          </w:p>
          <w:p>
            <w:pPr>
              <w:pStyle w:val="33"/>
            </w:pPr>
            <w:r>
              <w:rPr>
                <w:rFonts w:hint="eastAsia"/>
              </w:rPr>
              <w:t>35</w:t>
            </w: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r>
              <w:t>0.26</w:t>
            </w:r>
          </w:p>
          <w:p>
            <w:pPr>
              <w:pStyle w:val="33"/>
            </w:pPr>
            <w:r>
              <w:t>0.43</w:t>
            </w:r>
          </w:p>
          <w:p>
            <w:pPr>
              <w:pStyle w:val="33"/>
            </w:pPr>
            <w:r>
              <w:t>1.4</w:t>
            </w:r>
            <w:r>
              <w:rPr>
                <w:rFonts w:hint="eastAsia"/>
              </w:rPr>
              <w:t>0</w:t>
            </w:r>
          </w:p>
          <w:p>
            <w:pPr>
              <w:pStyle w:val="33"/>
            </w:pPr>
            <w:r>
              <w:rPr>
                <w:rFonts w:hint="eastAsia"/>
              </w:rPr>
              <w:t>2</w:t>
            </w: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周界外浓度最高点0.2</w:t>
            </w:r>
          </w:p>
        </w:tc>
        <w:tc>
          <w:tcPr>
            <w:tcW w:w="582" w:type="pct"/>
            <w:vMerge w:val="continue"/>
            <w:tcBorders>
              <w:left w:val="single" w:color="auto" w:sz="4" w:space="0"/>
              <w:right w:val="single" w:color="auto" w:sz="4" w:space="0"/>
            </w:tcBorders>
            <w:vAlign w:val="center"/>
          </w:tcPr>
          <w:p>
            <w:pPr>
              <w:pStyle w:val="32"/>
              <w:spacing w:before="0" w:after="0"/>
            </w:pPr>
          </w:p>
        </w:tc>
        <w:tc>
          <w:tcPr>
            <w:tcW w:w="783"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氟化物</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9</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r>
              <w:t>15</w:t>
            </w:r>
          </w:p>
          <w:p>
            <w:pPr>
              <w:pStyle w:val="33"/>
            </w:pPr>
            <w:r>
              <w:t>20</w:t>
            </w:r>
          </w:p>
          <w:p>
            <w:pPr>
              <w:pStyle w:val="33"/>
            </w:pPr>
            <w:r>
              <w:t>30</w:t>
            </w:r>
          </w:p>
          <w:p>
            <w:pPr>
              <w:pStyle w:val="33"/>
            </w:pPr>
            <w:r>
              <w:rPr>
                <w:rFonts w:hint="eastAsia"/>
              </w:rPr>
              <w:t>35</w:t>
            </w: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r>
              <w:t>0.10</w:t>
            </w:r>
          </w:p>
          <w:p>
            <w:pPr>
              <w:pStyle w:val="33"/>
            </w:pPr>
            <w:r>
              <w:t>0.17</w:t>
            </w:r>
          </w:p>
          <w:p>
            <w:pPr>
              <w:pStyle w:val="33"/>
            </w:pPr>
            <w:r>
              <w:t>0.59</w:t>
            </w:r>
          </w:p>
          <w:p>
            <w:pPr>
              <w:pStyle w:val="33"/>
            </w:pPr>
            <w:r>
              <w:rPr>
                <w:rFonts w:hint="eastAsia"/>
              </w:rPr>
              <w:t>0.795</w:t>
            </w: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周界外浓度最高点0.02</w:t>
            </w:r>
          </w:p>
        </w:tc>
        <w:tc>
          <w:tcPr>
            <w:tcW w:w="582" w:type="pct"/>
            <w:vMerge w:val="continue"/>
            <w:tcBorders>
              <w:left w:val="single" w:color="auto" w:sz="4" w:space="0"/>
              <w:right w:val="single" w:color="auto" w:sz="4" w:space="0"/>
            </w:tcBorders>
            <w:vAlign w:val="center"/>
          </w:tcPr>
          <w:p>
            <w:pPr>
              <w:pStyle w:val="32"/>
              <w:spacing w:before="0" w:after="0"/>
            </w:pPr>
          </w:p>
        </w:tc>
        <w:tc>
          <w:tcPr>
            <w:tcW w:w="783" w:type="pct"/>
            <w:vMerge w:val="continue"/>
            <w:tcBorders>
              <w:left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氯气</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65</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r>
              <w:t>2</w:t>
            </w:r>
            <w:r>
              <w:rPr>
                <w:rFonts w:hint="eastAsia"/>
              </w:rPr>
              <w:t>5</w:t>
            </w:r>
          </w:p>
          <w:p>
            <w:pPr>
              <w:pStyle w:val="33"/>
            </w:pPr>
            <w:r>
              <w:t>30</w:t>
            </w:r>
          </w:p>
          <w:p>
            <w:pPr>
              <w:pStyle w:val="33"/>
            </w:pPr>
            <w:r>
              <w:rPr>
                <w:rFonts w:hint="eastAsia"/>
              </w:rPr>
              <w:t>35</w:t>
            </w: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r>
              <w:t>0.</w:t>
            </w:r>
            <w:r>
              <w:rPr>
                <w:rFonts w:hint="eastAsia"/>
              </w:rPr>
              <w:t>52</w:t>
            </w:r>
          </w:p>
          <w:p>
            <w:pPr>
              <w:pStyle w:val="33"/>
            </w:pPr>
            <w:r>
              <w:t>0.</w:t>
            </w:r>
            <w:r>
              <w:rPr>
                <w:rFonts w:hint="eastAsia"/>
              </w:rPr>
              <w:t>87</w:t>
            </w:r>
          </w:p>
          <w:p>
            <w:pPr>
              <w:pStyle w:val="33"/>
            </w:pPr>
            <w:r>
              <w:rPr>
                <w:rFonts w:hint="eastAsia"/>
              </w:rPr>
              <w:t>1.885</w:t>
            </w: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周界外浓度最高点0.</w:t>
            </w:r>
            <w:r>
              <w:rPr>
                <w:rFonts w:hint="eastAsia"/>
              </w:rPr>
              <w:t>40</w:t>
            </w:r>
          </w:p>
        </w:tc>
        <w:tc>
          <w:tcPr>
            <w:tcW w:w="582" w:type="pct"/>
            <w:vMerge w:val="continue"/>
            <w:tcBorders>
              <w:left w:val="single" w:color="auto" w:sz="4" w:space="0"/>
              <w:bottom w:val="single" w:color="auto" w:sz="4" w:space="0"/>
              <w:right w:val="single" w:color="auto" w:sz="4" w:space="0"/>
            </w:tcBorders>
            <w:vAlign w:val="center"/>
          </w:tcPr>
          <w:p>
            <w:pPr>
              <w:pStyle w:val="32"/>
              <w:spacing w:before="0" w:after="0"/>
            </w:pPr>
          </w:p>
        </w:tc>
        <w:tc>
          <w:tcPr>
            <w:tcW w:w="783" w:type="pct"/>
            <w:vMerge w:val="continue"/>
            <w:tcBorders>
              <w:left w:val="single" w:color="auto" w:sz="4" w:space="0"/>
              <w:bottom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二氧化硫</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850</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582"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熔炼炉、保温炉</w:t>
            </w:r>
            <w:r>
              <w:rPr>
                <w:rFonts w:hint="eastAsia"/>
              </w:rPr>
              <w:t>、均质炉</w:t>
            </w:r>
            <w:r>
              <w:t>等</w:t>
            </w:r>
          </w:p>
        </w:tc>
        <w:tc>
          <w:tcPr>
            <w:tcW w:w="783"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《工业炉窑大气污染物排放标准</w:t>
            </w:r>
            <w:r>
              <w:rPr>
                <w:rFonts w:hint="eastAsia"/>
              </w:rPr>
              <w:t>》（</w:t>
            </w:r>
            <w:r>
              <w:t>GB9078-1996</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氟化物</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6</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582"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78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烟（粉）尘</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100</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582"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78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865"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烟气黑度（林格曼级）</w:t>
            </w:r>
          </w:p>
        </w:tc>
        <w:tc>
          <w:tcPr>
            <w:tcW w:w="697"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w:t>
            </w:r>
          </w:p>
        </w:tc>
        <w:tc>
          <w:tcPr>
            <w:tcW w:w="751" w:type="pct"/>
            <w:tcBorders>
              <w:top w:val="single" w:color="auto" w:sz="4" w:space="0"/>
              <w:left w:val="single" w:color="auto" w:sz="4" w:space="0"/>
              <w:bottom w:val="single" w:color="auto" w:sz="4" w:space="0"/>
              <w:right w:val="single" w:color="auto" w:sz="4" w:space="0"/>
            </w:tcBorders>
            <w:vAlign w:val="center"/>
          </w:tcPr>
          <w:p>
            <w:pPr>
              <w:pStyle w:val="33"/>
            </w:pPr>
          </w:p>
        </w:tc>
        <w:tc>
          <w:tcPr>
            <w:tcW w:w="562" w:type="pct"/>
            <w:tcBorders>
              <w:top w:val="single" w:color="auto" w:sz="4" w:space="0"/>
              <w:left w:val="single" w:color="auto" w:sz="4" w:space="0"/>
              <w:bottom w:val="single" w:color="auto" w:sz="4" w:space="0"/>
              <w:right w:val="single" w:color="auto" w:sz="4" w:space="0"/>
            </w:tcBorders>
            <w:vAlign w:val="center"/>
          </w:tcPr>
          <w:p>
            <w:pPr>
              <w:pStyle w:val="33"/>
            </w:pPr>
          </w:p>
        </w:tc>
        <w:tc>
          <w:tcPr>
            <w:tcW w:w="758" w:type="pct"/>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582"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78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r>
    </w:tbl>
    <w:p>
      <w:pPr>
        <w:pStyle w:val="7"/>
        <w:ind w:firstLine="480"/>
      </w:pPr>
    </w:p>
    <w:p>
      <w:pPr>
        <w:pStyle w:val="7"/>
        <w:ind w:firstLine="480"/>
      </w:pPr>
      <w:r>
        <w:t>项目食堂使用电、天然气等清洁燃料，食堂油烟排放执行GB18483-2001《饮食业油烟排放标准》，标准值见表</w:t>
      </w:r>
      <w:r>
        <w:rPr>
          <w:rFonts w:hint="eastAsia"/>
        </w:rPr>
        <w:t>2.3-11</w:t>
      </w:r>
      <w:r>
        <w:t>。</w:t>
      </w:r>
    </w:p>
    <w:p>
      <w:pPr>
        <w:pStyle w:val="31"/>
      </w:pPr>
      <w:r>
        <w:t>表</w:t>
      </w:r>
      <w:r>
        <w:rPr>
          <w:rFonts w:hint="eastAsia"/>
        </w:rPr>
        <w:t xml:space="preserve">2.3-11 </w:t>
      </w:r>
      <w:r>
        <w:t xml:space="preserve"> 饮食业单位排放标准及油烟最低去除率</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45"/>
        <w:gridCol w:w="1928"/>
        <w:gridCol w:w="1375"/>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80" w:type="pct"/>
            <w:tcBorders>
              <w:top w:val="single" w:color="auto" w:sz="4" w:space="0"/>
              <w:left w:val="single" w:color="auto" w:sz="4" w:space="0"/>
              <w:bottom w:val="single" w:color="auto" w:sz="4" w:space="0"/>
              <w:right w:val="single" w:color="auto" w:sz="4" w:space="0"/>
            </w:tcBorders>
          </w:tcPr>
          <w:p>
            <w:pPr>
              <w:pStyle w:val="33"/>
            </w:pPr>
            <w:r>
              <w:t>规模</w:t>
            </w:r>
          </w:p>
        </w:tc>
        <w:tc>
          <w:tcPr>
            <w:tcW w:w="1131" w:type="pct"/>
            <w:tcBorders>
              <w:top w:val="single" w:color="auto" w:sz="4" w:space="0"/>
              <w:left w:val="single" w:color="auto" w:sz="4" w:space="0"/>
              <w:bottom w:val="single" w:color="auto" w:sz="4" w:space="0"/>
              <w:right w:val="single" w:color="auto" w:sz="4" w:space="0"/>
            </w:tcBorders>
          </w:tcPr>
          <w:p>
            <w:pPr>
              <w:pStyle w:val="33"/>
            </w:pPr>
            <w:r>
              <w:t>小型</w:t>
            </w:r>
          </w:p>
        </w:tc>
        <w:tc>
          <w:tcPr>
            <w:tcW w:w="807" w:type="pct"/>
            <w:tcBorders>
              <w:top w:val="single" w:color="auto" w:sz="4" w:space="0"/>
              <w:left w:val="single" w:color="auto" w:sz="4" w:space="0"/>
              <w:bottom w:val="single" w:color="auto" w:sz="4" w:space="0"/>
              <w:right w:val="single" w:color="auto" w:sz="4" w:space="0"/>
            </w:tcBorders>
          </w:tcPr>
          <w:p>
            <w:pPr>
              <w:pStyle w:val="33"/>
            </w:pPr>
            <w:r>
              <w:t>中型</w:t>
            </w:r>
          </w:p>
        </w:tc>
        <w:tc>
          <w:tcPr>
            <w:tcW w:w="982" w:type="pct"/>
            <w:tcBorders>
              <w:top w:val="single" w:color="auto" w:sz="4" w:space="0"/>
              <w:left w:val="single" w:color="auto" w:sz="4" w:space="0"/>
              <w:bottom w:val="single" w:color="auto" w:sz="4" w:space="0"/>
              <w:right w:val="single" w:color="auto" w:sz="4" w:space="0"/>
            </w:tcBorders>
          </w:tcPr>
          <w:p>
            <w:pPr>
              <w:pStyle w:val="33"/>
            </w:pPr>
            <w:r>
              <w:t>大型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0" w:type="pct"/>
            <w:tcBorders>
              <w:top w:val="single" w:color="auto" w:sz="4" w:space="0"/>
              <w:left w:val="single" w:color="auto" w:sz="4" w:space="0"/>
              <w:bottom w:val="single" w:color="auto" w:sz="4" w:space="0"/>
              <w:right w:val="single" w:color="auto" w:sz="4" w:space="0"/>
            </w:tcBorders>
          </w:tcPr>
          <w:p>
            <w:pPr>
              <w:pStyle w:val="33"/>
            </w:pPr>
            <w:r>
              <w:t>最高允许排放浓度（mg/m</w:t>
            </w:r>
            <w:r>
              <w:rPr>
                <w:vertAlign w:val="superscript"/>
              </w:rPr>
              <w:t>3</w:t>
            </w:r>
            <w:r>
              <w:t>）</w:t>
            </w:r>
          </w:p>
        </w:tc>
        <w:tc>
          <w:tcPr>
            <w:tcW w:w="2920" w:type="pct"/>
            <w:gridSpan w:val="3"/>
            <w:tcBorders>
              <w:top w:val="single" w:color="auto" w:sz="4" w:space="0"/>
              <w:left w:val="single" w:color="auto" w:sz="4" w:space="0"/>
              <w:bottom w:val="single" w:color="auto" w:sz="4" w:space="0"/>
              <w:right w:val="single" w:color="auto" w:sz="4" w:space="0"/>
            </w:tcBorders>
          </w:tcPr>
          <w:p>
            <w:pPr>
              <w:pStyle w:val="33"/>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0" w:type="pct"/>
            <w:tcBorders>
              <w:top w:val="single" w:color="auto" w:sz="4" w:space="0"/>
              <w:left w:val="single" w:color="auto" w:sz="4" w:space="0"/>
              <w:bottom w:val="single" w:color="auto" w:sz="4" w:space="0"/>
              <w:right w:val="single" w:color="auto" w:sz="4" w:space="0"/>
            </w:tcBorders>
          </w:tcPr>
          <w:p>
            <w:pPr>
              <w:pStyle w:val="33"/>
            </w:pPr>
            <w:r>
              <w:t>净化设施最低去除效率（%）</w:t>
            </w:r>
          </w:p>
        </w:tc>
        <w:tc>
          <w:tcPr>
            <w:tcW w:w="1131" w:type="pct"/>
            <w:tcBorders>
              <w:top w:val="single" w:color="auto" w:sz="4" w:space="0"/>
              <w:left w:val="single" w:color="auto" w:sz="4" w:space="0"/>
              <w:bottom w:val="single" w:color="auto" w:sz="4" w:space="0"/>
              <w:right w:val="single" w:color="auto" w:sz="4" w:space="0"/>
            </w:tcBorders>
          </w:tcPr>
          <w:p>
            <w:pPr>
              <w:pStyle w:val="33"/>
            </w:pPr>
            <w:r>
              <w:t>60</w:t>
            </w:r>
          </w:p>
        </w:tc>
        <w:tc>
          <w:tcPr>
            <w:tcW w:w="807" w:type="pct"/>
            <w:tcBorders>
              <w:top w:val="single" w:color="auto" w:sz="4" w:space="0"/>
              <w:left w:val="single" w:color="auto" w:sz="4" w:space="0"/>
              <w:bottom w:val="single" w:color="auto" w:sz="4" w:space="0"/>
              <w:right w:val="single" w:color="auto" w:sz="4" w:space="0"/>
            </w:tcBorders>
          </w:tcPr>
          <w:p>
            <w:pPr>
              <w:pStyle w:val="33"/>
            </w:pPr>
            <w:r>
              <w:t>75</w:t>
            </w:r>
          </w:p>
        </w:tc>
        <w:tc>
          <w:tcPr>
            <w:tcW w:w="982" w:type="pct"/>
            <w:tcBorders>
              <w:top w:val="single" w:color="auto" w:sz="4" w:space="0"/>
              <w:left w:val="single" w:color="auto" w:sz="4" w:space="0"/>
              <w:bottom w:val="single" w:color="auto" w:sz="4" w:space="0"/>
              <w:right w:val="single" w:color="auto" w:sz="4" w:space="0"/>
            </w:tcBorders>
          </w:tcPr>
          <w:p>
            <w:pPr>
              <w:pStyle w:val="33"/>
            </w:pPr>
            <w:r>
              <w:t>85</w:t>
            </w:r>
          </w:p>
        </w:tc>
      </w:tr>
    </w:tbl>
    <w:p>
      <w:pPr>
        <w:pStyle w:val="7"/>
        <w:ind w:firstLine="482"/>
        <w:rPr>
          <w:b/>
          <w:bCs/>
        </w:rPr>
      </w:pPr>
    </w:p>
    <w:p>
      <w:pPr>
        <w:pStyle w:val="7"/>
        <w:ind w:firstLine="482"/>
        <w:rPr>
          <w:b/>
          <w:bCs/>
        </w:rPr>
      </w:pPr>
      <w:r>
        <w:rPr>
          <w:rFonts w:hint="eastAsia"/>
          <w:b/>
          <w:bCs/>
        </w:rPr>
        <w:t>2、废水排放标准</w:t>
      </w:r>
    </w:p>
    <w:p>
      <w:pPr>
        <w:pStyle w:val="7"/>
        <w:ind w:firstLine="482"/>
        <w:rPr>
          <w:rFonts w:hint="eastAsia"/>
        </w:rPr>
      </w:pPr>
      <w:r>
        <w:rPr>
          <w:rFonts w:hint="eastAsia"/>
          <w:b/>
          <w:bCs/>
        </w:rPr>
        <w:t>（1）初期雨水：</w:t>
      </w:r>
      <w:r>
        <w:rPr>
          <w:rFonts w:hint="eastAsia"/>
        </w:rPr>
        <w:t>营运期初期雨水处理达标后全部回用于厂区绿化及道路清扫，剩余部分用于冷却循环系统补充水，回用水水质标准执行</w:t>
      </w:r>
      <w:r>
        <w:t>《城市污水再生利用 城市杂用水水质》</w:t>
      </w:r>
      <w:r>
        <w:rPr>
          <w:rFonts w:hint="eastAsia"/>
        </w:rPr>
        <w:t>（GB/T18920-2020）</w:t>
      </w:r>
      <w:r>
        <w:t>中城市绿化用水标准</w:t>
      </w:r>
      <w:r>
        <w:rPr>
          <w:rFonts w:hint="eastAsia"/>
        </w:rPr>
        <w:t>以及《城市污水再生利用工业用水水质》（GB/T19923-2005）中低值。标准值见表2.3-12。</w:t>
      </w:r>
    </w:p>
    <w:p>
      <w:pPr>
        <w:pStyle w:val="31"/>
        <w:bidi w:val="0"/>
      </w:pPr>
      <w:r>
        <w:t>表</w:t>
      </w:r>
      <w:r>
        <w:rPr>
          <w:rFonts w:hint="eastAsia"/>
        </w:rPr>
        <w:t>2.3-12</w:t>
      </w:r>
      <w:r>
        <w:t xml:space="preserve">  项目污水处理站出口水质标准</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248"/>
        <w:gridCol w:w="2307"/>
        <w:gridCol w:w="2181"/>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序号</w:t>
            </w:r>
          </w:p>
        </w:tc>
        <w:tc>
          <w:tcPr>
            <w:tcW w:w="1319" w:type="pct"/>
            <w:tcBorders>
              <w:top w:val="single" w:color="auto" w:sz="4" w:space="0"/>
              <w:left w:val="single" w:color="auto" w:sz="4" w:space="0"/>
              <w:bottom w:val="single" w:color="auto" w:sz="4" w:space="0"/>
              <w:right w:val="single" w:color="auto" w:sz="4" w:space="0"/>
              <w:tl2br w:val="single" w:color="auto" w:sz="4" w:space="0"/>
            </w:tcBorders>
            <w:vAlign w:val="center"/>
          </w:tcPr>
          <w:p>
            <w:pPr>
              <w:pStyle w:val="32"/>
              <w:spacing w:before="0" w:after="0"/>
            </w:pPr>
            <w:r>
              <w:t xml:space="preserve">      </w:t>
            </w:r>
            <w:r>
              <w:rPr>
                <w:rFonts w:hint="eastAsia"/>
              </w:rPr>
              <w:t xml:space="preserve">  </w:t>
            </w:r>
            <w:r>
              <w:t>项目</w:t>
            </w:r>
          </w:p>
          <w:p>
            <w:pPr>
              <w:pStyle w:val="32"/>
              <w:spacing w:before="0" w:after="0"/>
              <w:jc w:val="both"/>
            </w:pPr>
            <w:r>
              <w:t>指标</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《城市污水再生利用  城市杂用水水质》</w:t>
            </w:r>
            <w:r>
              <w:rPr>
                <w:rFonts w:hint="eastAsia"/>
              </w:rPr>
              <w:t>（GB/T18920-2020）城市</w:t>
            </w:r>
            <w:r>
              <w:t>绿化</w:t>
            </w:r>
            <w:r>
              <w:rPr>
                <w:rFonts w:hint="eastAsia"/>
              </w:rPr>
              <w:t>、道路清扫、消防、建筑施工</w:t>
            </w:r>
            <w:r>
              <w:t>标准</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r>
              <w:t>城市污水再生利用  工业用水水质</w:t>
            </w:r>
            <w:r>
              <w:rPr>
                <w:rFonts w:hint="eastAsia"/>
              </w:rPr>
              <w:t>》（GB/T19923-2005）敞开式循环冷却水系统补充水</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本项目控制标准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pH</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6.0～9.0</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6.5</w:t>
            </w:r>
            <w:r>
              <w:rPr>
                <w:rFonts w:hint="eastAsia"/>
              </w:rPr>
              <w:t>~</w:t>
            </w:r>
            <w:r>
              <w:t>8.5</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6.5</w:t>
            </w:r>
            <w:r>
              <w:rPr>
                <w:rFonts w:hint="eastAsia"/>
              </w:rPr>
              <w:t>~</w:t>
            </w:r>
            <w: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2</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色（度）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30</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30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3</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嗅</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无不快感觉</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无不快感觉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4</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浊度（NTU）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5</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5</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溶解性总固体（mg/L）</w:t>
            </w:r>
            <w:r>
              <w:rPr>
                <w:rFonts w:hint="eastAsia"/>
              </w:rPr>
              <w:t xml:space="preserve">  </w:t>
            </w:r>
            <w:r>
              <w:t>≤</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1000</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1000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6</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生化需氧量BOD5（mg/L）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7</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氨氮（mg/L）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8</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8</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阴离子表面活性（mg/L）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0.5</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0.5</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9</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铁</w:t>
            </w:r>
            <w:r>
              <w:t>（mg/L）</w:t>
            </w:r>
            <w:r>
              <w:rPr>
                <w:rFonts w:hint="eastAsia"/>
              </w:rPr>
              <w:t xml:space="preserve">     </w:t>
            </w:r>
            <w:r>
              <w:t>≤</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0.3</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10</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锰</w:t>
            </w:r>
            <w:r>
              <w:t>（mg/L）</w:t>
            </w:r>
            <w:r>
              <w:rPr>
                <w:rFonts w:hint="eastAsia"/>
              </w:rPr>
              <w:t xml:space="preserve">     </w:t>
            </w:r>
            <w:r>
              <w:t>≤</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0.1</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11</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溶解氧（mg/L）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2.0</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12</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化学需氧量COD</w:t>
            </w:r>
            <w:r>
              <w:t>（mg/L）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60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13</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氯离子</w:t>
            </w:r>
            <w:r>
              <w:t>（mg/L）</w:t>
            </w:r>
            <w:r>
              <w:rPr>
                <w:rFonts w:hint="eastAsia"/>
              </w:rPr>
              <w:t xml:space="preserve"> </w:t>
            </w:r>
            <w:r>
              <w:t>≤</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250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14</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二氧化硅</w:t>
            </w:r>
            <w:r>
              <w:t>（mg/L）≤</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50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15</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总硬度（以CaCO</w:t>
            </w:r>
            <w:r>
              <w:rPr>
                <w:vertAlign w:val="subscript"/>
              </w:rPr>
              <w:t>3</w:t>
            </w:r>
            <w:r>
              <w:t>计/mg/L）≤</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450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16</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kern w:val="0"/>
                <w:szCs w:val="21"/>
              </w:rPr>
              <w:t>总碱度（以CaCO</w:t>
            </w:r>
            <w:r>
              <w:rPr>
                <w:kern w:val="0"/>
                <w:szCs w:val="21"/>
                <w:vertAlign w:val="subscript"/>
              </w:rPr>
              <w:t>3</w:t>
            </w:r>
            <w:r>
              <w:rPr>
                <w:kern w:val="0"/>
                <w:szCs w:val="21"/>
              </w:rPr>
              <w:t>计mg/L）≤</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350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17</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kern w:val="0"/>
                <w:szCs w:val="21"/>
              </w:rPr>
              <w:t>硫酸盐（mg/L）≤</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250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18</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总磷</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19</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石油类</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20</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总氯（mg/L）</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管网末端</w:t>
            </w:r>
            <w:r>
              <w:t>≥</w:t>
            </w:r>
            <w:r>
              <w:rPr>
                <w:rFonts w:hint="eastAsia"/>
              </w:rPr>
              <w:t>0.2</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管网末端</w:t>
            </w:r>
            <w:r>
              <w:t>≥</w:t>
            </w:r>
            <w:r>
              <w:rPr>
                <w:rFonts w:hint="eastAsia"/>
              </w:rPr>
              <w:t>0.05</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管网末端</w:t>
            </w:r>
            <w:r>
              <w:t>≥</w:t>
            </w:r>
            <w:r>
              <w:rPr>
                <w:rFonts w:hint="eastAsia"/>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21</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粪</w:t>
            </w:r>
            <w:r>
              <w:t>大肠菌群（个／L）≤</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2000</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22</w:t>
            </w:r>
          </w:p>
        </w:tc>
        <w:tc>
          <w:tcPr>
            <w:tcW w:w="1319"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大肠</w:t>
            </w:r>
            <w:r>
              <w:rPr>
                <w:rFonts w:hint="eastAsia"/>
              </w:rPr>
              <w:t>埃希氏菌</w:t>
            </w:r>
            <w:r>
              <w:t>（</w:t>
            </w:r>
            <w:r>
              <w:rPr>
                <w:rFonts w:hint="eastAsia"/>
              </w:rPr>
              <w:t>MPN</w:t>
            </w:r>
            <w:r>
              <w:t>/100mL）   ≤</w:t>
            </w:r>
          </w:p>
        </w:tc>
        <w:tc>
          <w:tcPr>
            <w:tcW w:w="1354"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不应检出</w:t>
            </w:r>
          </w:p>
        </w:tc>
        <w:tc>
          <w:tcPr>
            <w:tcW w:w="1280"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w:t>
            </w:r>
          </w:p>
        </w:tc>
        <w:tc>
          <w:tcPr>
            <w:tcW w:w="796"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rPr>
              <w:t>不应检出</w:t>
            </w:r>
          </w:p>
        </w:tc>
      </w:tr>
    </w:tbl>
    <w:p>
      <w:pPr>
        <w:pStyle w:val="7"/>
        <w:numPr>
          <w:ilvl w:val="0"/>
          <w:numId w:val="3"/>
        </w:numPr>
        <w:ind w:firstLine="482"/>
        <w:rPr>
          <w:b/>
          <w:bCs/>
        </w:rPr>
      </w:pPr>
      <w:r>
        <w:rPr>
          <w:rFonts w:hint="eastAsia"/>
          <w:b/>
          <w:bCs/>
        </w:rPr>
        <w:t>生活污水</w:t>
      </w:r>
    </w:p>
    <w:p>
      <w:pPr>
        <w:pStyle w:val="7"/>
        <w:ind w:firstLine="480"/>
      </w:pPr>
      <w:r>
        <w:rPr>
          <w:rFonts w:hint="eastAsia"/>
        </w:rPr>
        <w:t>项目产生的生活污水经化粪池、隔油池处理后，通过市政管网进入砚山县第一污水处理厂进行处理。污水排放执行《污水排入城镇下水道水质标准》（GB/T31962-2015）表1、A等级标准。标准值见表2.3-13。</w:t>
      </w:r>
    </w:p>
    <w:p>
      <w:pPr>
        <w:pStyle w:val="41"/>
      </w:pPr>
      <w:r>
        <w:rPr>
          <w:rFonts w:hint="eastAsia"/>
        </w:rPr>
        <w:t>表2.3-13  项目废水排放标准</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52"/>
        <w:gridCol w:w="4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Borders>
              <w:tl2br w:val="single" w:color="auto" w:sz="4" w:space="0"/>
            </w:tcBorders>
            <w:tcMar>
              <w:top w:w="17" w:type="dxa"/>
              <w:left w:w="17" w:type="dxa"/>
              <w:bottom w:w="0" w:type="dxa"/>
              <w:right w:w="17" w:type="dxa"/>
            </w:tcMar>
            <w:vAlign w:val="center"/>
          </w:tcPr>
          <w:p>
            <w:pPr>
              <w:pStyle w:val="32"/>
            </w:pPr>
            <w:r>
              <w:t>项目</w:t>
            </w:r>
          </w:p>
          <w:p>
            <w:pPr>
              <w:pStyle w:val="32"/>
            </w:pPr>
            <w:r>
              <w:t>指标</w:t>
            </w:r>
          </w:p>
        </w:tc>
        <w:tc>
          <w:tcPr>
            <w:tcW w:w="4060" w:type="dxa"/>
            <w:tcMar>
              <w:top w:w="17" w:type="dxa"/>
              <w:left w:w="17" w:type="dxa"/>
              <w:bottom w:w="0" w:type="dxa"/>
              <w:right w:w="17" w:type="dxa"/>
            </w:tcMar>
            <w:vAlign w:val="center"/>
          </w:tcPr>
          <w:p>
            <w:pPr>
              <w:pStyle w:val="32"/>
            </w:pPr>
            <w: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pH</w:t>
            </w:r>
          </w:p>
        </w:tc>
        <w:tc>
          <w:tcPr>
            <w:tcW w:w="4060" w:type="dxa"/>
            <w:vAlign w:val="center"/>
          </w:tcPr>
          <w:p>
            <w:pPr>
              <w:pStyle w:val="32"/>
            </w:pPr>
            <w:r>
              <w:t>6</w:t>
            </w:r>
            <w:r>
              <w:rPr>
                <w:rFonts w:hint="eastAsia"/>
              </w:rPr>
              <w:t>.5</w:t>
            </w:r>
            <w:r>
              <w:t>-9</w:t>
            </w:r>
            <w:r>
              <w:rPr>
                <w:rFonts w:hint="eastAsi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CODcr（mg/L）≤</w:t>
            </w:r>
          </w:p>
        </w:tc>
        <w:tc>
          <w:tcPr>
            <w:tcW w:w="4060" w:type="dxa"/>
            <w:tcMar>
              <w:top w:w="17" w:type="dxa"/>
              <w:left w:w="17" w:type="dxa"/>
              <w:bottom w:w="0" w:type="dxa"/>
              <w:right w:w="17" w:type="dxa"/>
            </w:tcMar>
            <w:vAlign w:val="center"/>
          </w:tcPr>
          <w:p>
            <w:pPr>
              <w:pStyle w:val="32"/>
            </w:pPr>
            <w: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SS（mg/L）≤</w:t>
            </w:r>
          </w:p>
        </w:tc>
        <w:tc>
          <w:tcPr>
            <w:tcW w:w="4060" w:type="dxa"/>
            <w:tcMar>
              <w:top w:w="17" w:type="dxa"/>
              <w:left w:w="17" w:type="dxa"/>
              <w:bottom w:w="0" w:type="dxa"/>
              <w:right w:w="17" w:type="dxa"/>
            </w:tcMar>
            <w:vAlign w:val="center"/>
          </w:tcPr>
          <w:p>
            <w:pPr>
              <w:pStyle w:val="32"/>
            </w:pPr>
            <w: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5日生化需氧量BOD（mg/L）≤</w:t>
            </w:r>
          </w:p>
        </w:tc>
        <w:tc>
          <w:tcPr>
            <w:tcW w:w="4060" w:type="dxa"/>
            <w:tcMar>
              <w:top w:w="17" w:type="dxa"/>
              <w:left w:w="17" w:type="dxa"/>
              <w:bottom w:w="0" w:type="dxa"/>
              <w:right w:w="17" w:type="dxa"/>
            </w:tcMar>
            <w:vAlign w:val="center"/>
          </w:tcPr>
          <w:p>
            <w:pPr>
              <w:pStyle w:val="32"/>
            </w:pPr>
            <w:r>
              <w:t>3</w:t>
            </w:r>
            <w:r>
              <w:rPr>
                <w:rFonts w:hint="eastAsia"/>
              </w:rPr>
              <w:t>5</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氨氮（以N计）（mg/L）≤</w:t>
            </w:r>
          </w:p>
        </w:tc>
        <w:tc>
          <w:tcPr>
            <w:tcW w:w="4060" w:type="dxa"/>
            <w:tcMar>
              <w:top w:w="17" w:type="dxa"/>
              <w:left w:w="17" w:type="dxa"/>
              <w:bottom w:w="0" w:type="dxa"/>
              <w:right w:w="17" w:type="dxa"/>
            </w:tcMar>
            <w:vAlign w:val="center"/>
          </w:tcPr>
          <w:p>
            <w:pPr>
              <w:pStyle w:val="32"/>
            </w:pPr>
            <w: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动植物油（mg/L）≤</w:t>
            </w:r>
          </w:p>
        </w:tc>
        <w:tc>
          <w:tcPr>
            <w:tcW w:w="4060" w:type="dxa"/>
            <w:tcMar>
              <w:top w:w="17" w:type="dxa"/>
              <w:left w:w="17" w:type="dxa"/>
              <w:bottom w:w="0" w:type="dxa"/>
              <w:right w:w="17" w:type="dxa"/>
            </w:tcMar>
            <w:vAlign w:val="center"/>
          </w:tcPr>
          <w:p>
            <w:pPr>
              <w:pStyle w:val="32"/>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952" w:type="dxa"/>
            <w:tcMar>
              <w:top w:w="17" w:type="dxa"/>
              <w:left w:w="17" w:type="dxa"/>
              <w:bottom w:w="0" w:type="dxa"/>
              <w:right w:w="17" w:type="dxa"/>
            </w:tcMar>
            <w:vAlign w:val="center"/>
          </w:tcPr>
          <w:p>
            <w:pPr>
              <w:pStyle w:val="32"/>
            </w:pPr>
            <w:r>
              <w:t>总磷（以P计）（mg/L）≤</w:t>
            </w:r>
          </w:p>
        </w:tc>
        <w:tc>
          <w:tcPr>
            <w:tcW w:w="4060" w:type="dxa"/>
            <w:vAlign w:val="center"/>
          </w:tcPr>
          <w:p>
            <w:pPr>
              <w:pStyle w:val="32"/>
            </w:pPr>
            <w:r>
              <w:t>8.0</w:t>
            </w:r>
          </w:p>
        </w:tc>
      </w:tr>
    </w:tbl>
    <w:p>
      <w:pPr>
        <w:pStyle w:val="7"/>
        <w:numPr>
          <w:ilvl w:val="0"/>
          <w:numId w:val="3"/>
        </w:numPr>
        <w:ind w:firstLine="482"/>
        <w:rPr>
          <w:b/>
          <w:bCs/>
        </w:rPr>
      </w:pPr>
      <w:r>
        <w:rPr>
          <w:rFonts w:hint="eastAsia"/>
          <w:b/>
          <w:bCs/>
        </w:rPr>
        <w:t>冷却循环系统定期排水</w:t>
      </w:r>
    </w:p>
    <w:p>
      <w:pPr>
        <w:pStyle w:val="7"/>
        <w:ind w:firstLine="480"/>
      </w:pPr>
      <w:r>
        <w:rPr>
          <w:rFonts w:hint="eastAsia"/>
        </w:rPr>
        <w:t>项目冷却循环系统定期排水收集后通过市政管网进入砚山县第一污水处理厂进行处理，污水排放执行《污水综合排放标准》（G</w:t>
      </w:r>
      <w:r>
        <w:t>B</w:t>
      </w:r>
      <w:r>
        <w:rPr>
          <w:rFonts w:hint="eastAsia"/>
        </w:rPr>
        <w:t>8978-1996）中的一级排放标准。标准值如下：</w:t>
      </w:r>
    </w:p>
    <w:p>
      <w:pPr>
        <w:pStyle w:val="31"/>
      </w:pPr>
      <w:r>
        <w:t>表</w:t>
      </w:r>
      <w:r>
        <w:rPr>
          <w:rFonts w:hint="eastAsia"/>
        </w:rPr>
        <w:t>2.3-14</w:t>
      </w:r>
      <w:r>
        <w:t xml:space="preserve">  </w:t>
      </w:r>
      <w:r>
        <w:rPr>
          <w:rFonts w:hint="eastAsia"/>
        </w:rPr>
        <w:t>污水综合排放标准一级标准</w:t>
      </w:r>
    </w:p>
    <w:tbl>
      <w:tblPr>
        <w:tblStyle w:val="27"/>
        <w:tblW w:w="5000"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autofit"/>
        <w:tblCellMar>
          <w:top w:w="0" w:type="dxa"/>
          <w:left w:w="108" w:type="dxa"/>
          <w:bottom w:w="0" w:type="dxa"/>
          <w:right w:w="108" w:type="dxa"/>
        </w:tblCellMar>
      </w:tblPr>
      <w:tblGrid>
        <w:gridCol w:w="735"/>
        <w:gridCol w:w="3436"/>
        <w:gridCol w:w="2166"/>
        <w:gridCol w:w="2185"/>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tcBorders>
              <w:top w:val="single" w:color="auto" w:sz="4" w:space="0"/>
            </w:tcBorders>
            <w:vAlign w:val="center"/>
          </w:tcPr>
          <w:p>
            <w:pPr>
              <w:pStyle w:val="32"/>
            </w:pPr>
            <w:r>
              <w:t>序号</w:t>
            </w:r>
          </w:p>
        </w:tc>
        <w:tc>
          <w:tcPr>
            <w:tcW w:w="2016" w:type="pct"/>
            <w:tcBorders>
              <w:top w:val="single" w:color="auto" w:sz="4" w:space="0"/>
            </w:tcBorders>
            <w:vAlign w:val="center"/>
          </w:tcPr>
          <w:p>
            <w:pPr>
              <w:pStyle w:val="32"/>
            </w:pPr>
            <w:r>
              <w:t>项目指标</w:t>
            </w:r>
          </w:p>
        </w:tc>
        <w:tc>
          <w:tcPr>
            <w:tcW w:w="1271" w:type="pct"/>
            <w:tcBorders>
              <w:top w:val="single" w:color="auto" w:sz="4" w:space="0"/>
            </w:tcBorders>
            <w:vAlign w:val="center"/>
          </w:tcPr>
          <w:p>
            <w:pPr>
              <w:pStyle w:val="32"/>
            </w:pPr>
            <w:r>
              <w:rPr>
                <w:rFonts w:hint="eastAsia"/>
              </w:rPr>
              <w:t>标准值</w:t>
            </w:r>
          </w:p>
        </w:tc>
        <w:tc>
          <w:tcPr>
            <w:tcW w:w="1282" w:type="pct"/>
            <w:tcBorders>
              <w:top w:val="single" w:color="auto" w:sz="4" w:space="0"/>
            </w:tcBorders>
            <w:vAlign w:val="center"/>
          </w:tcPr>
          <w:p>
            <w:pPr>
              <w:pStyle w:val="32"/>
            </w:pPr>
            <w:r>
              <w:rPr>
                <w:rFonts w:hint="eastAsia"/>
              </w:rPr>
              <w:t>标准名称</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1</w:t>
            </w:r>
          </w:p>
        </w:tc>
        <w:tc>
          <w:tcPr>
            <w:tcW w:w="2016" w:type="pct"/>
            <w:vAlign w:val="center"/>
          </w:tcPr>
          <w:p>
            <w:pPr>
              <w:pStyle w:val="32"/>
            </w:pPr>
            <w:r>
              <w:rPr>
                <w:rFonts w:hint="eastAsia"/>
              </w:rPr>
              <w:t>p</w:t>
            </w:r>
            <w:r>
              <w:t>H</w:t>
            </w:r>
          </w:p>
        </w:tc>
        <w:tc>
          <w:tcPr>
            <w:tcW w:w="1271" w:type="pct"/>
            <w:vAlign w:val="center"/>
          </w:tcPr>
          <w:p>
            <w:pPr>
              <w:pStyle w:val="32"/>
            </w:pPr>
            <w:r>
              <w:rPr>
                <w:rFonts w:hint="eastAsia"/>
              </w:rPr>
              <w:t>6~9</w:t>
            </w:r>
          </w:p>
        </w:tc>
        <w:tc>
          <w:tcPr>
            <w:tcW w:w="1282" w:type="pct"/>
            <w:vMerge w:val="restart"/>
            <w:vAlign w:val="center"/>
          </w:tcPr>
          <w:p>
            <w:pPr>
              <w:pStyle w:val="32"/>
            </w:pPr>
            <w:r>
              <w:rPr>
                <w:rFonts w:hint="eastAsia"/>
              </w:rPr>
              <w:t>《污水综合排放标准》（GB8978-1996）中的一级排放标准</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2</w:t>
            </w:r>
          </w:p>
        </w:tc>
        <w:tc>
          <w:tcPr>
            <w:tcW w:w="2016" w:type="pct"/>
            <w:vAlign w:val="center"/>
          </w:tcPr>
          <w:p>
            <w:pPr>
              <w:pStyle w:val="32"/>
            </w:pPr>
            <w:r>
              <w:rPr>
                <w:rFonts w:hint="eastAsia"/>
              </w:rPr>
              <w:t>悬浮物</w:t>
            </w:r>
            <w:r>
              <w:t>（mg/L）≤</w:t>
            </w:r>
          </w:p>
        </w:tc>
        <w:tc>
          <w:tcPr>
            <w:tcW w:w="1271" w:type="pct"/>
            <w:vAlign w:val="center"/>
          </w:tcPr>
          <w:p>
            <w:pPr>
              <w:pStyle w:val="32"/>
            </w:pPr>
            <w:r>
              <w:rPr>
                <w:rFonts w:hint="eastAsia"/>
              </w:rPr>
              <w:t>70</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405" w:hRule="atLeast"/>
          <w:jc w:val="center"/>
        </w:trPr>
        <w:tc>
          <w:tcPr>
            <w:tcW w:w="431" w:type="pct"/>
            <w:vAlign w:val="center"/>
          </w:tcPr>
          <w:p>
            <w:pPr>
              <w:pStyle w:val="32"/>
            </w:pPr>
            <w:r>
              <w:rPr>
                <w:rFonts w:hint="eastAsia"/>
              </w:rPr>
              <w:t>3</w:t>
            </w:r>
          </w:p>
        </w:tc>
        <w:tc>
          <w:tcPr>
            <w:tcW w:w="2016" w:type="pct"/>
            <w:vAlign w:val="center"/>
          </w:tcPr>
          <w:p>
            <w:pPr>
              <w:pStyle w:val="32"/>
            </w:pPr>
            <w:r>
              <w:t>五日生化耗氧量BOD</w:t>
            </w:r>
            <w:r>
              <w:rPr>
                <w:vertAlign w:val="subscript"/>
              </w:rPr>
              <w:t>5</w:t>
            </w:r>
            <w:r>
              <w:t>（mg/L）≤</w:t>
            </w:r>
          </w:p>
        </w:tc>
        <w:tc>
          <w:tcPr>
            <w:tcW w:w="1271" w:type="pct"/>
            <w:vAlign w:val="center"/>
          </w:tcPr>
          <w:p>
            <w:pPr>
              <w:pStyle w:val="32"/>
            </w:pPr>
            <w:r>
              <w:rPr>
                <w:rFonts w:hint="eastAsia"/>
              </w:rPr>
              <w:t>20</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4</w:t>
            </w:r>
          </w:p>
        </w:tc>
        <w:tc>
          <w:tcPr>
            <w:tcW w:w="2016" w:type="pct"/>
            <w:vAlign w:val="center"/>
          </w:tcPr>
          <w:p>
            <w:pPr>
              <w:pStyle w:val="32"/>
            </w:pPr>
            <w:r>
              <w:t>氨氮（mg/L）≤</w:t>
            </w:r>
          </w:p>
        </w:tc>
        <w:tc>
          <w:tcPr>
            <w:tcW w:w="1271" w:type="pct"/>
            <w:vAlign w:val="center"/>
          </w:tcPr>
          <w:p>
            <w:pPr>
              <w:pStyle w:val="32"/>
            </w:pPr>
            <w:r>
              <w:rPr>
                <w:rFonts w:hint="eastAsia"/>
              </w:rPr>
              <w:t>15</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5</w:t>
            </w:r>
          </w:p>
        </w:tc>
        <w:tc>
          <w:tcPr>
            <w:tcW w:w="2016" w:type="pct"/>
            <w:vAlign w:val="center"/>
          </w:tcPr>
          <w:p>
            <w:pPr>
              <w:pStyle w:val="32"/>
            </w:pPr>
            <w:r>
              <w:rPr>
                <w:rFonts w:hint="eastAsia"/>
              </w:rPr>
              <w:t>化学需氧量C</w:t>
            </w:r>
            <w:r>
              <w:t>OD（mg/L）≤</w:t>
            </w:r>
          </w:p>
        </w:tc>
        <w:tc>
          <w:tcPr>
            <w:tcW w:w="1271" w:type="pct"/>
            <w:vAlign w:val="center"/>
          </w:tcPr>
          <w:p>
            <w:pPr>
              <w:pStyle w:val="32"/>
            </w:pPr>
            <w:r>
              <w:rPr>
                <w:rFonts w:hint="eastAsia"/>
              </w:rPr>
              <w:t>100</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6</w:t>
            </w:r>
          </w:p>
        </w:tc>
        <w:tc>
          <w:tcPr>
            <w:tcW w:w="2016" w:type="pct"/>
            <w:vAlign w:val="center"/>
          </w:tcPr>
          <w:p>
            <w:pPr>
              <w:pStyle w:val="32"/>
            </w:pPr>
            <w:r>
              <w:rPr>
                <w:rFonts w:hint="eastAsia"/>
              </w:rPr>
              <w:t>动植物油</w:t>
            </w:r>
            <w:r>
              <w:t>（mg/L）≤</w:t>
            </w:r>
          </w:p>
        </w:tc>
        <w:tc>
          <w:tcPr>
            <w:tcW w:w="1271" w:type="pct"/>
            <w:vAlign w:val="center"/>
          </w:tcPr>
          <w:p>
            <w:pPr>
              <w:pStyle w:val="32"/>
            </w:pPr>
            <w:r>
              <w:rPr>
                <w:rFonts w:hint="eastAsia"/>
              </w:rPr>
              <w:t>10</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7</w:t>
            </w:r>
          </w:p>
        </w:tc>
        <w:tc>
          <w:tcPr>
            <w:tcW w:w="2016" w:type="pct"/>
            <w:vAlign w:val="center"/>
          </w:tcPr>
          <w:p>
            <w:pPr>
              <w:pStyle w:val="32"/>
            </w:pPr>
            <w:r>
              <w:rPr>
                <w:rFonts w:hint="eastAsia"/>
              </w:rPr>
              <w:t>石油类</w:t>
            </w:r>
            <w:r>
              <w:t>（mg/L）≤</w:t>
            </w:r>
          </w:p>
        </w:tc>
        <w:tc>
          <w:tcPr>
            <w:tcW w:w="1271" w:type="pct"/>
            <w:vAlign w:val="center"/>
          </w:tcPr>
          <w:p>
            <w:pPr>
              <w:pStyle w:val="32"/>
            </w:pPr>
            <w:r>
              <w:rPr>
                <w:rFonts w:hint="eastAsia"/>
              </w:rPr>
              <w:t>5</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8</w:t>
            </w:r>
          </w:p>
        </w:tc>
        <w:tc>
          <w:tcPr>
            <w:tcW w:w="2016" w:type="pct"/>
            <w:vAlign w:val="center"/>
          </w:tcPr>
          <w:p>
            <w:pPr>
              <w:pStyle w:val="32"/>
            </w:pPr>
            <w:r>
              <w:rPr>
                <w:rFonts w:hint="eastAsia"/>
              </w:rPr>
              <w:t>氟化物</w:t>
            </w:r>
            <w:r>
              <w:t>（mg/L）≤</w:t>
            </w:r>
          </w:p>
        </w:tc>
        <w:tc>
          <w:tcPr>
            <w:tcW w:w="1271" w:type="pct"/>
            <w:vAlign w:val="center"/>
          </w:tcPr>
          <w:p>
            <w:pPr>
              <w:pStyle w:val="32"/>
            </w:pPr>
            <w:r>
              <w:rPr>
                <w:rFonts w:hint="eastAsia"/>
              </w:rPr>
              <w:t>10</w:t>
            </w:r>
          </w:p>
        </w:tc>
        <w:tc>
          <w:tcPr>
            <w:tcW w:w="1282"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jc w:val="center"/>
        </w:trPr>
        <w:tc>
          <w:tcPr>
            <w:tcW w:w="431" w:type="pct"/>
            <w:vAlign w:val="center"/>
          </w:tcPr>
          <w:p>
            <w:pPr>
              <w:pStyle w:val="32"/>
            </w:pPr>
            <w:r>
              <w:rPr>
                <w:rFonts w:hint="eastAsia"/>
              </w:rPr>
              <w:t>9</w:t>
            </w:r>
          </w:p>
        </w:tc>
        <w:tc>
          <w:tcPr>
            <w:tcW w:w="2016" w:type="pct"/>
            <w:vAlign w:val="center"/>
          </w:tcPr>
          <w:p>
            <w:pPr>
              <w:pStyle w:val="32"/>
            </w:pPr>
            <w:r>
              <w:rPr>
                <w:rFonts w:hint="eastAsia"/>
              </w:rPr>
              <w:t>阴离子表面活性剂</w:t>
            </w:r>
            <w:r>
              <w:t>（mg/L）≥</w:t>
            </w:r>
          </w:p>
        </w:tc>
        <w:tc>
          <w:tcPr>
            <w:tcW w:w="1271" w:type="pct"/>
            <w:vAlign w:val="center"/>
          </w:tcPr>
          <w:p>
            <w:pPr>
              <w:pStyle w:val="32"/>
            </w:pPr>
            <w:r>
              <w:rPr>
                <w:rFonts w:hint="eastAsia"/>
              </w:rPr>
              <w:t>5.0</w:t>
            </w:r>
          </w:p>
        </w:tc>
        <w:tc>
          <w:tcPr>
            <w:tcW w:w="1282" w:type="pct"/>
            <w:vMerge w:val="continue"/>
            <w:vAlign w:val="center"/>
          </w:tcPr>
          <w:p>
            <w:pPr>
              <w:pStyle w:val="32"/>
            </w:pPr>
          </w:p>
        </w:tc>
      </w:tr>
    </w:tbl>
    <w:p>
      <w:pPr>
        <w:pStyle w:val="7"/>
        <w:ind w:firstLine="482"/>
        <w:rPr>
          <w:b/>
          <w:bCs/>
        </w:rPr>
      </w:pPr>
      <w:r>
        <w:rPr>
          <w:b/>
          <w:bCs/>
        </w:rPr>
        <w:t>3、噪声排放标准</w:t>
      </w:r>
    </w:p>
    <w:p>
      <w:pPr>
        <w:pStyle w:val="7"/>
        <w:ind w:firstLine="480"/>
        <w:rPr>
          <w:lang w:bidi="ar"/>
        </w:rPr>
      </w:pPr>
      <w:r>
        <w:rPr>
          <w:lang w:bidi="ar"/>
        </w:rPr>
        <w:t>（</w:t>
      </w:r>
      <w:r>
        <w:rPr>
          <w:kern w:val="0"/>
          <w:lang w:bidi="ar"/>
        </w:rPr>
        <w:t>1</w:t>
      </w:r>
      <w:r>
        <w:rPr>
          <w:lang w:bidi="ar"/>
        </w:rPr>
        <w:t>）施工期</w:t>
      </w:r>
    </w:p>
    <w:p>
      <w:pPr>
        <w:pStyle w:val="7"/>
        <w:ind w:firstLine="480"/>
        <w:rPr>
          <w:lang w:bidi="ar"/>
        </w:rPr>
      </w:pPr>
      <w:r>
        <w:rPr>
          <w:rFonts w:hint="eastAsia"/>
          <w:lang w:bidi="ar"/>
        </w:rPr>
        <w:t>施工期</w:t>
      </w:r>
      <w:r>
        <w:rPr>
          <w:lang w:bidi="ar"/>
        </w:rPr>
        <w:t>噪声排放执行（</w:t>
      </w:r>
      <w:r>
        <w:rPr>
          <w:kern w:val="0"/>
          <w:lang w:bidi="ar"/>
        </w:rPr>
        <w:t>GB12523-2011</w:t>
      </w:r>
      <w:r>
        <w:rPr>
          <w:lang w:bidi="ar"/>
        </w:rPr>
        <w:t>）《建筑施工场界环境噪声排放标准》噪声限值，详见表</w:t>
      </w:r>
      <w:r>
        <w:rPr>
          <w:rFonts w:hint="eastAsia"/>
          <w:kern w:val="0"/>
          <w:lang w:bidi="ar"/>
        </w:rPr>
        <w:t>2.3-15</w:t>
      </w:r>
      <w:r>
        <w:rPr>
          <w:lang w:bidi="ar"/>
        </w:rPr>
        <w:t>。</w:t>
      </w:r>
    </w:p>
    <w:p>
      <w:pPr>
        <w:pStyle w:val="41"/>
      </w:pPr>
      <w:r>
        <w:t>表</w:t>
      </w:r>
      <w:r>
        <w:rPr>
          <w:rFonts w:hint="eastAsia"/>
        </w:rPr>
        <w:t xml:space="preserve">2.3-15 </w:t>
      </w:r>
      <w:r>
        <w:t xml:space="preserve"> 建筑施工场界环境噪声排放限值 </w:t>
      </w:r>
      <w:r>
        <w:rPr>
          <w:rFonts w:hint="eastAsia"/>
        </w:rPr>
        <w:t xml:space="preserve">   </w:t>
      </w:r>
      <w:r>
        <w:t>单位： Leq[dB(A)]</w:t>
      </w:r>
    </w:p>
    <w:tbl>
      <w:tblPr>
        <w:tblStyle w:val="27"/>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261"/>
        <w:gridCol w:w="426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261" w:type="dxa"/>
            <w:tcBorders>
              <w:top w:val="single" w:color="auto" w:sz="4" w:space="0"/>
              <w:left w:val="single" w:color="auto" w:sz="4" w:space="0"/>
              <w:bottom w:val="single" w:color="auto" w:sz="4" w:space="0"/>
              <w:right w:val="single" w:color="auto" w:sz="4" w:space="0"/>
            </w:tcBorders>
            <w:vAlign w:val="center"/>
          </w:tcPr>
          <w:p>
            <w:pPr>
              <w:pStyle w:val="32"/>
            </w:pPr>
            <w:r>
              <w:t xml:space="preserve">昼间 </w:t>
            </w:r>
          </w:p>
        </w:tc>
        <w:tc>
          <w:tcPr>
            <w:tcW w:w="4261" w:type="dxa"/>
            <w:tcBorders>
              <w:top w:val="single" w:color="auto" w:sz="4" w:space="0"/>
              <w:left w:val="single" w:color="auto" w:sz="4" w:space="0"/>
              <w:bottom w:val="single" w:color="auto" w:sz="4" w:space="0"/>
              <w:right w:val="single" w:color="auto" w:sz="4" w:space="0"/>
            </w:tcBorders>
            <w:vAlign w:val="center"/>
          </w:tcPr>
          <w:p>
            <w:pPr>
              <w:pStyle w:val="32"/>
            </w:pPr>
            <w: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4261" w:type="dxa"/>
            <w:tcBorders>
              <w:top w:val="single" w:color="auto" w:sz="4" w:space="0"/>
              <w:left w:val="single" w:color="auto" w:sz="4" w:space="0"/>
              <w:bottom w:val="single" w:color="auto" w:sz="4" w:space="0"/>
              <w:right w:val="single" w:color="auto" w:sz="4" w:space="0"/>
            </w:tcBorders>
            <w:vAlign w:val="center"/>
          </w:tcPr>
          <w:p>
            <w:pPr>
              <w:pStyle w:val="32"/>
            </w:pPr>
            <w:r>
              <w:t xml:space="preserve">70 </w:t>
            </w:r>
          </w:p>
        </w:tc>
        <w:tc>
          <w:tcPr>
            <w:tcW w:w="4261" w:type="dxa"/>
            <w:tcBorders>
              <w:top w:val="single" w:color="auto" w:sz="4" w:space="0"/>
              <w:left w:val="single" w:color="auto" w:sz="4" w:space="0"/>
              <w:bottom w:val="single" w:color="auto" w:sz="4" w:space="0"/>
              <w:right w:val="single" w:color="auto" w:sz="4" w:space="0"/>
            </w:tcBorders>
            <w:vAlign w:val="center"/>
          </w:tcPr>
          <w:p>
            <w:pPr>
              <w:pStyle w:val="32"/>
            </w:pPr>
            <w:r>
              <w:t>55</w:t>
            </w:r>
          </w:p>
        </w:tc>
      </w:tr>
    </w:tbl>
    <w:p>
      <w:pPr>
        <w:pStyle w:val="7"/>
        <w:numPr>
          <w:ilvl w:val="0"/>
          <w:numId w:val="0"/>
        </w:numPr>
      </w:pPr>
    </w:p>
    <w:p>
      <w:pPr>
        <w:pStyle w:val="7"/>
        <w:numPr>
          <w:ilvl w:val="0"/>
          <w:numId w:val="4"/>
        </w:numPr>
        <w:ind w:firstLine="480"/>
      </w:pPr>
      <w:r>
        <w:t>运营期</w:t>
      </w:r>
    </w:p>
    <w:p>
      <w:pPr>
        <w:pStyle w:val="7"/>
        <w:ind w:firstLine="480"/>
      </w:pPr>
      <w:r>
        <w:t>项目噪声排放执行（GB12348-2008）《工业企业厂界环境噪声排放标准》中</w:t>
      </w:r>
      <w:r>
        <w:rPr>
          <w:rFonts w:hint="eastAsia"/>
        </w:rPr>
        <w:t>3类</w:t>
      </w:r>
      <w:r>
        <w:t>标准，标准详值见表</w:t>
      </w:r>
      <w:r>
        <w:rPr>
          <w:rFonts w:hint="eastAsia"/>
        </w:rPr>
        <w:t>2.3-16</w:t>
      </w:r>
      <w:r>
        <w:t>。</w:t>
      </w:r>
    </w:p>
    <w:p>
      <w:pPr>
        <w:spacing w:line="360" w:lineRule="auto"/>
        <w:jc w:val="center"/>
        <w:rPr>
          <w:rStyle w:val="40"/>
        </w:rPr>
      </w:pPr>
      <w:r>
        <w:rPr>
          <w:rStyle w:val="40"/>
          <w:rFonts w:hint="eastAsia"/>
        </w:rPr>
        <w:t>表2.3-16</w:t>
      </w:r>
      <w:r>
        <w:rPr>
          <w:rStyle w:val="40"/>
        </w:rPr>
        <w:t xml:space="preserve">  </w:t>
      </w:r>
      <w:r>
        <w:rPr>
          <w:rStyle w:val="40"/>
          <w:rFonts w:hint="eastAsia"/>
        </w:rPr>
        <w:t>工业企业厂界环境噪声排放标准</w:t>
      </w:r>
      <w:r>
        <w:rPr>
          <w:rStyle w:val="40"/>
        </w:rPr>
        <w:t xml:space="preserve">    </w:t>
      </w:r>
      <w:r>
        <w:rPr>
          <w:rStyle w:val="40"/>
          <w:rFonts w:hint="eastAsia"/>
        </w:rPr>
        <w:t>单位：</w:t>
      </w:r>
      <w:r>
        <w:rPr>
          <w:rStyle w:val="40"/>
        </w:rPr>
        <w:t>Leq[dB(A)]</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3"/>
        <w:gridCol w:w="2310"/>
        <w:gridCol w:w="4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69" w:type="pct"/>
            <w:tcBorders>
              <w:top w:val="single" w:color="auto" w:sz="4" w:space="0"/>
              <w:left w:val="single" w:color="auto" w:sz="4" w:space="0"/>
              <w:bottom w:val="single" w:color="auto" w:sz="4" w:space="0"/>
              <w:right w:val="single" w:color="auto" w:sz="4" w:space="0"/>
            </w:tcBorders>
            <w:vAlign w:val="center"/>
          </w:tcPr>
          <w:p>
            <w:pPr>
              <w:pStyle w:val="32"/>
            </w:pPr>
            <w:r>
              <w:rPr>
                <w:rFonts w:hint="eastAsia"/>
              </w:rPr>
              <w:t>类别</w:t>
            </w:r>
          </w:p>
        </w:tc>
        <w:tc>
          <w:tcPr>
            <w:tcW w:w="1355" w:type="pct"/>
            <w:tcBorders>
              <w:top w:val="single" w:color="auto" w:sz="4" w:space="0"/>
              <w:left w:val="single" w:color="auto" w:sz="4" w:space="0"/>
              <w:bottom w:val="single" w:color="auto" w:sz="4" w:space="0"/>
              <w:right w:val="single" w:color="auto" w:sz="4" w:space="0"/>
            </w:tcBorders>
            <w:vAlign w:val="center"/>
          </w:tcPr>
          <w:p>
            <w:pPr>
              <w:pStyle w:val="32"/>
            </w:pPr>
            <w:r>
              <w:rPr>
                <w:rFonts w:hint="eastAsia"/>
              </w:rPr>
              <w:t>昼夜</w:t>
            </w:r>
          </w:p>
        </w:tc>
        <w:tc>
          <w:tcPr>
            <w:tcW w:w="2474" w:type="pct"/>
            <w:tcBorders>
              <w:top w:val="single" w:color="auto" w:sz="4" w:space="0"/>
              <w:left w:val="single" w:color="auto" w:sz="4" w:space="0"/>
              <w:bottom w:val="single" w:color="auto" w:sz="4" w:space="0"/>
              <w:right w:val="single" w:color="auto" w:sz="4" w:space="0"/>
            </w:tcBorders>
            <w:vAlign w:val="center"/>
          </w:tcPr>
          <w:p>
            <w:pPr>
              <w:pStyle w:val="32"/>
            </w:pPr>
            <w:r>
              <w:rPr>
                <w:rFonts w:hint="eastAsia"/>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69" w:type="pct"/>
            <w:tcBorders>
              <w:top w:val="single" w:color="auto" w:sz="4" w:space="0"/>
              <w:left w:val="single" w:color="auto" w:sz="4" w:space="0"/>
              <w:bottom w:val="single" w:color="auto" w:sz="4" w:space="0"/>
              <w:right w:val="single" w:color="auto" w:sz="4" w:space="0"/>
            </w:tcBorders>
            <w:vAlign w:val="center"/>
          </w:tcPr>
          <w:p>
            <w:pPr>
              <w:pStyle w:val="32"/>
            </w:pPr>
            <w:r>
              <w:t>3</w:t>
            </w:r>
            <w:r>
              <w:rPr>
                <w:rFonts w:hint="eastAsia"/>
              </w:rPr>
              <w:t>类标准</w:t>
            </w:r>
          </w:p>
        </w:tc>
        <w:tc>
          <w:tcPr>
            <w:tcW w:w="1355" w:type="pct"/>
            <w:tcBorders>
              <w:top w:val="single" w:color="auto" w:sz="4" w:space="0"/>
              <w:left w:val="single" w:color="auto" w:sz="4" w:space="0"/>
              <w:bottom w:val="single" w:color="auto" w:sz="4" w:space="0"/>
              <w:right w:val="single" w:color="auto" w:sz="4" w:space="0"/>
            </w:tcBorders>
            <w:vAlign w:val="center"/>
          </w:tcPr>
          <w:p>
            <w:pPr>
              <w:pStyle w:val="32"/>
            </w:pPr>
            <w:r>
              <w:t>65</w:t>
            </w:r>
          </w:p>
        </w:tc>
        <w:tc>
          <w:tcPr>
            <w:tcW w:w="2474" w:type="pct"/>
            <w:tcBorders>
              <w:top w:val="single" w:color="auto" w:sz="4" w:space="0"/>
              <w:left w:val="single" w:color="auto" w:sz="4" w:space="0"/>
              <w:bottom w:val="single" w:color="auto" w:sz="4" w:space="0"/>
              <w:right w:val="single" w:color="auto" w:sz="4" w:space="0"/>
            </w:tcBorders>
            <w:vAlign w:val="center"/>
          </w:tcPr>
          <w:p>
            <w:pPr>
              <w:pStyle w:val="32"/>
            </w:pPr>
            <w:r>
              <w:t>55</w:t>
            </w:r>
          </w:p>
        </w:tc>
      </w:tr>
    </w:tbl>
    <w:p>
      <w:pPr>
        <w:pStyle w:val="7"/>
        <w:ind w:firstLine="482"/>
        <w:rPr>
          <w:b/>
          <w:bCs/>
        </w:rPr>
      </w:pPr>
      <w:r>
        <w:rPr>
          <w:rFonts w:hint="eastAsia"/>
          <w:b/>
          <w:bCs/>
        </w:rPr>
        <w:t>4、固体废物</w:t>
      </w:r>
    </w:p>
    <w:p>
      <w:pPr>
        <w:pStyle w:val="7"/>
        <w:ind w:firstLine="480"/>
      </w:pPr>
      <w:r>
        <w:rPr>
          <w:rFonts w:hint="eastAsia"/>
        </w:rPr>
        <w:t>一般固体废物处理执行《一般工业固体废物贮存和填埋污染控制标准》（GB18599-2020）要求，危险废物处理执行《危险废物贮存污染控制标准》（GB18597-2001）及2013年修改单要求。</w:t>
      </w:r>
    </w:p>
    <w:p>
      <w:pPr>
        <w:pStyle w:val="5"/>
      </w:pPr>
      <w:bookmarkStart w:id="39" w:name="_Toc5953"/>
      <w:bookmarkStart w:id="40" w:name="_Toc2200"/>
      <w:bookmarkStart w:id="41" w:name="_Toc20645"/>
      <w:r>
        <w:rPr>
          <w:rFonts w:hint="eastAsia"/>
        </w:rPr>
        <w:t>2.4评价工作等级和评价范围</w:t>
      </w:r>
      <w:bookmarkEnd w:id="39"/>
      <w:bookmarkEnd w:id="40"/>
      <w:bookmarkEnd w:id="41"/>
    </w:p>
    <w:p>
      <w:pPr>
        <w:pStyle w:val="7"/>
        <w:ind w:firstLine="480"/>
      </w:pPr>
      <w:r>
        <w:rPr>
          <w:rFonts w:hint="eastAsia"/>
        </w:rPr>
        <w:t>建设项目大气、噪声、生态、土壤、环境风险影响评价范围图详见附图2。</w:t>
      </w:r>
    </w:p>
    <w:p>
      <w:pPr>
        <w:pStyle w:val="8"/>
      </w:pPr>
      <w:r>
        <w:rPr>
          <w:rFonts w:hint="eastAsia"/>
        </w:rPr>
        <w:t>2.4.1环境空气</w:t>
      </w:r>
    </w:p>
    <w:p>
      <w:pPr>
        <w:pStyle w:val="7"/>
        <w:ind w:firstLine="482"/>
        <w:rPr>
          <w:b/>
          <w:bCs/>
        </w:rPr>
      </w:pPr>
      <w:r>
        <w:rPr>
          <w:rFonts w:hint="eastAsia"/>
          <w:b/>
          <w:bCs/>
        </w:rPr>
        <w:t>1、评价工作等级</w:t>
      </w:r>
    </w:p>
    <w:p>
      <w:pPr>
        <w:pStyle w:val="7"/>
        <w:ind w:firstLine="480"/>
      </w:pPr>
      <w:r>
        <w:rPr>
          <w:rFonts w:hint="eastAsia"/>
        </w:rPr>
        <w:t>依据《环境影响评价技术导则</w:t>
      </w:r>
      <w:r>
        <w:rPr>
          <w:rFonts w:hint="eastAsia"/>
          <w:lang w:val="en-US" w:eastAsia="zh-CN"/>
        </w:rPr>
        <w:t xml:space="preserve">  </w:t>
      </w:r>
      <w:r>
        <w:rPr>
          <w:rFonts w:hint="eastAsia"/>
        </w:rPr>
        <w:t>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pStyle w:val="7"/>
        <w:ind w:firstLine="480"/>
      </w:pPr>
      <w:r>
        <w:rPr>
          <w:rFonts w:hint="eastAsia"/>
        </w:rPr>
        <w:t>依据《环境影响评价技术导则大气环境》（HJ2.2-2018）中最大地面浓度占标率P</w:t>
      </w:r>
      <w:r>
        <w:rPr>
          <w:rFonts w:hint="eastAsia"/>
          <w:vertAlign w:val="subscript"/>
        </w:rPr>
        <w:t>i</w:t>
      </w:r>
      <w:r>
        <w:rPr>
          <w:rFonts w:hint="eastAsia"/>
        </w:rPr>
        <w:t>定义如下：</w:t>
      </w:r>
    </w:p>
    <w:p>
      <w:pPr>
        <w:jc w:val="center"/>
        <w:rPr>
          <w:position w:val="-16"/>
        </w:rPr>
      </w:pPr>
      <w:r>
        <w:rPr>
          <w:rFonts w:hint="eastAsia"/>
          <w:position w:val="-16"/>
        </w:rPr>
        <w:object>
          <v:shape id="_x0000_i1025" o:spt="75" type="#_x0000_t75" style="height:25.35pt;width:84.1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p>
    <w:p>
      <w:pPr>
        <w:pStyle w:val="7"/>
        <w:ind w:firstLine="0" w:firstLineChars="0"/>
      </w:pPr>
      <w:r>
        <w:rPr>
          <w:rFonts w:hint="eastAsia"/>
        </w:rPr>
        <w:t>式中：P</w:t>
      </w:r>
      <w:r>
        <w:rPr>
          <w:rFonts w:hint="eastAsia"/>
          <w:vertAlign w:val="subscript"/>
        </w:rPr>
        <w:t>i</w:t>
      </w:r>
      <w:r>
        <w:rPr>
          <w:rFonts w:hint="eastAsia"/>
        </w:rPr>
        <w:t>—第i个污染物的最大地面空气质量浓度占标率，%；</w:t>
      </w:r>
    </w:p>
    <w:p>
      <w:pPr>
        <w:pStyle w:val="7"/>
        <w:ind w:firstLine="480"/>
      </w:pPr>
      <w:r>
        <w:rPr>
          <w:rFonts w:hint="eastAsia"/>
        </w:rPr>
        <w:t>C</w:t>
      </w:r>
      <w:r>
        <w:rPr>
          <w:rFonts w:hint="eastAsia"/>
          <w:vertAlign w:val="subscript"/>
        </w:rPr>
        <w:t>i</w:t>
      </w:r>
      <w:r>
        <w:rPr>
          <w:rFonts w:hint="eastAsia"/>
        </w:rPr>
        <w:t>—采用估算模型计算出的第i个污染物的最大1h地面空气质量浓度，ug/m</w:t>
      </w:r>
      <w:r>
        <w:rPr>
          <w:rFonts w:hint="eastAsia"/>
          <w:vertAlign w:val="superscript"/>
        </w:rPr>
        <w:t>3</w:t>
      </w:r>
      <w:r>
        <w:rPr>
          <w:rFonts w:hint="eastAsia"/>
        </w:rPr>
        <w:t>；</w:t>
      </w:r>
    </w:p>
    <w:p>
      <w:pPr>
        <w:pStyle w:val="7"/>
        <w:ind w:firstLine="480"/>
      </w:pPr>
      <w:r>
        <w:rPr>
          <w:rFonts w:hint="eastAsia"/>
        </w:rPr>
        <w:t>C</w:t>
      </w:r>
      <w:r>
        <w:rPr>
          <w:rFonts w:hint="eastAsia"/>
          <w:vertAlign w:val="subscript"/>
        </w:rPr>
        <w:t>0i</w:t>
      </w:r>
      <w:r>
        <w:rPr>
          <w:rFonts w:hint="eastAsia"/>
        </w:rPr>
        <w:t>—第i个污染物的环境空气质量浓度标准，μg/m</w:t>
      </w:r>
      <w:r>
        <w:rPr>
          <w:rFonts w:hint="eastAsia"/>
          <w:vertAlign w:val="superscript"/>
        </w:rPr>
        <w:t>3</w:t>
      </w:r>
      <w:r>
        <w:rPr>
          <w:rFonts w:hint="eastAsia"/>
        </w:rPr>
        <w:t>。</w:t>
      </w:r>
    </w:p>
    <w:p>
      <w:pPr>
        <w:pStyle w:val="7"/>
        <w:ind w:firstLine="480"/>
      </w:pPr>
      <w:r>
        <w:rPr>
          <w:rFonts w:hint="eastAsia"/>
        </w:rPr>
        <w:t>C</w:t>
      </w:r>
      <w:r>
        <w:rPr>
          <w:rFonts w:hint="eastAsia"/>
          <w:vertAlign w:val="subscript"/>
        </w:rPr>
        <w:t>0i</w:t>
      </w:r>
      <w:r>
        <w:rPr>
          <w:rFonts w:hint="eastAsia"/>
        </w:rPr>
        <w:t>选用GB3095中1h平均质量浓度的二级浓度限值，如项目位于一类环境空气功能区，应选择相应的一级浓度限值；对该标准中未包含的污染物，按照《环境影响评价技术导则大气环境》（HJ2.2-2018）5.2确定的各评价因子1小时平均质量浓度限值。对于该标准中仅有8h平均质量浓度限值、日平均质量浓度限值或年平均质量浓度限值的，可分别按2倍、3倍、6倍折算为1h平均质量浓度限值。</w:t>
      </w:r>
    </w:p>
    <w:p>
      <w:pPr>
        <w:pStyle w:val="7"/>
        <w:ind w:firstLine="480"/>
      </w:pPr>
      <w:r>
        <w:rPr>
          <w:rFonts w:hint="eastAsia"/>
        </w:rPr>
        <w:t>根据工程分析结果，本项目排放的主要废气污染物为TSP、PM</w:t>
      </w:r>
      <w:r>
        <w:rPr>
          <w:rFonts w:hint="eastAsia"/>
          <w:vertAlign w:val="subscript"/>
        </w:rPr>
        <w:t>10</w:t>
      </w:r>
      <w:r>
        <w:rPr>
          <w:rFonts w:hint="eastAsia"/>
        </w:rPr>
        <w:t>、SO</w:t>
      </w:r>
      <w:r>
        <w:rPr>
          <w:rFonts w:hint="eastAsia"/>
          <w:vertAlign w:val="subscript"/>
        </w:rPr>
        <w:t>2</w:t>
      </w:r>
      <w:r>
        <w:rPr>
          <w:rFonts w:hint="eastAsia"/>
        </w:rPr>
        <w:t>、NOx、氟化物，分别计算各污染源污染因子最大地面浓度占质量标准值的比率Pi。估算模式预测参数见表2.4-1，本项目分两阶段建设，其估算结果分别见表2.4-2。</w:t>
      </w:r>
    </w:p>
    <w:p>
      <w:pPr>
        <w:pStyle w:val="41"/>
      </w:pPr>
      <w:r>
        <w:rPr>
          <w:rFonts w:hint="eastAsia"/>
        </w:rPr>
        <w:t>表2.4-1  估算模式参数</w:t>
      </w:r>
    </w:p>
    <w:tbl>
      <w:tblPr>
        <w:tblStyle w:val="2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shd w:val="clear" w:color="auto" w:fill="auto"/>
            <w:vAlign w:val="center"/>
          </w:tcPr>
          <w:p>
            <w:pPr>
              <w:pStyle w:val="32"/>
            </w:pPr>
            <w:r>
              <w:rPr>
                <w:rFonts w:hint="eastAsia"/>
              </w:rPr>
              <w:t>参数</w:t>
            </w:r>
          </w:p>
        </w:tc>
        <w:tc>
          <w:tcPr>
            <w:tcW w:w="1666" w:type="pct"/>
            <w:shd w:val="clear" w:color="auto" w:fill="auto"/>
            <w:vAlign w:val="center"/>
          </w:tcPr>
          <w:p>
            <w:pPr>
              <w:pStyle w:val="32"/>
            </w:pPr>
            <w:r>
              <w:rPr>
                <w:rFonts w:hint="eastAsia"/>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restart"/>
            <w:shd w:val="clear" w:color="auto" w:fill="auto"/>
            <w:vAlign w:val="center"/>
          </w:tcPr>
          <w:p>
            <w:pPr>
              <w:pStyle w:val="32"/>
            </w:pPr>
            <w:r>
              <w:rPr>
                <w:rFonts w:hint="eastAsia"/>
              </w:rPr>
              <w:t>城市/农村选项</w:t>
            </w:r>
          </w:p>
        </w:tc>
        <w:tc>
          <w:tcPr>
            <w:tcW w:w="1666" w:type="pct"/>
            <w:shd w:val="clear" w:color="auto" w:fill="auto"/>
            <w:vAlign w:val="center"/>
          </w:tcPr>
          <w:p>
            <w:pPr>
              <w:pStyle w:val="32"/>
            </w:pPr>
            <w:r>
              <w:rPr>
                <w:rFonts w:hint="eastAsia"/>
              </w:rPr>
              <w:t>城市/农村</w:t>
            </w:r>
          </w:p>
        </w:tc>
        <w:tc>
          <w:tcPr>
            <w:tcW w:w="1666" w:type="pct"/>
            <w:shd w:val="clear" w:color="auto" w:fill="auto"/>
            <w:vAlign w:val="center"/>
          </w:tcPr>
          <w:p>
            <w:pPr>
              <w:pStyle w:val="32"/>
            </w:pPr>
            <w:r>
              <w:rPr>
                <w:rFonts w:hint="eastAsia"/>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shd w:val="clear" w:color="auto" w:fill="auto"/>
            <w:vAlign w:val="center"/>
          </w:tcPr>
          <w:p>
            <w:pPr>
              <w:pStyle w:val="32"/>
            </w:pPr>
          </w:p>
        </w:tc>
        <w:tc>
          <w:tcPr>
            <w:tcW w:w="1666" w:type="pct"/>
            <w:shd w:val="clear" w:color="auto" w:fill="auto"/>
            <w:vAlign w:val="center"/>
          </w:tcPr>
          <w:p>
            <w:pPr>
              <w:pStyle w:val="32"/>
            </w:pPr>
            <w:r>
              <w:rPr>
                <w:rFonts w:hint="eastAsia"/>
              </w:rPr>
              <w:t>人口数（城市选项时）</w:t>
            </w:r>
          </w:p>
        </w:tc>
        <w:tc>
          <w:tcPr>
            <w:tcW w:w="1666" w:type="pct"/>
            <w:shd w:val="clear" w:color="auto" w:fill="auto"/>
            <w:vAlign w:val="center"/>
          </w:tcPr>
          <w:p>
            <w:pPr>
              <w:pStyle w:val="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shd w:val="clear" w:color="auto" w:fill="auto"/>
            <w:vAlign w:val="center"/>
          </w:tcPr>
          <w:p>
            <w:pPr>
              <w:pStyle w:val="32"/>
            </w:pPr>
            <w:r>
              <w:rPr>
                <w:rFonts w:hint="eastAsia"/>
              </w:rPr>
              <w:t>最高环境温度/℃</w:t>
            </w:r>
          </w:p>
        </w:tc>
        <w:tc>
          <w:tcPr>
            <w:tcW w:w="1666" w:type="pct"/>
            <w:shd w:val="clear" w:color="auto" w:fill="auto"/>
            <w:vAlign w:val="center"/>
          </w:tcPr>
          <w:p>
            <w:pPr>
              <w:pStyle w:val="32"/>
            </w:pPr>
            <w:r>
              <w:rPr>
                <w:rFonts w:hint="eastAsia"/>
              </w:rPr>
              <w:t>34.9℃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shd w:val="clear" w:color="auto" w:fill="auto"/>
            <w:vAlign w:val="center"/>
          </w:tcPr>
          <w:p>
            <w:pPr>
              <w:pStyle w:val="32"/>
            </w:pPr>
            <w:r>
              <w:rPr>
                <w:rFonts w:hint="eastAsia"/>
              </w:rPr>
              <w:t>最低环境温度/℃</w:t>
            </w:r>
          </w:p>
        </w:tc>
        <w:tc>
          <w:tcPr>
            <w:tcW w:w="1666" w:type="pct"/>
            <w:shd w:val="clear" w:color="auto" w:fill="auto"/>
            <w:vAlign w:val="center"/>
          </w:tcPr>
          <w:p>
            <w:pPr>
              <w:pStyle w:val="32"/>
            </w:pPr>
            <w:r>
              <w:rPr>
                <w:rFonts w:hint="eastAsia"/>
              </w:rPr>
              <w:t>-</w:t>
            </w:r>
            <w:r>
              <w:rPr>
                <w:rFonts w:hint="eastAsia"/>
                <w:lang w:val="en-US" w:eastAsia="zh-CN"/>
              </w:rPr>
              <w:t>4.2</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shd w:val="clear" w:color="auto" w:fill="auto"/>
            <w:vAlign w:val="center"/>
          </w:tcPr>
          <w:p>
            <w:pPr>
              <w:pStyle w:val="32"/>
            </w:pPr>
            <w:r>
              <w:rPr>
                <w:rFonts w:hint="eastAsia"/>
              </w:rPr>
              <w:t>土地利用类型</w:t>
            </w:r>
          </w:p>
        </w:tc>
        <w:tc>
          <w:tcPr>
            <w:tcW w:w="1666" w:type="pct"/>
            <w:shd w:val="clear" w:color="auto" w:fill="auto"/>
            <w:vAlign w:val="center"/>
          </w:tcPr>
          <w:p>
            <w:pPr>
              <w:pStyle w:val="32"/>
            </w:pPr>
            <w:r>
              <w:rPr>
                <w:rFonts w:hint="eastAsia"/>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shd w:val="clear" w:color="auto" w:fill="auto"/>
            <w:vAlign w:val="center"/>
          </w:tcPr>
          <w:p>
            <w:pPr>
              <w:pStyle w:val="32"/>
            </w:pPr>
            <w:r>
              <w:rPr>
                <w:rFonts w:hint="eastAsia"/>
              </w:rPr>
              <w:t>区域湿度条件</w:t>
            </w:r>
          </w:p>
        </w:tc>
        <w:tc>
          <w:tcPr>
            <w:tcW w:w="1666" w:type="pct"/>
            <w:shd w:val="clear" w:color="auto" w:fill="auto"/>
            <w:vAlign w:val="center"/>
          </w:tcPr>
          <w:p>
            <w:pPr>
              <w:pStyle w:val="32"/>
            </w:pPr>
            <w:r>
              <w:rPr>
                <w:rFonts w:hint="eastAsia"/>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restart"/>
            <w:shd w:val="clear" w:color="auto" w:fill="auto"/>
            <w:vAlign w:val="center"/>
          </w:tcPr>
          <w:p>
            <w:pPr>
              <w:pStyle w:val="32"/>
            </w:pPr>
            <w:r>
              <w:rPr>
                <w:rFonts w:hint="eastAsia"/>
              </w:rPr>
              <w:t>是否考虑地形</w:t>
            </w:r>
          </w:p>
        </w:tc>
        <w:tc>
          <w:tcPr>
            <w:tcW w:w="1666" w:type="pct"/>
            <w:shd w:val="clear" w:color="auto" w:fill="auto"/>
            <w:vAlign w:val="center"/>
          </w:tcPr>
          <w:p>
            <w:pPr>
              <w:pStyle w:val="32"/>
            </w:pPr>
            <w:r>
              <w:rPr>
                <w:rFonts w:hint="eastAsia"/>
              </w:rPr>
              <w:t>考虑地形</w:t>
            </w:r>
          </w:p>
        </w:tc>
        <w:tc>
          <w:tcPr>
            <w:tcW w:w="1666" w:type="pct"/>
            <w:shd w:val="clear" w:color="auto" w:fill="auto"/>
            <w:vAlign w:val="center"/>
          </w:tcPr>
          <w:p>
            <w:pPr>
              <w:pStyle w:val="32"/>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shd w:val="clear" w:color="auto" w:fill="auto"/>
            <w:vAlign w:val="center"/>
          </w:tcPr>
          <w:p>
            <w:pPr>
              <w:pStyle w:val="32"/>
            </w:pPr>
          </w:p>
        </w:tc>
        <w:tc>
          <w:tcPr>
            <w:tcW w:w="1666" w:type="pct"/>
            <w:shd w:val="clear" w:color="auto" w:fill="auto"/>
            <w:vAlign w:val="center"/>
          </w:tcPr>
          <w:p>
            <w:pPr>
              <w:pStyle w:val="32"/>
            </w:pPr>
            <w:r>
              <w:rPr>
                <w:rFonts w:hint="eastAsia"/>
              </w:rPr>
              <w:t>地形数据分辨率/m</w:t>
            </w:r>
          </w:p>
        </w:tc>
        <w:tc>
          <w:tcPr>
            <w:tcW w:w="1666" w:type="pct"/>
            <w:shd w:val="clear" w:color="auto" w:fill="auto"/>
            <w:vAlign w:val="center"/>
          </w:tcPr>
          <w:p>
            <w:pPr>
              <w:pStyle w:val="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restart"/>
            <w:shd w:val="clear" w:color="auto" w:fill="auto"/>
            <w:vAlign w:val="center"/>
          </w:tcPr>
          <w:p>
            <w:pPr>
              <w:pStyle w:val="32"/>
            </w:pPr>
            <w:r>
              <w:rPr>
                <w:rFonts w:hint="eastAsia"/>
              </w:rPr>
              <w:t>是否考虑岸线熏烟</w:t>
            </w:r>
          </w:p>
        </w:tc>
        <w:tc>
          <w:tcPr>
            <w:tcW w:w="1666" w:type="pct"/>
            <w:shd w:val="clear" w:color="auto" w:fill="auto"/>
            <w:vAlign w:val="center"/>
          </w:tcPr>
          <w:p>
            <w:pPr>
              <w:pStyle w:val="32"/>
            </w:pPr>
            <w:r>
              <w:rPr>
                <w:rFonts w:hint="eastAsia"/>
              </w:rPr>
              <w:t>考虑岸线熏烟</w:t>
            </w:r>
          </w:p>
        </w:tc>
        <w:tc>
          <w:tcPr>
            <w:tcW w:w="1666" w:type="pct"/>
            <w:shd w:val="clear" w:color="auto" w:fill="auto"/>
            <w:vAlign w:val="center"/>
          </w:tcPr>
          <w:p>
            <w:pPr>
              <w:pStyle w:val="32"/>
            </w:pPr>
            <w:r>
              <w:rPr>
                <w:rFonts w:hint="eastAsia"/>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shd w:val="clear" w:color="auto" w:fill="auto"/>
            <w:vAlign w:val="center"/>
          </w:tcPr>
          <w:p>
            <w:pPr>
              <w:pStyle w:val="32"/>
            </w:pPr>
          </w:p>
        </w:tc>
        <w:tc>
          <w:tcPr>
            <w:tcW w:w="1666" w:type="pct"/>
            <w:shd w:val="clear" w:color="auto" w:fill="auto"/>
            <w:vAlign w:val="center"/>
          </w:tcPr>
          <w:p>
            <w:pPr>
              <w:pStyle w:val="32"/>
            </w:pPr>
            <w:r>
              <w:rPr>
                <w:rFonts w:hint="eastAsia"/>
              </w:rPr>
              <w:t>岸线距离/km</w:t>
            </w:r>
          </w:p>
        </w:tc>
        <w:tc>
          <w:tcPr>
            <w:tcW w:w="1666" w:type="pct"/>
            <w:shd w:val="clear" w:color="auto" w:fill="auto"/>
            <w:vAlign w:val="center"/>
          </w:tcPr>
          <w:p>
            <w:pPr>
              <w:pStyle w:val="32"/>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shd w:val="clear" w:color="auto" w:fill="auto"/>
            <w:vAlign w:val="center"/>
          </w:tcPr>
          <w:p>
            <w:pPr>
              <w:pStyle w:val="32"/>
            </w:pPr>
          </w:p>
        </w:tc>
        <w:tc>
          <w:tcPr>
            <w:tcW w:w="1666" w:type="pct"/>
            <w:shd w:val="clear" w:color="auto" w:fill="auto"/>
            <w:vAlign w:val="center"/>
          </w:tcPr>
          <w:p>
            <w:pPr>
              <w:pStyle w:val="32"/>
            </w:pPr>
            <w:r>
              <w:rPr>
                <w:rFonts w:hint="eastAsia"/>
              </w:rPr>
              <w:t>岸线方向/°</w:t>
            </w:r>
          </w:p>
        </w:tc>
        <w:tc>
          <w:tcPr>
            <w:tcW w:w="1666" w:type="pct"/>
            <w:shd w:val="clear" w:color="auto" w:fill="auto"/>
            <w:vAlign w:val="center"/>
          </w:tcPr>
          <w:p>
            <w:pPr>
              <w:pStyle w:val="32"/>
            </w:pPr>
            <w:r>
              <w:rPr>
                <w:rFonts w:hint="eastAsia"/>
              </w:rPr>
              <w:t>/</w:t>
            </w:r>
          </w:p>
        </w:tc>
      </w:tr>
    </w:tbl>
    <w:p>
      <w:pPr>
        <w:pStyle w:val="2"/>
        <w:spacing w:line="360" w:lineRule="auto"/>
        <w:ind w:left="0" w:leftChars="0" w:firstLine="480"/>
      </w:pPr>
    </w:p>
    <w:p>
      <w:pPr>
        <w:jc w:val="center"/>
        <w:rPr>
          <w:b/>
        </w:rPr>
        <w:sectPr>
          <w:footerReference r:id="rId7" w:type="default"/>
          <w:pgSz w:w="11906" w:h="16838"/>
          <w:pgMar w:top="1440" w:right="1800" w:bottom="1440" w:left="1800" w:header="851" w:footer="992" w:gutter="0"/>
          <w:cols w:space="425" w:num="1"/>
          <w:docGrid w:type="lines" w:linePitch="312" w:charSpace="0"/>
        </w:sectPr>
      </w:pPr>
    </w:p>
    <w:p>
      <w:pPr>
        <w:pStyle w:val="31"/>
      </w:pPr>
      <w:r>
        <w:t>表</w:t>
      </w:r>
      <w:r>
        <w:rPr>
          <w:rFonts w:hint="eastAsia"/>
        </w:rPr>
        <w:t>2.4-2</w:t>
      </w:r>
      <w:r>
        <w:t xml:space="preserve">  各源强所有污染物最大值占标率及最远D10%距离汇总表</w:t>
      </w:r>
    </w:p>
    <w:tbl>
      <w:tblPr>
        <w:tblStyle w:val="27"/>
        <w:tblW w:w="5020" w:type="pct"/>
        <w:tblInd w:w="-31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374"/>
        <w:gridCol w:w="1323"/>
        <w:gridCol w:w="649"/>
        <w:gridCol w:w="529"/>
        <w:gridCol w:w="506"/>
        <w:gridCol w:w="618"/>
        <w:gridCol w:w="537"/>
        <w:gridCol w:w="540"/>
        <w:gridCol w:w="672"/>
        <w:gridCol w:w="537"/>
        <w:gridCol w:w="543"/>
        <w:gridCol w:w="669"/>
        <w:gridCol w:w="537"/>
        <w:gridCol w:w="542"/>
        <w:gridCol w:w="668"/>
        <w:gridCol w:w="696"/>
        <w:gridCol w:w="643"/>
        <w:gridCol w:w="564"/>
        <w:gridCol w:w="573"/>
        <w:gridCol w:w="702"/>
        <w:gridCol w:w="550"/>
        <w:gridCol w:w="502"/>
        <w:gridCol w:w="55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vMerge w:val="restar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序号</w:t>
            </w:r>
          </w:p>
        </w:tc>
        <w:tc>
          <w:tcPr>
            <w:tcW w:w="471" w:type="pct"/>
            <w:vMerge w:val="restar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污染源名称</w:t>
            </w:r>
          </w:p>
        </w:tc>
        <w:tc>
          <w:tcPr>
            <w:tcW w:w="599" w:type="pct"/>
            <w:gridSpan w:val="3"/>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TSP</w:t>
            </w:r>
          </w:p>
        </w:tc>
        <w:tc>
          <w:tcPr>
            <w:tcW w:w="603" w:type="pct"/>
            <w:gridSpan w:val="3"/>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PM</w:t>
            </w:r>
            <w:r>
              <w:rPr>
                <w:rFonts w:hint="eastAsia"/>
                <w:kern w:val="0"/>
                <w:sz w:val="18"/>
                <w:szCs w:val="18"/>
                <w:vertAlign w:val="subscript"/>
                <w:lang w:bidi="ar"/>
              </w:rPr>
              <w:t>10</w:t>
            </w:r>
          </w:p>
        </w:tc>
        <w:tc>
          <w:tcPr>
            <w:tcW w:w="623" w:type="pct"/>
            <w:gridSpan w:val="3"/>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SO</w:t>
            </w:r>
            <w:r>
              <w:rPr>
                <w:kern w:val="0"/>
                <w:sz w:val="18"/>
                <w:szCs w:val="18"/>
                <w:vertAlign w:val="subscript"/>
                <w:lang w:bidi="ar"/>
              </w:rPr>
              <w:t>2</w:t>
            </w:r>
          </w:p>
        </w:tc>
        <w:tc>
          <w:tcPr>
            <w:tcW w:w="622" w:type="pct"/>
            <w:gridSpan w:val="3"/>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NO</w:t>
            </w:r>
            <w:r>
              <w:rPr>
                <w:kern w:val="0"/>
                <w:sz w:val="18"/>
                <w:szCs w:val="18"/>
                <w:vertAlign w:val="subscript"/>
                <w:lang w:bidi="ar"/>
              </w:rPr>
              <w:t>x</w:t>
            </w:r>
          </w:p>
        </w:tc>
        <w:tc>
          <w:tcPr>
            <w:tcW w:w="715" w:type="pct"/>
            <w:gridSpan w:val="3"/>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氟化物</w:t>
            </w:r>
          </w:p>
        </w:tc>
        <w:tc>
          <w:tcPr>
            <w:tcW w:w="655" w:type="pct"/>
            <w:gridSpan w:val="3"/>
            <w:tcBorders>
              <w:left w:val="single" w:color="auto" w:sz="4" w:space="0"/>
            </w:tcBorders>
            <w:vAlign w:val="center"/>
          </w:tcPr>
          <w:p>
            <w:pPr>
              <w:widowControl/>
              <w:jc w:val="center"/>
              <w:textAlignment w:val="center"/>
              <w:rPr>
                <w:kern w:val="0"/>
                <w:sz w:val="18"/>
                <w:szCs w:val="18"/>
              </w:rPr>
            </w:pPr>
            <w:r>
              <w:rPr>
                <w:kern w:val="0"/>
                <w:sz w:val="18"/>
                <w:szCs w:val="18"/>
                <w:lang w:bidi="ar"/>
              </w:rPr>
              <w:t>氯化氢</w:t>
            </w:r>
          </w:p>
        </w:tc>
        <w:tc>
          <w:tcPr>
            <w:tcW w:w="574" w:type="pct"/>
            <w:gridSpan w:val="3"/>
            <w:tcBorders>
              <w:left w:val="single" w:color="auto" w:sz="4" w:space="0"/>
            </w:tcBorders>
            <w:vAlign w:val="center"/>
          </w:tcPr>
          <w:p>
            <w:pPr>
              <w:widowControl/>
              <w:jc w:val="center"/>
              <w:textAlignment w:val="center"/>
              <w:rPr>
                <w:kern w:val="0"/>
                <w:sz w:val="18"/>
                <w:szCs w:val="18"/>
              </w:rPr>
            </w:pPr>
            <w:r>
              <w:rPr>
                <w:rFonts w:hint="eastAsia"/>
                <w:kern w:val="0"/>
                <w:sz w:val="18"/>
                <w:szCs w:val="18"/>
              </w:rPr>
              <w:t>氯气</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vMerge w:val="continue"/>
            <w:noWrap/>
            <w:tcMar>
              <w:top w:w="15" w:type="dxa"/>
              <w:left w:w="15" w:type="dxa"/>
              <w:right w:w="15" w:type="dxa"/>
            </w:tcMar>
            <w:vAlign w:val="center"/>
          </w:tcPr>
          <w:p>
            <w:pPr>
              <w:widowControl/>
              <w:jc w:val="center"/>
              <w:rPr>
                <w:kern w:val="0"/>
                <w:sz w:val="18"/>
                <w:szCs w:val="18"/>
              </w:rPr>
            </w:pPr>
          </w:p>
        </w:tc>
        <w:tc>
          <w:tcPr>
            <w:tcW w:w="471" w:type="pct"/>
            <w:vMerge w:val="continue"/>
            <w:noWrap/>
            <w:tcMar>
              <w:top w:w="15" w:type="dxa"/>
              <w:left w:w="15" w:type="dxa"/>
              <w:right w:w="15" w:type="dxa"/>
            </w:tcMar>
            <w:vAlign w:val="center"/>
          </w:tcPr>
          <w:p>
            <w:pPr>
              <w:widowControl/>
              <w:jc w:val="center"/>
              <w:rPr>
                <w:kern w:val="0"/>
                <w:sz w:val="18"/>
                <w:szCs w:val="18"/>
              </w:rPr>
            </w:pPr>
          </w:p>
        </w:tc>
        <w:tc>
          <w:tcPr>
            <w:tcW w:w="23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最大浓度（μg/m</w:t>
            </w:r>
            <w:r>
              <w:rPr>
                <w:kern w:val="0"/>
                <w:sz w:val="18"/>
                <w:szCs w:val="18"/>
                <w:vertAlign w:val="superscript"/>
                <w:lang w:bidi="ar"/>
              </w:rPr>
              <w:t>3</w:t>
            </w:r>
            <w:r>
              <w:rPr>
                <w:kern w:val="0"/>
                <w:sz w:val="18"/>
                <w:szCs w:val="18"/>
                <w:lang w:bidi="ar"/>
              </w:rPr>
              <w:t>）</w:t>
            </w:r>
          </w:p>
        </w:tc>
        <w:tc>
          <w:tcPr>
            <w:tcW w:w="188"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最大占标率（%）</w:t>
            </w:r>
          </w:p>
        </w:tc>
        <w:tc>
          <w:tcPr>
            <w:tcW w:w="179"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D10%最远距离（m）</w:t>
            </w:r>
          </w:p>
        </w:tc>
        <w:tc>
          <w:tcPr>
            <w:tcW w:w="220"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最大浓度（μg/m</w:t>
            </w:r>
            <w:r>
              <w:rPr>
                <w:kern w:val="0"/>
                <w:sz w:val="18"/>
                <w:szCs w:val="18"/>
                <w:vertAlign w:val="superscript"/>
                <w:lang w:bidi="ar"/>
              </w:rPr>
              <w:t>3</w:t>
            </w:r>
            <w:r>
              <w:rPr>
                <w:kern w:val="0"/>
                <w:sz w:val="18"/>
                <w:szCs w:val="18"/>
                <w:lang w:bidi="ar"/>
              </w:rPr>
              <w:t>）</w:t>
            </w:r>
          </w:p>
        </w:tc>
        <w:tc>
          <w:tcPr>
            <w:tcW w:w="19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最大占标率（%）</w:t>
            </w:r>
          </w:p>
        </w:tc>
        <w:tc>
          <w:tcPr>
            <w:tcW w:w="19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D10%最远距离</w:t>
            </w:r>
            <w:r>
              <w:rPr>
                <w:kern w:val="0"/>
                <w:sz w:val="18"/>
                <w:szCs w:val="18"/>
                <w:lang w:bidi="ar"/>
              </w:rPr>
              <w:br w:type="textWrapping"/>
            </w:r>
            <w:r>
              <w:rPr>
                <w:kern w:val="0"/>
                <w:sz w:val="18"/>
                <w:szCs w:val="18"/>
                <w:lang w:bidi="ar"/>
              </w:rPr>
              <w:t>（m）</w:t>
            </w:r>
          </w:p>
        </w:tc>
        <w:tc>
          <w:tcPr>
            <w:tcW w:w="239"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最大浓度（μg/m</w:t>
            </w:r>
            <w:r>
              <w:rPr>
                <w:kern w:val="0"/>
                <w:sz w:val="18"/>
                <w:szCs w:val="18"/>
                <w:vertAlign w:val="superscript"/>
                <w:lang w:bidi="ar"/>
              </w:rPr>
              <w:t>3</w:t>
            </w:r>
            <w:r>
              <w:rPr>
                <w:kern w:val="0"/>
                <w:sz w:val="18"/>
                <w:szCs w:val="18"/>
                <w:lang w:bidi="ar"/>
              </w:rPr>
              <w:t>）</w:t>
            </w:r>
          </w:p>
        </w:tc>
        <w:tc>
          <w:tcPr>
            <w:tcW w:w="19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最大占标率（%）</w:t>
            </w:r>
          </w:p>
        </w:tc>
        <w:tc>
          <w:tcPr>
            <w:tcW w:w="19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D10%最远距离（m）</w:t>
            </w:r>
          </w:p>
        </w:tc>
        <w:tc>
          <w:tcPr>
            <w:tcW w:w="238"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最大浓度（μg/m</w:t>
            </w:r>
            <w:r>
              <w:rPr>
                <w:kern w:val="0"/>
                <w:sz w:val="18"/>
                <w:szCs w:val="18"/>
                <w:vertAlign w:val="superscript"/>
                <w:lang w:bidi="ar"/>
              </w:rPr>
              <w:t>3</w:t>
            </w:r>
            <w:r>
              <w:rPr>
                <w:kern w:val="0"/>
                <w:sz w:val="18"/>
                <w:szCs w:val="18"/>
                <w:lang w:bidi="ar"/>
              </w:rPr>
              <w:t>）</w:t>
            </w:r>
          </w:p>
        </w:tc>
        <w:tc>
          <w:tcPr>
            <w:tcW w:w="19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最大占标率（%）</w:t>
            </w:r>
          </w:p>
        </w:tc>
        <w:tc>
          <w:tcPr>
            <w:tcW w:w="191"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D10%最远距离（m）</w:t>
            </w:r>
          </w:p>
        </w:tc>
        <w:tc>
          <w:tcPr>
            <w:tcW w:w="238" w:type="pct"/>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最大浓度</w:t>
            </w:r>
            <w:r>
              <w:rPr>
                <w:kern w:val="0"/>
                <w:sz w:val="18"/>
                <w:szCs w:val="18"/>
                <w:lang w:bidi="ar"/>
              </w:rPr>
              <w:br w:type="textWrapping"/>
            </w:r>
            <w:r>
              <w:rPr>
                <w:kern w:val="0"/>
                <w:sz w:val="18"/>
                <w:szCs w:val="18"/>
                <w:lang w:bidi="ar"/>
              </w:rPr>
              <w:t>（μg/m</w:t>
            </w:r>
            <w:r>
              <w:rPr>
                <w:kern w:val="0"/>
                <w:sz w:val="18"/>
                <w:szCs w:val="18"/>
                <w:vertAlign w:val="superscript"/>
                <w:lang w:bidi="ar"/>
              </w:rPr>
              <w:t>3</w:t>
            </w:r>
            <w:r>
              <w:rPr>
                <w:kern w:val="0"/>
                <w:sz w:val="18"/>
                <w:szCs w:val="18"/>
                <w:lang w:bidi="ar"/>
              </w:rPr>
              <w:t>）</w:t>
            </w:r>
          </w:p>
        </w:tc>
        <w:tc>
          <w:tcPr>
            <w:tcW w:w="248" w:type="pct"/>
            <w:tcBorders>
              <w:right w:val="single" w:color="auto" w:sz="4" w:space="0"/>
            </w:tcBorders>
            <w:tcMar>
              <w:top w:w="15" w:type="dxa"/>
              <w:left w:w="15" w:type="dxa"/>
              <w:right w:w="15" w:type="dxa"/>
            </w:tcMar>
            <w:vAlign w:val="center"/>
          </w:tcPr>
          <w:p>
            <w:pPr>
              <w:widowControl/>
              <w:jc w:val="center"/>
              <w:textAlignment w:val="center"/>
              <w:rPr>
                <w:kern w:val="0"/>
                <w:sz w:val="18"/>
                <w:szCs w:val="18"/>
              </w:rPr>
            </w:pPr>
            <w:r>
              <w:rPr>
                <w:kern w:val="0"/>
                <w:sz w:val="18"/>
                <w:szCs w:val="18"/>
                <w:lang w:bidi="ar"/>
              </w:rPr>
              <w:t>最大占标率（%）</w:t>
            </w:r>
          </w:p>
        </w:tc>
        <w:tc>
          <w:tcPr>
            <w:tcW w:w="228" w:type="pct"/>
            <w:tcBorders>
              <w:left w:val="single" w:color="auto" w:sz="4" w:space="0"/>
            </w:tcBorders>
            <w:tcMar>
              <w:top w:w="15" w:type="dxa"/>
              <w:left w:w="15" w:type="dxa"/>
              <w:right w:w="15" w:type="dxa"/>
            </w:tcMar>
            <w:vAlign w:val="center"/>
          </w:tcPr>
          <w:p>
            <w:pPr>
              <w:widowControl/>
              <w:jc w:val="center"/>
              <w:textAlignment w:val="center"/>
              <w:rPr>
                <w:kern w:val="0"/>
                <w:sz w:val="18"/>
                <w:szCs w:val="18"/>
              </w:rPr>
            </w:pPr>
            <w:r>
              <w:rPr>
                <w:kern w:val="0"/>
                <w:sz w:val="18"/>
                <w:szCs w:val="18"/>
                <w:lang w:bidi="ar"/>
              </w:rPr>
              <w:t>D10%最远距离（m）</w:t>
            </w:r>
          </w:p>
        </w:tc>
        <w:tc>
          <w:tcPr>
            <w:tcW w:w="201" w:type="pct"/>
            <w:tcBorders>
              <w:left w:val="single" w:color="auto" w:sz="4" w:space="0"/>
            </w:tcBorders>
            <w:vAlign w:val="center"/>
          </w:tcPr>
          <w:p>
            <w:pPr>
              <w:widowControl/>
              <w:jc w:val="center"/>
              <w:textAlignment w:val="center"/>
              <w:rPr>
                <w:kern w:val="0"/>
                <w:sz w:val="18"/>
                <w:szCs w:val="18"/>
                <w:lang w:bidi="ar"/>
              </w:rPr>
            </w:pPr>
            <w:r>
              <w:rPr>
                <w:kern w:val="0"/>
                <w:sz w:val="18"/>
                <w:szCs w:val="18"/>
                <w:lang w:bidi="ar"/>
              </w:rPr>
              <w:t>最大浓度（μg/m</w:t>
            </w:r>
            <w:r>
              <w:rPr>
                <w:kern w:val="0"/>
                <w:sz w:val="18"/>
                <w:szCs w:val="18"/>
                <w:vertAlign w:val="superscript"/>
                <w:lang w:bidi="ar"/>
              </w:rPr>
              <w:t>3</w:t>
            </w:r>
            <w:r>
              <w:rPr>
                <w:kern w:val="0"/>
                <w:sz w:val="18"/>
                <w:szCs w:val="18"/>
                <w:lang w:bidi="ar"/>
              </w:rPr>
              <w:t>）</w:t>
            </w:r>
          </w:p>
        </w:tc>
        <w:tc>
          <w:tcPr>
            <w:tcW w:w="204" w:type="pct"/>
            <w:tcBorders>
              <w:left w:val="single" w:color="auto" w:sz="4" w:space="0"/>
            </w:tcBorders>
            <w:vAlign w:val="center"/>
          </w:tcPr>
          <w:p>
            <w:pPr>
              <w:widowControl/>
              <w:jc w:val="center"/>
              <w:textAlignment w:val="center"/>
              <w:rPr>
                <w:kern w:val="0"/>
                <w:sz w:val="18"/>
                <w:szCs w:val="18"/>
                <w:lang w:bidi="ar"/>
              </w:rPr>
            </w:pPr>
            <w:r>
              <w:rPr>
                <w:kern w:val="0"/>
                <w:sz w:val="18"/>
                <w:szCs w:val="18"/>
                <w:lang w:bidi="ar"/>
              </w:rPr>
              <w:t>最大占标率（%）</w:t>
            </w:r>
          </w:p>
        </w:tc>
        <w:tc>
          <w:tcPr>
            <w:tcW w:w="249" w:type="pct"/>
            <w:tcBorders>
              <w:left w:val="single" w:color="auto" w:sz="4" w:space="0"/>
            </w:tcBorders>
            <w:vAlign w:val="center"/>
          </w:tcPr>
          <w:p>
            <w:pPr>
              <w:widowControl/>
              <w:jc w:val="center"/>
              <w:textAlignment w:val="center"/>
              <w:rPr>
                <w:kern w:val="0"/>
                <w:sz w:val="18"/>
                <w:szCs w:val="18"/>
                <w:lang w:bidi="ar"/>
              </w:rPr>
            </w:pPr>
            <w:r>
              <w:rPr>
                <w:kern w:val="0"/>
                <w:sz w:val="18"/>
                <w:szCs w:val="18"/>
                <w:lang w:bidi="ar"/>
              </w:rPr>
              <w:t>D10%最远距离（m）</w:t>
            </w:r>
          </w:p>
        </w:tc>
        <w:tc>
          <w:tcPr>
            <w:tcW w:w="196" w:type="pct"/>
            <w:tcBorders>
              <w:left w:val="single" w:color="auto" w:sz="4" w:space="0"/>
            </w:tcBorders>
            <w:vAlign w:val="center"/>
          </w:tcPr>
          <w:p>
            <w:pPr>
              <w:widowControl/>
              <w:jc w:val="center"/>
              <w:textAlignment w:val="center"/>
              <w:rPr>
                <w:kern w:val="0"/>
                <w:sz w:val="18"/>
                <w:szCs w:val="18"/>
                <w:lang w:bidi="ar"/>
              </w:rPr>
            </w:pPr>
            <w:r>
              <w:rPr>
                <w:kern w:val="0"/>
                <w:sz w:val="18"/>
                <w:szCs w:val="18"/>
                <w:lang w:bidi="ar"/>
              </w:rPr>
              <w:t>最大浓度（μg/m</w:t>
            </w:r>
            <w:r>
              <w:rPr>
                <w:kern w:val="0"/>
                <w:sz w:val="18"/>
                <w:szCs w:val="18"/>
                <w:vertAlign w:val="superscript"/>
                <w:lang w:bidi="ar"/>
              </w:rPr>
              <w:t>3</w:t>
            </w:r>
            <w:r>
              <w:rPr>
                <w:kern w:val="0"/>
                <w:sz w:val="18"/>
                <w:szCs w:val="18"/>
                <w:lang w:bidi="ar"/>
              </w:rPr>
              <w:t>）</w:t>
            </w:r>
          </w:p>
        </w:tc>
        <w:tc>
          <w:tcPr>
            <w:tcW w:w="179" w:type="pct"/>
            <w:tcBorders>
              <w:left w:val="single" w:color="auto" w:sz="4" w:space="0"/>
            </w:tcBorders>
            <w:vAlign w:val="center"/>
          </w:tcPr>
          <w:p>
            <w:pPr>
              <w:widowControl/>
              <w:jc w:val="center"/>
              <w:textAlignment w:val="center"/>
              <w:rPr>
                <w:kern w:val="0"/>
                <w:sz w:val="18"/>
                <w:szCs w:val="18"/>
                <w:lang w:bidi="ar"/>
              </w:rPr>
            </w:pPr>
            <w:r>
              <w:rPr>
                <w:kern w:val="0"/>
                <w:sz w:val="18"/>
                <w:szCs w:val="18"/>
                <w:lang w:bidi="ar"/>
              </w:rPr>
              <w:t>最大占标率（%）</w:t>
            </w:r>
          </w:p>
        </w:tc>
        <w:tc>
          <w:tcPr>
            <w:tcW w:w="199" w:type="pct"/>
            <w:tcBorders>
              <w:left w:val="single" w:color="auto" w:sz="4" w:space="0"/>
            </w:tcBorders>
            <w:vAlign w:val="center"/>
          </w:tcPr>
          <w:p>
            <w:pPr>
              <w:widowControl/>
              <w:jc w:val="center"/>
              <w:textAlignment w:val="center"/>
              <w:rPr>
                <w:kern w:val="0"/>
                <w:sz w:val="18"/>
                <w:szCs w:val="18"/>
                <w:lang w:bidi="ar"/>
              </w:rPr>
            </w:pPr>
            <w:r>
              <w:rPr>
                <w:kern w:val="0"/>
                <w:sz w:val="18"/>
                <w:szCs w:val="18"/>
                <w:lang w:bidi="ar"/>
              </w:rPr>
              <w:t>D10%最远距离（m）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1</w:t>
            </w:r>
          </w:p>
        </w:tc>
        <w:tc>
          <w:tcPr>
            <w:tcW w:w="47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一期工程生产</w:t>
            </w:r>
            <w:r>
              <w:rPr>
                <w:kern w:val="0"/>
                <w:sz w:val="18"/>
                <w:szCs w:val="18"/>
                <w:lang w:bidi="ar"/>
              </w:rPr>
              <w:t>车间熔保炉系统排气筒</w:t>
            </w:r>
            <w:r>
              <w:rPr>
                <w:rFonts w:hint="eastAsia"/>
                <w:kern w:val="0"/>
                <w:sz w:val="18"/>
                <w:szCs w:val="18"/>
                <w:lang w:bidi="ar"/>
              </w:rPr>
              <w:t>P-1</w:t>
            </w:r>
          </w:p>
        </w:tc>
        <w:tc>
          <w:tcPr>
            <w:tcW w:w="23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79"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11.7038</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2.6</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1.25</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0.25</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4.9546</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1.98</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0.0041</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0.02</w:t>
            </w:r>
          </w:p>
        </w:tc>
        <w:tc>
          <w:tcPr>
            <w:tcW w:w="22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01" w:type="pct"/>
            <w:vAlign w:val="center"/>
          </w:tcPr>
          <w:p>
            <w:pPr>
              <w:widowControl/>
              <w:jc w:val="center"/>
              <w:textAlignment w:val="center"/>
              <w:rPr>
                <w:kern w:val="0"/>
                <w:sz w:val="18"/>
                <w:szCs w:val="18"/>
                <w:lang w:bidi="ar"/>
              </w:rPr>
            </w:pPr>
            <w:r>
              <w:rPr>
                <w:rFonts w:hint="eastAsia"/>
                <w:kern w:val="0"/>
                <w:sz w:val="18"/>
                <w:szCs w:val="18"/>
                <w:lang w:bidi="ar"/>
              </w:rPr>
              <w:t>0.2048</w:t>
            </w:r>
          </w:p>
        </w:tc>
        <w:tc>
          <w:tcPr>
            <w:tcW w:w="204" w:type="pct"/>
            <w:vAlign w:val="center"/>
          </w:tcPr>
          <w:p>
            <w:pPr>
              <w:widowControl/>
              <w:jc w:val="center"/>
              <w:textAlignment w:val="center"/>
              <w:rPr>
                <w:kern w:val="0"/>
                <w:sz w:val="18"/>
                <w:szCs w:val="18"/>
                <w:lang w:bidi="ar"/>
              </w:rPr>
            </w:pPr>
            <w:r>
              <w:rPr>
                <w:rFonts w:hint="eastAsia"/>
                <w:kern w:val="0"/>
                <w:sz w:val="18"/>
                <w:szCs w:val="18"/>
                <w:lang w:bidi="ar"/>
              </w:rPr>
              <w:t>0.68</w:t>
            </w:r>
          </w:p>
        </w:tc>
        <w:tc>
          <w:tcPr>
            <w:tcW w:w="249" w:type="pct"/>
            <w:vAlign w:val="center"/>
          </w:tcPr>
          <w:p>
            <w:pPr>
              <w:widowControl/>
              <w:jc w:val="center"/>
              <w:textAlignment w:val="center"/>
              <w:rPr>
                <w:kern w:val="0"/>
                <w:sz w:val="18"/>
                <w:szCs w:val="18"/>
                <w:lang w:bidi="ar"/>
              </w:rPr>
            </w:pPr>
            <w:r>
              <w:rPr>
                <w:rFonts w:hint="eastAsia"/>
                <w:kern w:val="0"/>
                <w:sz w:val="18"/>
                <w:szCs w:val="18"/>
                <w:lang w:bidi="ar"/>
              </w:rPr>
              <w:t>/</w:t>
            </w:r>
          </w:p>
        </w:tc>
        <w:tc>
          <w:tcPr>
            <w:tcW w:w="196" w:type="pct"/>
            <w:vAlign w:val="center"/>
          </w:tcPr>
          <w:p>
            <w:pPr>
              <w:widowControl/>
              <w:jc w:val="center"/>
              <w:textAlignment w:val="center"/>
              <w:rPr>
                <w:kern w:val="0"/>
                <w:sz w:val="18"/>
                <w:szCs w:val="18"/>
                <w:lang w:bidi="ar"/>
              </w:rPr>
            </w:pPr>
            <w:r>
              <w:rPr>
                <w:rFonts w:hint="eastAsia"/>
                <w:kern w:val="0"/>
                <w:sz w:val="18"/>
                <w:szCs w:val="18"/>
                <w:lang w:bidi="ar"/>
              </w:rPr>
              <w:t>0.1170</w:t>
            </w:r>
          </w:p>
        </w:tc>
        <w:tc>
          <w:tcPr>
            <w:tcW w:w="179" w:type="pct"/>
            <w:vAlign w:val="center"/>
          </w:tcPr>
          <w:p>
            <w:pPr>
              <w:widowControl/>
              <w:jc w:val="center"/>
              <w:textAlignment w:val="center"/>
              <w:rPr>
                <w:kern w:val="0"/>
                <w:sz w:val="18"/>
                <w:szCs w:val="18"/>
                <w:lang w:bidi="ar"/>
              </w:rPr>
            </w:pPr>
            <w:r>
              <w:rPr>
                <w:rFonts w:hint="eastAsia"/>
                <w:kern w:val="0"/>
                <w:sz w:val="18"/>
                <w:szCs w:val="18"/>
                <w:lang w:bidi="ar"/>
              </w:rPr>
              <w:t>0.00</w:t>
            </w:r>
          </w:p>
        </w:tc>
        <w:tc>
          <w:tcPr>
            <w:tcW w:w="199" w:type="pct"/>
            <w:vAlign w:val="center"/>
          </w:tcPr>
          <w:p>
            <w:pPr>
              <w:widowControl/>
              <w:jc w:val="center"/>
              <w:textAlignment w:val="center"/>
              <w:rPr>
                <w:kern w:val="0"/>
                <w:sz w:val="18"/>
                <w:szCs w:val="18"/>
                <w:lang w:bidi="ar"/>
              </w:rPr>
            </w:pPr>
            <w:r>
              <w:rPr>
                <w:rFonts w:hint="eastAsia"/>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2</w:t>
            </w:r>
          </w:p>
        </w:tc>
        <w:tc>
          <w:tcPr>
            <w:tcW w:w="471" w:type="pct"/>
            <w:noWrap/>
            <w:tcMar>
              <w:top w:w="15" w:type="dxa"/>
              <w:left w:w="15" w:type="dxa"/>
              <w:right w:w="15" w:type="dxa"/>
            </w:tcMar>
            <w:vAlign w:val="center"/>
          </w:tcPr>
          <w:p>
            <w:pPr>
              <w:widowControl/>
              <w:jc w:val="center"/>
              <w:textAlignment w:val="center"/>
              <w:rPr>
                <w:kern w:val="0"/>
                <w:sz w:val="18"/>
                <w:szCs w:val="18"/>
              </w:rPr>
            </w:pPr>
            <w:r>
              <w:rPr>
                <w:rFonts w:hint="eastAsia"/>
                <w:sz w:val="18"/>
                <w:szCs w:val="18"/>
              </w:rPr>
              <w:t>一期工程铝灰分离系统排气筒</w:t>
            </w:r>
            <w:r>
              <w:rPr>
                <w:kern w:val="0"/>
                <w:sz w:val="18"/>
                <w:szCs w:val="18"/>
                <w:lang w:bidi="ar"/>
              </w:rPr>
              <w:t>P</w:t>
            </w:r>
            <w:r>
              <w:rPr>
                <w:rFonts w:hint="eastAsia"/>
                <w:kern w:val="0"/>
                <w:sz w:val="18"/>
                <w:szCs w:val="18"/>
                <w:lang w:bidi="ar"/>
              </w:rPr>
              <w:t>1-</w:t>
            </w:r>
            <w:r>
              <w:rPr>
                <w:kern w:val="0"/>
                <w:sz w:val="18"/>
                <w:szCs w:val="18"/>
                <w:lang w:bidi="ar"/>
              </w:rPr>
              <w:t>2</w:t>
            </w:r>
          </w:p>
        </w:tc>
        <w:tc>
          <w:tcPr>
            <w:tcW w:w="23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79"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48.7670</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10.84</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175</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3</w:t>
            </w:r>
          </w:p>
        </w:tc>
        <w:tc>
          <w:tcPr>
            <w:tcW w:w="471" w:type="pct"/>
            <w:noWrap/>
            <w:tcMar>
              <w:top w:w="15" w:type="dxa"/>
              <w:left w:w="15" w:type="dxa"/>
              <w:right w:w="15" w:type="dxa"/>
            </w:tcMar>
            <w:vAlign w:val="center"/>
          </w:tcPr>
          <w:p>
            <w:pPr>
              <w:widowControl/>
              <w:jc w:val="center"/>
              <w:textAlignment w:val="center"/>
              <w:rPr>
                <w:kern w:val="0"/>
                <w:sz w:val="18"/>
                <w:szCs w:val="18"/>
              </w:rPr>
            </w:pPr>
            <w:r>
              <w:rPr>
                <w:rFonts w:hint="eastAsia"/>
                <w:sz w:val="18"/>
                <w:szCs w:val="18"/>
              </w:rPr>
              <w:t>一期工程圆铸锭批次式均质炉排气筒</w:t>
            </w:r>
            <w:r>
              <w:rPr>
                <w:kern w:val="0"/>
                <w:sz w:val="18"/>
                <w:szCs w:val="18"/>
                <w:lang w:bidi="ar"/>
              </w:rPr>
              <w:t>P</w:t>
            </w:r>
            <w:r>
              <w:rPr>
                <w:rFonts w:hint="eastAsia"/>
                <w:kern w:val="0"/>
                <w:sz w:val="18"/>
                <w:szCs w:val="18"/>
                <w:lang w:bidi="ar"/>
              </w:rPr>
              <w:t>1-3</w:t>
            </w:r>
          </w:p>
        </w:tc>
        <w:tc>
          <w:tcPr>
            <w:tcW w:w="23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1.0026</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0.11</w:t>
            </w:r>
          </w:p>
        </w:tc>
        <w:tc>
          <w:tcPr>
            <w:tcW w:w="17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20"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1.6471</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0.33</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6.4452</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2.58</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4</w:t>
            </w:r>
          </w:p>
        </w:tc>
        <w:tc>
          <w:tcPr>
            <w:tcW w:w="471" w:type="pct"/>
            <w:noWrap/>
            <w:tcMar>
              <w:top w:w="15" w:type="dxa"/>
              <w:left w:w="15" w:type="dxa"/>
              <w:right w:w="15" w:type="dxa"/>
            </w:tcMar>
            <w:vAlign w:val="center"/>
          </w:tcPr>
          <w:p>
            <w:pPr>
              <w:widowControl/>
              <w:jc w:val="center"/>
              <w:textAlignment w:val="center"/>
              <w:rPr>
                <w:kern w:val="0"/>
                <w:sz w:val="18"/>
                <w:szCs w:val="18"/>
                <w:lang w:bidi="ar"/>
              </w:rPr>
            </w:pPr>
            <w:r>
              <w:rPr>
                <w:rFonts w:hint="eastAsia"/>
                <w:sz w:val="18"/>
                <w:szCs w:val="18"/>
              </w:rPr>
              <w:t>一期工程圆铸锭连续式均质炉排气筒</w:t>
            </w:r>
            <w:r>
              <w:rPr>
                <w:kern w:val="0"/>
                <w:sz w:val="18"/>
                <w:szCs w:val="18"/>
                <w:lang w:bidi="ar"/>
              </w:rPr>
              <w:t>P</w:t>
            </w:r>
            <w:r>
              <w:rPr>
                <w:rFonts w:hint="eastAsia"/>
                <w:kern w:val="0"/>
                <w:sz w:val="18"/>
                <w:szCs w:val="18"/>
                <w:lang w:bidi="ar"/>
              </w:rPr>
              <w:t>1-4</w:t>
            </w:r>
          </w:p>
        </w:tc>
        <w:tc>
          <w:tcPr>
            <w:tcW w:w="23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0.6569</w:t>
            </w:r>
          </w:p>
        </w:tc>
        <w:tc>
          <w:tcPr>
            <w:tcW w:w="188"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0.07</w:t>
            </w:r>
          </w:p>
        </w:tc>
        <w:tc>
          <w:tcPr>
            <w:tcW w:w="17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1.0627</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0.21</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4.3474</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1.74</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5</w:t>
            </w:r>
          </w:p>
        </w:tc>
        <w:tc>
          <w:tcPr>
            <w:tcW w:w="471" w:type="pct"/>
            <w:noWrap/>
            <w:tcMar>
              <w:top w:w="15" w:type="dxa"/>
              <w:left w:w="15" w:type="dxa"/>
              <w:right w:w="15" w:type="dxa"/>
            </w:tcMar>
            <w:vAlign w:val="center"/>
          </w:tcPr>
          <w:p>
            <w:pPr>
              <w:widowControl/>
              <w:jc w:val="center"/>
              <w:textAlignment w:val="center"/>
              <w:rPr>
                <w:kern w:val="0"/>
                <w:sz w:val="18"/>
                <w:szCs w:val="18"/>
              </w:rPr>
            </w:pPr>
            <w:r>
              <w:rPr>
                <w:rFonts w:hint="eastAsia"/>
                <w:sz w:val="18"/>
                <w:szCs w:val="18"/>
              </w:rPr>
              <w:t>一期工程板锭均质炉排气筒</w:t>
            </w:r>
            <w:r>
              <w:rPr>
                <w:kern w:val="0"/>
                <w:sz w:val="18"/>
                <w:szCs w:val="18"/>
                <w:lang w:bidi="ar"/>
              </w:rPr>
              <w:t>P</w:t>
            </w:r>
            <w:r>
              <w:rPr>
                <w:rFonts w:hint="eastAsia"/>
                <w:kern w:val="0"/>
                <w:sz w:val="18"/>
                <w:szCs w:val="18"/>
                <w:lang w:bidi="ar"/>
              </w:rPr>
              <w:t>1-5</w:t>
            </w:r>
          </w:p>
        </w:tc>
        <w:tc>
          <w:tcPr>
            <w:tcW w:w="23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1.0062</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0.11</w:t>
            </w:r>
          </w:p>
        </w:tc>
        <w:tc>
          <w:tcPr>
            <w:tcW w:w="17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20"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1.7105</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0.34</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6.7917</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2.72</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lang w:bidi="ar"/>
              </w:rPr>
            </w:pPr>
            <w:r>
              <w:rPr>
                <w:kern w:val="0"/>
                <w:sz w:val="18"/>
                <w:szCs w:val="18"/>
                <w:lang w:bidi="ar"/>
              </w:rPr>
              <w:t>6</w:t>
            </w:r>
          </w:p>
        </w:tc>
        <w:tc>
          <w:tcPr>
            <w:tcW w:w="47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二期工程生产</w:t>
            </w:r>
            <w:r>
              <w:rPr>
                <w:kern w:val="0"/>
                <w:sz w:val="18"/>
                <w:szCs w:val="18"/>
                <w:lang w:bidi="ar"/>
              </w:rPr>
              <w:t>车间熔保炉系统排气筒</w:t>
            </w:r>
            <w:r>
              <w:rPr>
                <w:rFonts w:hint="eastAsia"/>
                <w:kern w:val="0"/>
                <w:sz w:val="18"/>
                <w:szCs w:val="18"/>
                <w:lang w:bidi="ar"/>
              </w:rPr>
              <w:t>P2-1</w:t>
            </w:r>
          </w:p>
        </w:tc>
        <w:tc>
          <w:tcPr>
            <w:tcW w:w="23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79"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4.2496</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0.94</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0.6321</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0.13</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2.4626</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0.99</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0.0017</w:t>
            </w:r>
          </w:p>
        </w:tc>
        <w:tc>
          <w:tcPr>
            <w:tcW w:w="248"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0.01</w:t>
            </w:r>
          </w:p>
        </w:tc>
        <w:tc>
          <w:tcPr>
            <w:tcW w:w="228"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7</w:t>
            </w:r>
          </w:p>
        </w:tc>
        <w:tc>
          <w:tcPr>
            <w:tcW w:w="471" w:type="pct"/>
            <w:noWrap/>
            <w:tcMar>
              <w:top w:w="15" w:type="dxa"/>
              <w:left w:w="15" w:type="dxa"/>
              <w:right w:w="15" w:type="dxa"/>
            </w:tcMar>
            <w:vAlign w:val="center"/>
          </w:tcPr>
          <w:p>
            <w:pPr>
              <w:widowControl/>
              <w:jc w:val="center"/>
              <w:textAlignment w:val="center"/>
              <w:rPr>
                <w:kern w:val="0"/>
                <w:sz w:val="18"/>
                <w:szCs w:val="18"/>
              </w:rPr>
            </w:pPr>
            <w:r>
              <w:rPr>
                <w:rFonts w:hint="eastAsia"/>
                <w:sz w:val="18"/>
                <w:szCs w:val="18"/>
              </w:rPr>
              <w:t>二期工程铝灰分离系统排气筒P2-2</w:t>
            </w:r>
          </w:p>
        </w:tc>
        <w:tc>
          <w:tcPr>
            <w:tcW w:w="23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79"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2.5444</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0.57</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8</w:t>
            </w:r>
          </w:p>
        </w:tc>
        <w:tc>
          <w:tcPr>
            <w:tcW w:w="471" w:type="pct"/>
            <w:noWrap/>
            <w:tcMar>
              <w:top w:w="15" w:type="dxa"/>
              <w:left w:w="15" w:type="dxa"/>
              <w:right w:w="15" w:type="dxa"/>
            </w:tcMar>
            <w:vAlign w:val="center"/>
          </w:tcPr>
          <w:p>
            <w:pPr>
              <w:widowControl/>
              <w:jc w:val="center"/>
              <w:textAlignment w:val="center"/>
              <w:rPr>
                <w:sz w:val="18"/>
                <w:szCs w:val="18"/>
              </w:rPr>
            </w:pPr>
            <w:r>
              <w:rPr>
                <w:rFonts w:hint="eastAsia"/>
                <w:kern w:val="0"/>
                <w:sz w:val="18"/>
                <w:szCs w:val="18"/>
                <w:lang w:bidi="ar"/>
              </w:rPr>
              <w:t>一期工程熔保炉系统无组织</w:t>
            </w:r>
          </w:p>
        </w:tc>
        <w:tc>
          <w:tcPr>
            <w:tcW w:w="23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164.3800</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18.26</w:t>
            </w:r>
          </w:p>
        </w:tc>
        <w:tc>
          <w:tcPr>
            <w:tcW w:w="17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325</w:t>
            </w:r>
          </w:p>
        </w:tc>
        <w:tc>
          <w:tcPr>
            <w:tcW w:w="220"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9*</w:t>
            </w:r>
          </w:p>
        </w:tc>
        <w:tc>
          <w:tcPr>
            <w:tcW w:w="471" w:type="pct"/>
            <w:noWrap/>
            <w:tcMar>
              <w:top w:w="15" w:type="dxa"/>
              <w:left w:w="15" w:type="dxa"/>
              <w:right w:w="15" w:type="dxa"/>
            </w:tcMar>
            <w:vAlign w:val="center"/>
          </w:tcPr>
          <w:p>
            <w:pPr>
              <w:widowControl/>
              <w:jc w:val="center"/>
              <w:textAlignment w:val="center"/>
              <w:rPr>
                <w:sz w:val="18"/>
                <w:szCs w:val="18"/>
              </w:rPr>
            </w:pPr>
            <w:r>
              <w:rPr>
                <w:rFonts w:hint="eastAsia"/>
                <w:kern w:val="0"/>
                <w:sz w:val="18"/>
                <w:szCs w:val="18"/>
                <w:lang w:bidi="ar"/>
              </w:rPr>
              <w:t>一期工程</w:t>
            </w:r>
            <w:r>
              <w:rPr>
                <w:kern w:val="0"/>
                <w:sz w:val="18"/>
                <w:szCs w:val="18"/>
                <w:lang w:bidi="ar"/>
              </w:rPr>
              <w:t>铝灰分离系统</w:t>
            </w:r>
            <w:r>
              <w:rPr>
                <w:rFonts w:hint="eastAsia"/>
                <w:kern w:val="0"/>
                <w:sz w:val="18"/>
                <w:szCs w:val="18"/>
                <w:lang w:bidi="ar"/>
              </w:rPr>
              <w:t>无组织</w:t>
            </w:r>
          </w:p>
        </w:tc>
        <w:tc>
          <w:tcPr>
            <w:tcW w:w="23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30.902</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3.43</w:t>
            </w:r>
          </w:p>
        </w:tc>
        <w:tc>
          <w:tcPr>
            <w:tcW w:w="17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10</w:t>
            </w:r>
          </w:p>
        </w:tc>
        <w:tc>
          <w:tcPr>
            <w:tcW w:w="471" w:type="pct"/>
            <w:noWrap/>
            <w:tcMar>
              <w:top w:w="15" w:type="dxa"/>
              <w:left w:w="15" w:type="dxa"/>
              <w:right w:w="15" w:type="dxa"/>
            </w:tcMar>
            <w:vAlign w:val="center"/>
          </w:tcPr>
          <w:p>
            <w:pPr>
              <w:widowControl/>
              <w:jc w:val="center"/>
              <w:textAlignment w:val="center"/>
              <w:rPr>
                <w:sz w:val="18"/>
                <w:szCs w:val="18"/>
              </w:rPr>
            </w:pPr>
            <w:r>
              <w:rPr>
                <w:rFonts w:hint="eastAsia"/>
                <w:kern w:val="0"/>
                <w:sz w:val="18"/>
                <w:szCs w:val="18"/>
                <w:lang w:bidi="ar"/>
              </w:rPr>
              <w:t>二期工程生产车间无组织</w:t>
            </w:r>
          </w:p>
        </w:tc>
        <w:tc>
          <w:tcPr>
            <w:tcW w:w="23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27.7139</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3.08</w:t>
            </w:r>
          </w:p>
        </w:tc>
        <w:tc>
          <w:tcPr>
            <w:tcW w:w="17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0.0226</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0.00</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2.6526</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1.06</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33"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11</w:t>
            </w:r>
          </w:p>
        </w:tc>
        <w:tc>
          <w:tcPr>
            <w:tcW w:w="471" w:type="pct"/>
            <w:noWrap/>
            <w:tcMar>
              <w:top w:w="15" w:type="dxa"/>
              <w:left w:w="15" w:type="dxa"/>
              <w:right w:w="15" w:type="dxa"/>
            </w:tcMar>
            <w:vAlign w:val="center"/>
          </w:tcPr>
          <w:p>
            <w:pPr>
              <w:widowControl/>
              <w:jc w:val="center"/>
              <w:textAlignment w:val="center"/>
              <w:rPr>
                <w:sz w:val="18"/>
                <w:szCs w:val="18"/>
              </w:rPr>
            </w:pPr>
            <w:r>
              <w:rPr>
                <w:rFonts w:hint="eastAsia"/>
                <w:kern w:val="0"/>
                <w:sz w:val="18"/>
                <w:szCs w:val="18"/>
                <w:lang w:bidi="ar"/>
              </w:rPr>
              <w:t>二期工程</w:t>
            </w:r>
            <w:r>
              <w:rPr>
                <w:kern w:val="0"/>
                <w:sz w:val="18"/>
                <w:szCs w:val="18"/>
                <w:lang w:bidi="ar"/>
              </w:rPr>
              <w:t>铝灰分离系统</w:t>
            </w:r>
            <w:r>
              <w:rPr>
                <w:rFonts w:hint="eastAsia"/>
                <w:kern w:val="0"/>
                <w:sz w:val="18"/>
                <w:szCs w:val="18"/>
                <w:lang w:bidi="ar"/>
              </w:rPr>
              <w:t>无组织</w:t>
            </w:r>
          </w:p>
        </w:tc>
        <w:tc>
          <w:tcPr>
            <w:tcW w:w="23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7.4398</w:t>
            </w:r>
          </w:p>
        </w:tc>
        <w:tc>
          <w:tcPr>
            <w:tcW w:w="18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0.83</w:t>
            </w:r>
          </w:p>
        </w:tc>
        <w:tc>
          <w:tcPr>
            <w:tcW w:w="179"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220"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lang w:bidi="ar"/>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rPr>
              <w:t>/</w:t>
            </w:r>
          </w:p>
        </w:tc>
        <w:tc>
          <w:tcPr>
            <w:tcW w:w="239"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191"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3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48" w:type="pct"/>
            <w:noWrap/>
            <w:tcMar>
              <w:top w:w="15" w:type="dxa"/>
              <w:left w:w="15" w:type="dxa"/>
              <w:right w:w="15" w:type="dxa"/>
            </w:tcMar>
            <w:vAlign w:val="center"/>
          </w:tcPr>
          <w:p>
            <w:pPr>
              <w:widowControl/>
              <w:jc w:val="center"/>
              <w:textAlignment w:val="center"/>
              <w:rPr>
                <w:kern w:val="0"/>
                <w:sz w:val="18"/>
                <w:szCs w:val="18"/>
              </w:rPr>
            </w:pPr>
            <w:r>
              <w:rPr>
                <w:rFonts w:hint="eastAsia"/>
                <w:kern w:val="0"/>
                <w:sz w:val="18"/>
                <w:szCs w:val="18"/>
                <w:lang w:bidi="ar"/>
              </w:rPr>
              <w:t>/</w:t>
            </w:r>
          </w:p>
        </w:tc>
        <w:tc>
          <w:tcPr>
            <w:tcW w:w="228" w:type="pct"/>
            <w:noWrap/>
            <w:tcMar>
              <w:top w:w="15" w:type="dxa"/>
              <w:left w:w="15" w:type="dxa"/>
              <w:right w:w="15" w:type="dxa"/>
            </w:tcMar>
            <w:vAlign w:val="center"/>
          </w:tcPr>
          <w:p>
            <w:pPr>
              <w:widowControl/>
              <w:jc w:val="center"/>
              <w:textAlignment w:val="center"/>
              <w:rPr>
                <w:kern w:val="0"/>
                <w:sz w:val="18"/>
                <w:szCs w:val="18"/>
              </w:rPr>
            </w:pPr>
            <w:r>
              <w:rPr>
                <w:kern w:val="0"/>
                <w:sz w:val="18"/>
                <w:szCs w:val="18"/>
                <w:lang w:bidi="ar"/>
              </w:rPr>
              <w:t>/</w:t>
            </w:r>
          </w:p>
        </w:tc>
        <w:tc>
          <w:tcPr>
            <w:tcW w:w="201" w:type="pct"/>
            <w:vAlign w:val="center"/>
          </w:tcPr>
          <w:p>
            <w:pPr>
              <w:widowControl/>
              <w:jc w:val="center"/>
              <w:textAlignment w:val="center"/>
              <w:rPr>
                <w:kern w:val="0"/>
                <w:sz w:val="18"/>
                <w:szCs w:val="18"/>
              </w:rPr>
            </w:pPr>
            <w:r>
              <w:rPr>
                <w:rFonts w:hint="eastAsia"/>
                <w:kern w:val="0"/>
                <w:sz w:val="18"/>
                <w:szCs w:val="18"/>
                <w:lang w:bidi="ar"/>
              </w:rPr>
              <w:t>/</w:t>
            </w:r>
          </w:p>
        </w:tc>
        <w:tc>
          <w:tcPr>
            <w:tcW w:w="204" w:type="pct"/>
            <w:vAlign w:val="center"/>
          </w:tcPr>
          <w:p>
            <w:pPr>
              <w:widowControl/>
              <w:jc w:val="center"/>
              <w:textAlignment w:val="center"/>
              <w:rPr>
                <w:kern w:val="0"/>
                <w:sz w:val="18"/>
                <w:szCs w:val="18"/>
              </w:rPr>
            </w:pPr>
            <w:r>
              <w:rPr>
                <w:rFonts w:hint="eastAsia"/>
                <w:kern w:val="0"/>
                <w:sz w:val="18"/>
                <w:szCs w:val="18"/>
                <w:lang w:bidi="ar"/>
              </w:rPr>
              <w:t>/</w:t>
            </w:r>
          </w:p>
        </w:tc>
        <w:tc>
          <w:tcPr>
            <w:tcW w:w="249" w:type="pct"/>
            <w:vAlign w:val="center"/>
          </w:tcPr>
          <w:p>
            <w:pPr>
              <w:widowControl/>
              <w:jc w:val="center"/>
              <w:textAlignment w:val="center"/>
              <w:rPr>
                <w:kern w:val="0"/>
                <w:sz w:val="18"/>
                <w:szCs w:val="18"/>
              </w:rPr>
            </w:pPr>
            <w:r>
              <w:rPr>
                <w:kern w:val="0"/>
                <w:sz w:val="18"/>
                <w:szCs w:val="18"/>
                <w:lang w:bidi="ar"/>
              </w:rPr>
              <w:t>/</w:t>
            </w:r>
          </w:p>
        </w:tc>
        <w:tc>
          <w:tcPr>
            <w:tcW w:w="196" w:type="pct"/>
            <w:vAlign w:val="center"/>
          </w:tcPr>
          <w:p>
            <w:pPr>
              <w:widowControl/>
              <w:jc w:val="center"/>
              <w:textAlignment w:val="center"/>
              <w:rPr>
                <w:kern w:val="0"/>
                <w:sz w:val="18"/>
                <w:szCs w:val="18"/>
              </w:rPr>
            </w:pPr>
            <w:r>
              <w:rPr>
                <w:rFonts w:hint="eastAsia"/>
                <w:kern w:val="0"/>
                <w:sz w:val="18"/>
                <w:szCs w:val="18"/>
                <w:lang w:bidi="ar"/>
              </w:rPr>
              <w:t>/</w:t>
            </w:r>
          </w:p>
        </w:tc>
        <w:tc>
          <w:tcPr>
            <w:tcW w:w="179" w:type="pct"/>
            <w:vAlign w:val="center"/>
          </w:tcPr>
          <w:p>
            <w:pPr>
              <w:widowControl/>
              <w:jc w:val="center"/>
              <w:textAlignment w:val="center"/>
              <w:rPr>
                <w:kern w:val="0"/>
                <w:sz w:val="18"/>
                <w:szCs w:val="18"/>
              </w:rPr>
            </w:pPr>
            <w:r>
              <w:rPr>
                <w:rFonts w:hint="eastAsia"/>
                <w:kern w:val="0"/>
                <w:sz w:val="18"/>
                <w:szCs w:val="18"/>
                <w:lang w:bidi="ar"/>
              </w:rPr>
              <w:t>/</w:t>
            </w:r>
          </w:p>
        </w:tc>
        <w:tc>
          <w:tcPr>
            <w:tcW w:w="199" w:type="pct"/>
            <w:vAlign w:val="center"/>
          </w:tcPr>
          <w:p>
            <w:pPr>
              <w:widowControl/>
              <w:jc w:val="center"/>
              <w:textAlignment w:val="center"/>
              <w:rPr>
                <w:kern w:val="0"/>
                <w:sz w:val="18"/>
                <w:szCs w:val="18"/>
              </w:rPr>
            </w:pPr>
            <w:r>
              <w:rPr>
                <w:kern w:val="0"/>
                <w:sz w:val="18"/>
                <w:szCs w:val="18"/>
                <w:lang w:bidi="ar"/>
              </w:rPr>
              <w:t>/</w:t>
            </w:r>
          </w:p>
        </w:tc>
      </w:tr>
    </w:tbl>
    <w:p>
      <w:pPr>
        <w:pStyle w:val="2"/>
        <w:spacing w:line="360" w:lineRule="auto"/>
        <w:ind w:left="0" w:leftChars="0" w:firstLine="480"/>
        <w:sectPr>
          <w:pgSz w:w="16838" w:h="11906" w:orient="landscape"/>
          <w:pgMar w:top="1797" w:right="1440" w:bottom="1797" w:left="1440" w:header="851" w:footer="992" w:gutter="0"/>
          <w:cols w:space="425" w:num="1"/>
          <w:docGrid w:type="linesAndChars" w:linePitch="312" w:charSpace="0"/>
        </w:sectPr>
      </w:pPr>
    </w:p>
    <w:p>
      <w:pPr>
        <w:pStyle w:val="7"/>
        <w:ind w:firstLine="480"/>
      </w:pPr>
      <w:r>
        <w:rPr>
          <w:rFonts w:hint="eastAsia"/>
        </w:rPr>
        <w:t>（2）评价等级判别表</w:t>
      </w:r>
    </w:p>
    <w:p>
      <w:pPr>
        <w:pStyle w:val="7"/>
        <w:ind w:firstLine="480"/>
      </w:pPr>
      <w:r>
        <w:rPr>
          <w:rFonts w:hint="eastAsia"/>
        </w:rPr>
        <w:t>评价等级按下表的分级判据进行划分。</w:t>
      </w:r>
    </w:p>
    <w:p>
      <w:pPr>
        <w:pStyle w:val="41"/>
      </w:pPr>
      <w:r>
        <w:rPr>
          <w:rFonts w:hint="eastAsia"/>
        </w:rPr>
        <w:t>表2.4-3 评价等级判别表</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7"/>
        <w:gridCol w:w="5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2" w:type="pct"/>
          </w:tcPr>
          <w:p>
            <w:pPr>
              <w:pStyle w:val="32"/>
            </w:pPr>
            <w:r>
              <w:rPr>
                <w:rFonts w:hint="eastAsia"/>
              </w:rPr>
              <w:t>评价工作等级</w:t>
            </w:r>
          </w:p>
        </w:tc>
        <w:tc>
          <w:tcPr>
            <w:tcW w:w="3047" w:type="pct"/>
          </w:tcPr>
          <w:p>
            <w:pPr>
              <w:pStyle w:val="32"/>
            </w:pPr>
            <w:r>
              <w:rPr>
                <w:rFonts w:hint="eastAsia"/>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2" w:type="pct"/>
            <w:shd w:val="clear" w:color="auto" w:fill="auto"/>
          </w:tcPr>
          <w:p>
            <w:pPr>
              <w:pStyle w:val="32"/>
            </w:pPr>
            <w:r>
              <w:rPr>
                <w:rFonts w:hint="eastAsia"/>
              </w:rPr>
              <w:t>一级评价</w:t>
            </w:r>
          </w:p>
        </w:tc>
        <w:tc>
          <w:tcPr>
            <w:tcW w:w="3047" w:type="pct"/>
            <w:shd w:val="clear" w:color="auto" w:fill="auto"/>
          </w:tcPr>
          <w:p>
            <w:pPr>
              <w:pStyle w:val="32"/>
            </w:pPr>
            <w:r>
              <w:rPr>
                <w:rFonts w:hint="eastAsia"/>
              </w:rPr>
              <w:t>P</w:t>
            </w:r>
            <w:r>
              <w:rPr>
                <w:rFonts w:hint="eastAsia"/>
                <w:vertAlign w:val="subscript"/>
              </w:rPr>
              <w:t>max</w:t>
            </w: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2" w:type="pct"/>
            <w:shd w:val="clear" w:color="auto" w:fill="auto"/>
          </w:tcPr>
          <w:p>
            <w:pPr>
              <w:pStyle w:val="32"/>
            </w:pPr>
            <w:r>
              <w:rPr>
                <w:rFonts w:hint="eastAsia"/>
              </w:rPr>
              <w:t>二级评价</w:t>
            </w:r>
          </w:p>
        </w:tc>
        <w:tc>
          <w:tcPr>
            <w:tcW w:w="3047" w:type="pct"/>
            <w:shd w:val="clear" w:color="auto" w:fill="auto"/>
          </w:tcPr>
          <w:p>
            <w:pPr>
              <w:pStyle w:val="32"/>
            </w:pPr>
            <w:r>
              <w:rPr>
                <w:rFonts w:hint="eastAsia"/>
              </w:rPr>
              <w:t>1%≦P</w:t>
            </w:r>
            <w:r>
              <w:rPr>
                <w:rFonts w:hint="eastAsia"/>
                <w:vertAlign w:val="subscript"/>
              </w:rPr>
              <w:t>max</w:t>
            </w:r>
            <w:r>
              <w:rPr>
                <w:rFonts w:hint="eastAsia"/>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2" w:type="pct"/>
            <w:shd w:val="clear" w:color="auto" w:fill="auto"/>
          </w:tcPr>
          <w:p>
            <w:pPr>
              <w:pStyle w:val="32"/>
            </w:pPr>
            <w:r>
              <w:rPr>
                <w:rFonts w:hint="eastAsia"/>
              </w:rPr>
              <w:t>三级评价</w:t>
            </w:r>
          </w:p>
        </w:tc>
        <w:tc>
          <w:tcPr>
            <w:tcW w:w="3047" w:type="pct"/>
            <w:shd w:val="clear" w:color="auto" w:fill="auto"/>
          </w:tcPr>
          <w:p>
            <w:pPr>
              <w:pStyle w:val="32"/>
            </w:pPr>
            <w:r>
              <w:rPr>
                <w:rFonts w:hint="eastAsia"/>
              </w:rPr>
              <w:t>P</w:t>
            </w:r>
            <w:r>
              <w:rPr>
                <w:rFonts w:hint="eastAsia"/>
                <w:vertAlign w:val="subscript"/>
              </w:rPr>
              <w:t>max</w:t>
            </w:r>
            <w:r>
              <w:rPr>
                <w:rFonts w:hint="eastAsia"/>
              </w:rPr>
              <w:t>&lt;1%</w:t>
            </w:r>
          </w:p>
        </w:tc>
      </w:tr>
    </w:tbl>
    <w:p>
      <w:pPr>
        <w:pStyle w:val="7"/>
        <w:ind w:firstLine="480"/>
        <w:rPr>
          <w:bCs/>
        </w:rPr>
      </w:pPr>
      <w:r>
        <w:rPr>
          <w:rFonts w:hint="eastAsia"/>
        </w:rPr>
        <w:t>由上表可知，</w:t>
      </w:r>
      <w:bookmarkStart w:id="42" w:name="_Hlk43355729"/>
      <w:r>
        <w:rPr>
          <w:bCs/>
        </w:rPr>
        <w:t>项目P</w:t>
      </w:r>
      <w:r>
        <w:rPr>
          <w:bCs/>
          <w:vertAlign w:val="subscript"/>
        </w:rPr>
        <w:t>max</w:t>
      </w:r>
      <w:r>
        <w:rPr>
          <w:bCs/>
        </w:rPr>
        <w:t>最大值出现为</w:t>
      </w:r>
      <w:r>
        <w:rPr>
          <w:rFonts w:hint="eastAsia"/>
          <w:bCs/>
        </w:rPr>
        <w:t>一期工程熔保炉系统无组织排放</w:t>
      </w:r>
      <w:r>
        <w:rPr>
          <w:bCs/>
        </w:rPr>
        <w:t>的</w:t>
      </w:r>
      <w:r>
        <w:rPr>
          <w:rFonts w:hint="eastAsia"/>
          <w:bCs/>
        </w:rPr>
        <w:t>粉尘，</w:t>
      </w:r>
      <w:r>
        <w:rPr>
          <w:bCs/>
        </w:rPr>
        <w:t>P</w:t>
      </w:r>
      <w:r>
        <w:rPr>
          <w:bCs/>
          <w:vertAlign w:val="subscript"/>
        </w:rPr>
        <w:t>max</w:t>
      </w:r>
      <w:r>
        <w:rPr>
          <w:bCs/>
        </w:rPr>
        <w:t>值为</w:t>
      </w:r>
      <w:r>
        <w:rPr>
          <w:rFonts w:hint="eastAsia"/>
          <w:bCs/>
        </w:rPr>
        <w:t>18.26</w:t>
      </w:r>
      <w:r>
        <w:rPr>
          <w:bCs/>
        </w:rPr>
        <w:t>%</w:t>
      </w:r>
      <w:r>
        <w:rPr>
          <w:rFonts w:hint="eastAsia"/>
          <w:bCs/>
        </w:rPr>
        <w:t>，</w:t>
      </w:r>
      <w:r>
        <w:rPr>
          <w:bCs/>
        </w:rPr>
        <w:t>C</w:t>
      </w:r>
      <w:r>
        <w:rPr>
          <w:bCs/>
          <w:vertAlign w:val="subscript"/>
        </w:rPr>
        <w:t>max</w:t>
      </w:r>
      <w:r>
        <w:rPr>
          <w:bCs/>
        </w:rPr>
        <w:t>为</w:t>
      </w:r>
      <w:r>
        <w:rPr>
          <w:rFonts w:hint="eastAsia"/>
          <w:bCs/>
        </w:rPr>
        <w:t>164.380</w:t>
      </w:r>
      <w:r>
        <w:rPr>
          <w:bCs/>
        </w:rPr>
        <w:t>μg/m³，D</w:t>
      </w:r>
      <w:r>
        <w:rPr>
          <w:bCs/>
          <w:vertAlign w:val="subscript"/>
        </w:rPr>
        <w:t>10%</w:t>
      </w:r>
      <w:r>
        <w:rPr>
          <w:bCs/>
        </w:rPr>
        <w:t>为</w:t>
      </w:r>
      <w:r>
        <w:rPr>
          <w:rFonts w:hint="eastAsia"/>
          <w:bCs/>
        </w:rPr>
        <w:t>325</w:t>
      </w:r>
      <w:r>
        <w:rPr>
          <w:bCs/>
        </w:rPr>
        <w:t>m，根据导则评价等级为一级，占标率10%的最远距离D</w:t>
      </w:r>
      <w:r>
        <w:rPr>
          <w:bCs/>
          <w:vertAlign w:val="subscript"/>
        </w:rPr>
        <w:t>10%</w:t>
      </w:r>
      <w:r>
        <w:rPr>
          <w:bCs/>
        </w:rPr>
        <w:t>小于2.5km，评价范围为边长取5km的矩形区域。</w:t>
      </w:r>
    </w:p>
    <w:bookmarkEnd w:id="42"/>
    <w:p>
      <w:pPr>
        <w:ind w:firstLine="482"/>
        <w:rPr>
          <w:b/>
          <w:bCs/>
        </w:rPr>
      </w:pPr>
      <w:r>
        <w:rPr>
          <w:rFonts w:hint="eastAsia"/>
          <w:b/>
          <w:bCs/>
        </w:rPr>
        <w:t>2、评价范围</w:t>
      </w:r>
    </w:p>
    <w:p>
      <w:pPr>
        <w:pStyle w:val="7"/>
        <w:ind w:firstLine="480"/>
      </w:pPr>
      <w:r>
        <w:rPr>
          <w:rFonts w:hint="eastAsia"/>
        </w:rPr>
        <w:t>结合本项目布局及大气污染排放特征，本项目D</w:t>
      </w:r>
      <w:r>
        <w:rPr>
          <w:rFonts w:hint="eastAsia"/>
          <w:vertAlign w:val="subscript"/>
        </w:rPr>
        <w:t>10%</w:t>
      </w:r>
      <w:r>
        <w:rPr>
          <w:rFonts w:hint="eastAsia"/>
        </w:rPr>
        <w:t>＜2.5km，确定大气环境影响评价范围为：以厂址中点为中心，边长为5km的正方形区域，约25km</w:t>
      </w:r>
      <w:r>
        <w:rPr>
          <w:rFonts w:hint="eastAsia"/>
          <w:vertAlign w:val="superscript"/>
        </w:rPr>
        <w:t>2</w:t>
      </w:r>
      <w:r>
        <w:rPr>
          <w:rFonts w:hint="eastAsia"/>
        </w:rPr>
        <w:t>。</w:t>
      </w:r>
    </w:p>
    <w:p>
      <w:pPr>
        <w:pStyle w:val="8"/>
      </w:pPr>
      <w:r>
        <w:rPr>
          <w:rFonts w:hint="eastAsia"/>
        </w:rPr>
        <w:t>2.4.2地表水环境影响评价</w:t>
      </w:r>
    </w:p>
    <w:p>
      <w:pPr>
        <w:pStyle w:val="7"/>
        <w:ind w:firstLine="482"/>
        <w:rPr>
          <w:b/>
          <w:bCs/>
        </w:rPr>
      </w:pPr>
      <w:r>
        <w:rPr>
          <w:rFonts w:hint="eastAsia"/>
          <w:b/>
          <w:bCs/>
        </w:rPr>
        <w:t>1、评价工作等级</w:t>
      </w:r>
    </w:p>
    <w:p>
      <w:pPr>
        <w:pStyle w:val="7"/>
        <w:ind w:firstLine="480"/>
      </w:pPr>
      <w:r>
        <w:rPr>
          <w:rFonts w:hint="eastAsia"/>
        </w:rPr>
        <w:t>根据《环境影响评价技术导则 地表水环境》（HJ2.3-2018）关于水污染影响型建设项目评价等级表判定，判定表见下表：</w:t>
      </w:r>
    </w:p>
    <w:p>
      <w:pPr>
        <w:pStyle w:val="31"/>
      </w:pPr>
      <w:r>
        <w:rPr>
          <w:rFonts w:hint="eastAsia"/>
        </w:rPr>
        <w:t>表2.4-4  水污染影响型建设项目评价等级判定表</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3"/>
        <w:gridCol w:w="2278"/>
        <w:gridCol w:w="4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Merge w:val="restart"/>
            <w:vAlign w:val="center"/>
          </w:tcPr>
          <w:p>
            <w:pPr>
              <w:pStyle w:val="32"/>
            </w:pPr>
            <w:r>
              <w:t>评价等级</w:t>
            </w:r>
          </w:p>
        </w:tc>
        <w:tc>
          <w:tcPr>
            <w:tcW w:w="4211" w:type="pct"/>
            <w:gridSpan w:val="2"/>
            <w:vAlign w:val="center"/>
          </w:tcPr>
          <w:p>
            <w:pPr>
              <w:pStyle w:val="32"/>
            </w:pPr>
            <w: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Merge w:val="continue"/>
            <w:vAlign w:val="center"/>
          </w:tcPr>
          <w:p>
            <w:pPr>
              <w:pStyle w:val="32"/>
            </w:pPr>
          </w:p>
        </w:tc>
        <w:tc>
          <w:tcPr>
            <w:tcW w:w="1337" w:type="pct"/>
            <w:vAlign w:val="center"/>
          </w:tcPr>
          <w:p>
            <w:pPr>
              <w:pStyle w:val="32"/>
            </w:pPr>
            <w:r>
              <w:t>排放方式</w:t>
            </w:r>
          </w:p>
        </w:tc>
        <w:tc>
          <w:tcPr>
            <w:tcW w:w="2874" w:type="pct"/>
            <w:vAlign w:val="center"/>
          </w:tcPr>
          <w:p>
            <w:pPr>
              <w:pStyle w:val="32"/>
            </w:pPr>
            <w:r>
              <w:t>废水排放量Q/（m</w:t>
            </w:r>
            <w:r>
              <w:rPr>
                <w:vertAlign w:val="superscript"/>
              </w:rPr>
              <w:t>3</w:t>
            </w:r>
            <w:r>
              <w:t>/d）、水污染当量数W/（无量纲）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pStyle w:val="32"/>
            </w:pPr>
            <w:r>
              <w:t>一级</w:t>
            </w:r>
          </w:p>
        </w:tc>
        <w:tc>
          <w:tcPr>
            <w:tcW w:w="1337" w:type="pct"/>
            <w:vAlign w:val="center"/>
          </w:tcPr>
          <w:p>
            <w:pPr>
              <w:pStyle w:val="32"/>
            </w:pPr>
            <w:r>
              <w:t>直接排放</w:t>
            </w:r>
          </w:p>
        </w:tc>
        <w:tc>
          <w:tcPr>
            <w:tcW w:w="2874" w:type="pct"/>
            <w:vAlign w:val="center"/>
          </w:tcPr>
          <w:p>
            <w:pPr>
              <w:pStyle w:val="32"/>
            </w:pPr>
            <w: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pct"/>
            <w:vAlign w:val="center"/>
          </w:tcPr>
          <w:p>
            <w:pPr>
              <w:pStyle w:val="32"/>
            </w:pPr>
            <w:r>
              <w:t>二级</w:t>
            </w:r>
          </w:p>
        </w:tc>
        <w:tc>
          <w:tcPr>
            <w:tcW w:w="1337" w:type="pct"/>
            <w:vAlign w:val="center"/>
          </w:tcPr>
          <w:p>
            <w:pPr>
              <w:pStyle w:val="32"/>
            </w:pPr>
            <w:r>
              <w:t>直接排放</w:t>
            </w:r>
          </w:p>
        </w:tc>
        <w:tc>
          <w:tcPr>
            <w:tcW w:w="2874" w:type="pct"/>
            <w:vAlign w:val="center"/>
          </w:tcPr>
          <w:p>
            <w:pPr>
              <w:pStyle w:val="32"/>
            </w:pPr>
            <w: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pStyle w:val="32"/>
            </w:pPr>
            <w:r>
              <w:t>三级A</w:t>
            </w:r>
          </w:p>
        </w:tc>
        <w:tc>
          <w:tcPr>
            <w:tcW w:w="1337" w:type="pct"/>
            <w:vAlign w:val="center"/>
          </w:tcPr>
          <w:p>
            <w:pPr>
              <w:pStyle w:val="32"/>
            </w:pPr>
            <w:r>
              <w:t>直接排放</w:t>
            </w:r>
          </w:p>
        </w:tc>
        <w:tc>
          <w:tcPr>
            <w:tcW w:w="2874" w:type="pct"/>
            <w:vAlign w:val="center"/>
          </w:tcPr>
          <w:p>
            <w:pPr>
              <w:pStyle w:val="32"/>
            </w:pPr>
            <w: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pStyle w:val="32"/>
            </w:pPr>
            <w:r>
              <w:t>三级B</w:t>
            </w:r>
          </w:p>
        </w:tc>
        <w:tc>
          <w:tcPr>
            <w:tcW w:w="1337" w:type="pct"/>
            <w:vAlign w:val="center"/>
          </w:tcPr>
          <w:p>
            <w:pPr>
              <w:pStyle w:val="32"/>
            </w:pPr>
            <w:r>
              <w:t>间接排放</w:t>
            </w:r>
          </w:p>
        </w:tc>
        <w:tc>
          <w:tcPr>
            <w:tcW w:w="2874" w:type="pct"/>
            <w:vAlign w:val="center"/>
          </w:tcPr>
          <w:p>
            <w:pPr>
              <w:pStyle w:val="32"/>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3"/>
            <w:vAlign w:val="center"/>
          </w:tcPr>
          <w:p>
            <w:pPr>
              <w:pStyle w:val="32"/>
              <w:ind w:firstLine="420" w:firstLineChars="200"/>
              <w:jc w:val="left"/>
            </w:pPr>
            <w:r>
              <w:t>注1：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r>
              <w:rPr>
                <w:rFonts w:hint="eastAsia"/>
              </w:rPr>
              <w:t>。</w:t>
            </w:r>
            <w:r>
              <w:t>注3：厂区存在堆积物、降尘污染的，应将初期雨污水纳入废水排放量，相应的主要污染物纳入水污染当量计算</w:t>
            </w:r>
            <w:r>
              <w:rPr>
                <w:rFonts w:hint="eastAsia"/>
              </w:rPr>
              <w:t>。</w:t>
            </w:r>
            <w:r>
              <w:t>注4：建设项目直接排放第一类污染物的，其评价等级为一级：建设项目直接排放的污染物为受纳水体超标因子的，评价等级不低于二级</w:t>
            </w:r>
            <w:r>
              <w:rPr>
                <w:rFonts w:hint="eastAsia"/>
              </w:rPr>
              <w:t>。</w:t>
            </w:r>
            <w:r>
              <w:t>注5：直接排放受纳水体影响范围涉及饮用水水源保护区、饮用水取水口、重点保护与珍稀水生生物的栖息地、重要水生生物的自然产卵场等保护目标时，评价等级不低于二级</w:t>
            </w:r>
            <w:r>
              <w:rPr>
                <w:rFonts w:hint="eastAsia"/>
              </w:rPr>
              <w:t>。</w:t>
            </w:r>
          </w:p>
          <w:p>
            <w:pPr>
              <w:pStyle w:val="32"/>
              <w:ind w:firstLine="420" w:firstLineChars="200"/>
              <w:jc w:val="left"/>
            </w:pPr>
            <w:r>
              <w:t>注6：建设项目向河流、湖库排放温排水引起受纳水体水温变化超过水环境质量标准要求，且评价范围有水温敏感目标时，评价等级为一级</w:t>
            </w:r>
            <w:r>
              <w:rPr>
                <w:rFonts w:hint="eastAsia"/>
              </w:rPr>
              <w:t>。</w:t>
            </w:r>
          </w:p>
          <w:p>
            <w:pPr>
              <w:pStyle w:val="32"/>
              <w:ind w:firstLine="420" w:firstLineChars="200"/>
              <w:jc w:val="left"/>
            </w:pPr>
            <w:r>
              <w:t>注7：建设项目利用海水作为调节温度介质，排水量≥500万m</w:t>
            </w:r>
            <w:r>
              <w:rPr>
                <w:vertAlign w:val="superscript"/>
              </w:rPr>
              <w:t>3</w:t>
            </w:r>
            <w:r>
              <w:rPr>
                <w:rFonts w:hint="eastAsia"/>
              </w:rPr>
              <w:t>/</w:t>
            </w:r>
            <w:r>
              <w:t>d，评价等级为一级；排水量&lt;500万m</w:t>
            </w:r>
            <w:r>
              <w:rPr>
                <w:vertAlign w:val="superscript"/>
              </w:rPr>
              <w:t>3</w:t>
            </w:r>
            <w:r>
              <w:rPr>
                <w:rFonts w:hint="eastAsia"/>
              </w:rPr>
              <w:t>/</w:t>
            </w:r>
            <w:r>
              <w:t>d，评价等级为二级</w:t>
            </w:r>
            <w:r>
              <w:rPr>
                <w:rFonts w:hint="eastAsia"/>
              </w:rPr>
              <w:t>。</w:t>
            </w:r>
          </w:p>
          <w:p>
            <w:pPr>
              <w:pStyle w:val="32"/>
              <w:ind w:firstLine="420" w:firstLineChars="200"/>
              <w:jc w:val="left"/>
            </w:pPr>
            <w:r>
              <w:t>注8：仅涉及清净下水排放的，如其排放水质满足受纳水体水环境质量标准要求的，评价等级为三级A。</w:t>
            </w:r>
          </w:p>
          <w:p>
            <w:pPr>
              <w:pStyle w:val="32"/>
              <w:ind w:firstLine="420" w:firstLineChars="200"/>
              <w:jc w:val="left"/>
            </w:pPr>
            <w:r>
              <w:t>注9：依托现有排放口，且对外环境未新增排放污染物的直接排放建设项目，评价等级参照间接排放，定为三级B</w:t>
            </w:r>
            <w:r>
              <w:rPr>
                <w:rFonts w:hint="eastAsia"/>
              </w:rPr>
              <w:t>。</w:t>
            </w:r>
          </w:p>
          <w:p>
            <w:pPr>
              <w:pStyle w:val="32"/>
              <w:ind w:firstLine="420" w:firstLineChars="200"/>
              <w:jc w:val="left"/>
            </w:pPr>
            <w:r>
              <w:t>注10：建设项目生产工艺中有废水产生，但作为回水利用，不排放到外环境的，按三级B评价。</w:t>
            </w:r>
          </w:p>
        </w:tc>
      </w:tr>
    </w:tbl>
    <w:p>
      <w:pPr>
        <w:spacing w:line="360" w:lineRule="auto"/>
        <w:ind w:firstLine="482"/>
        <w:rPr>
          <w:kern w:val="0"/>
        </w:rPr>
      </w:pPr>
      <w:r>
        <w:rPr>
          <w:kern w:val="0"/>
        </w:rPr>
        <w:t>根据工程分析本项目</w:t>
      </w:r>
      <w:r>
        <w:rPr>
          <w:rFonts w:hint="eastAsia"/>
          <w:kern w:val="0"/>
        </w:rPr>
        <w:t>初期雨水经处理</w:t>
      </w:r>
      <w:r>
        <w:rPr>
          <w:kern w:val="0"/>
        </w:rPr>
        <w:t>达到</w:t>
      </w:r>
      <w:r>
        <w:t>《城市污水再生利用 城市杂用水水质》</w:t>
      </w:r>
      <w:r>
        <w:rPr>
          <w:rFonts w:hint="eastAsia"/>
        </w:rPr>
        <w:t>（GB/T18920-2020）</w:t>
      </w:r>
      <w:r>
        <w:t>中城市绿化用水标准</w:t>
      </w:r>
      <w:r>
        <w:rPr>
          <w:rFonts w:hint="eastAsia"/>
        </w:rPr>
        <w:t>以及《城市污水再生利用工业用水水质》（GB/T19923-2005）中低值后回用于</w:t>
      </w:r>
      <w:r>
        <w:rPr>
          <w:rFonts w:hint="eastAsia"/>
          <w:bCs/>
        </w:rPr>
        <w:t>晴天厂区绿化及道路清扫，剩余部分用于冷却循环补充水，不外排</w:t>
      </w:r>
      <w:r>
        <w:rPr>
          <w:kern w:val="0"/>
        </w:rPr>
        <w:t>，</w:t>
      </w:r>
      <w:r>
        <w:rPr>
          <w:rFonts w:hint="eastAsia"/>
          <w:kern w:val="0"/>
        </w:rPr>
        <w:t>生活污水以及冷却循环定期排水进入市政污水管网，最终由砚山县第一污水处理厂处理后排放。</w:t>
      </w:r>
      <w:r>
        <w:rPr>
          <w:kern w:val="0"/>
        </w:rPr>
        <w:t>本项目正常生产情况下，无废水</w:t>
      </w:r>
      <w:r>
        <w:rPr>
          <w:rFonts w:hint="eastAsia"/>
          <w:kern w:val="0"/>
        </w:rPr>
        <w:t>直接</w:t>
      </w:r>
      <w:r>
        <w:rPr>
          <w:kern w:val="0"/>
        </w:rPr>
        <w:t>外排</w:t>
      </w:r>
      <w:r>
        <w:t>。</w:t>
      </w:r>
      <w:r>
        <w:rPr>
          <w:kern w:val="0"/>
        </w:rPr>
        <w:t>根据《环境影响评价技术导则—地表水环境》（HJ2.3-2018）评价分级判据，评价等级为三级B。</w:t>
      </w:r>
      <w:r>
        <w:t>对废水不外排的可靠性和可行性进行重点论述。</w:t>
      </w:r>
    </w:p>
    <w:p>
      <w:pPr>
        <w:pStyle w:val="7"/>
        <w:ind w:firstLine="482"/>
        <w:rPr>
          <w:b/>
          <w:bCs/>
        </w:rPr>
      </w:pPr>
      <w:r>
        <w:rPr>
          <w:rFonts w:hint="eastAsia"/>
          <w:b/>
          <w:bCs/>
        </w:rPr>
        <w:t>2、评价范围</w:t>
      </w:r>
    </w:p>
    <w:p>
      <w:pPr>
        <w:pStyle w:val="7"/>
        <w:ind w:firstLine="480"/>
      </w:pPr>
      <w:r>
        <w:rPr>
          <w:kern w:val="0"/>
        </w:rPr>
        <w:t>本项目正常生产情况下，无废水</w:t>
      </w:r>
      <w:r>
        <w:rPr>
          <w:rFonts w:hint="eastAsia"/>
          <w:kern w:val="0"/>
        </w:rPr>
        <w:t>直接</w:t>
      </w:r>
      <w:r>
        <w:rPr>
          <w:kern w:val="0"/>
        </w:rPr>
        <w:t>外排</w:t>
      </w:r>
      <w:r>
        <w:rPr>
          <w:rFonts w:hint="eastAsia"/>
        </w:rPr>
        <w:t>。本次地表水评价主要针对污水处理设施可行性及废水不外排的可靠性进行分析。不设评价范围。</w:t>
      </w:r>
    </w:p>
    <w:p>
      <w:pPr>
        <w:pStyle w:val="8"/>
      </w:pPr>
      <w:r>
        <w:rPr>
          <w:rFonts w:hint="eastAsia"/>
        </w:rPr>
        <w:t>2.4.3地下水环境</w:t>
      </w:r>
    </w:p>
    <w:p>
      <w:pPr>
        <w:pStyle w:val="12"/>
        <w:rPr>
          <w:b/>
          <w:bCs/>
        </w:rPr>
      </w:pPr>
      <w:r>
        <w:rPr>
          <w:rFonts w:hint="eastAsia"/>
          <w:b/>
          <w:bCs/>
        </w:rPr>
        <w:t>1、评价等级</w:t>
      </w:r>
    </w:p>
    <w:p>
      <w:pPr>
        <w:pStyle w:val="7"/>
        <w:ind w:firstLine="480"/>
      </w:pPr>
      <w:r>
        <w:t>本项目在营运及服务期满后会对地下水环境产生一定影响，依据《环境影响评价技术导则  地下水环境》（HJ610-2016）中地下水环境影响评价工作等级划分的原则，项目属于Ⅲ类建设项目。</w:t>
      </w:r>
    </w:p>
    <w:p>
      <w:pPr>
        <w:pStyle w:val="7"/>
        <w:ind w:firstLine="480"/>
      </w:pPr>
      <w:r>
        <w:rPr>
          <w:rFonts w:hint="eastAsia"/>
        </w:rPr>
        <w:t>根据Ⅲ类项目评价等级划分对照表分析，拟建项目场地所处拟建项目场地所处石炭系（C</w:t>
      </w:r>
      <w:r>
        <w:rPr>
          <w:rFonts w:hint="eastAsia"/>
          <w:vertAlign w:val="subscript"/>
        </w:rPr>
        <w:t>2w</w:t>
      </w:r>
      <w:r>
        <w:rPr>
          <w:rFonts w:hint="eastAsia"/>
        </w:rPr>
        <w:t>、C</w:t>
      </w:r>
      <w:r>
        <w:rPr>
          <w:rFonts w:hint="eastAsia"/>
          <w:vertAlign w:val="subscript"/>
        </w:rPr>
        <w:t>1d</w:t>
      </w:r>
      <w:r>
        <w:rPr>
          <w:rFonts w:hint="eastAsia"/>
        </w:rPr>
        <w:t>、C</w:t>
      </w:r>
      <w:r>
        <w:rPr>
          <w:rFonts w:hint="eastAsia"/>
          <w:vertAlign w:val="subscript"/>
        </w:rPr>
        <w:t>3m</w:t>
      </w:r>
      <w:r>
        <w:rPr>
          <w:rFonts w:hint="eastAsia"/>
        </w:rPr>
        <w:t>）及二叠系（P</w:t>
      </w:r>
      <w:r>
        <w:rPr>
          <w:rFonts w:hint="eastAsia"/>
          <w:vertAlign w:val="subscript"/>
        </w:rPr>
        <w:t>1</w:t>
      </w:r>
      <w:r>
        <w:rPr>
          <w:rFonts w:hint="eastAsia"/>
        </w:rPr>
        <w:t>、P</w:t>
      </w:r>
      <w:r>
        <w:rPr>
          <w:rFonts w:hint="eastAsia"/>
          <w:vertAlign w:val="subscript"/>
        </w:rPr>
        <w:t>2w</w:t>
      </w:r>
      <w:r>
        <w:rPr>
          <w:rFonts w:hint="eastAsia"/>
        </w:rPr>
        <w:t>）岩溶含水层及三叠系（T</w:t>
      </w:r>
      <w:r>
        <w:rPr>
          <w:rFonts w:hint="eastAsia"/>
          <w:vertAlign w:val="subscript"/>
        </w:rPr>
        <w:t>1x</w:t>
      </w:r>
      <w:r>
        <w:rPr>
          <w:rFonts w:hint="eastAsia"/>
        </w:rPr>
        <w:t>）和下第三系砚山组（Ey）裂隙弱透水层），根据砚山县水务局印发《砚山县工业园区周边村寨供水水源替代工作方案》的通知，采取水源替代方案后地下水环境不敏感。</w:t>
      </w:r>
    </w:p>
    <w:p>
      <w:pPr>
        <w:pStyle w:val="7"/>
        <w:ind w:firstLine="480"/>
      </w:pPr>
      <w:r>
        <w:rPr>
          <w:rFonts w:hint="eastAsia"/>
        </w:rPr>
        <w:t>根据《环境影响评价技术导则</w:t>
      </w:r>
      <w:r>
        <w:rPr>
          <w:rFonts w:hint="eastAsia"/>
          <w:lang w:val="en-US" w:eastAsia="zh-CN"/>
        </w:rPr>
        <w:t xml:space="preserve">  </w:t>
      </w:r>
      <w:r>
        <w:rPr>
          <w:rFonts w:hint="eastAsia"/>
        </w:rPr>
        <w:t>地下水环境》（</w:t>
      </w:r>
      <w:r>
        <w:t>HJ610-2016</w:t>
      </w:r>
      <w:r>
        <w:rPr>
          <w:rFonts w:hint="eastAsia"/>
        </w:rPr>
        <w:t>），评价建设项目所属地下水环境影响评价项目类别判定见表2.4-5，建设项目的地下水环境敏感程度分级判别见表2.4-6。</w:t>
      </w:r>
    </w:p>
    <w:p>
      <w:pPr>
        <w:pStyle w:val="31"/>
      </w:pPr>
      <w:r>
        <w:t>表</w:t>
      </w:r>
      <w:r>
        <w:rPr>
          <w:rFonts w:hint="eastAsia"/>
        </w:rPr>
        <w:t>2.4-5</w:t>
      </w:r>
      <w:r>
        <w:t xml:space="preserve">  地下水环境敏感程度分级表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9"/>
        <w:gridCol w:w="6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51" w:type="dxa"/>
            <w:vAlign w:val="center"/>
          </w:tcPr>
          <w:p>
            <w:pPr>
              <w:pStyle w:val="32"/>
            </w:pPr>
            <w:r>
              <w:t>敏感程度</w:t>
            </w:r>
          </w:p>
        </w:tc>
        <w:tc>
          <w:tcPr>
            <w:tcW w:w="7165" w:type="dxa"/>
            <w:vAlign w:val="center"/>
          </w:tcPr>
          <w:p>
            <w:pPr>
              <w:pStyle w:val="32"/>
            </w:pPr>
            <w: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32"/>
            </w:pPr>
            <w:r>
              <w:t>敏感</w:t>
            </w:r>
          </w:p>
        </w:tc>
        <w:tc>
          <w:tcPr>
            <w:tcW w:w="7165" w:type="dxa"/>
            <w:vAlign w:val="center"/>
          </w:tcPr>
          <w:p>
            <w:pPr>
              <w:pStyle w:val="32"/>
            </w:pPr>
            <w:r>
              <w:t>集中式饮用水水源（包括已建成的在用、备用、应急水源，在建和规划的饮用水水源）准保护区；除集中式饮用水水源以外的国家或地方政府设定的与地下水环境相关的</w:t>
            </w:r>
            <w:r>
              <w:rPr>
                <w:rFonts w:hint="eastAsia"/>
                <w:lang w:eastAsia="zh-CN"/>
              </w:rPr>
              <w:t>其他</w:t>
            </w:r>
            <w:r>
              <w:t>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vAlign w:val="center"/>
          </w:tcPr>
          <w:p>
            <w:pPr>
              <w:pStyle w:val="32"/>
            </w:pPr>
            <w:r>
              <w:t>较敏感</w:t>
            </w:r>
          </w:p>
        </w:tc>
        <w:tc>
          <w:tcPr>
            <w:tcW w:w="7165" w:type="dxa"/>
            <w:vAlign w:val="center"/>
          </w:tcPr>
          <w:p>
            <w:pPr>
              <w:pStyle w:val="32"/>
            </w:pPr>
            <w: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1" w:type="dxa"/>
            <w:shd w:val="clear" w:color="auto" w:fill="D7D7D7" w:themeFill="background1" w:themeFillShade="D8"/>
            <w:vAlign w:val="center"/>
          </w:tcPr>
          <w:p>
            <w:pPr>
              <w:pStyle w:val="32"/>
            </w:pPr>
            <w:r>
              <w:t>不敏感</w:t>
            </w:r>
          </w:p>
        </w:tc>
        <w:tc>
          <w:tcPr>
            <w:tcW w:w="7165" w:type="dxa"/>
            <w:shd w:val="clear" w:color="auto" w:fill="D7D7D7" w:themeFill="background1" w:themeFillShade="D8"/>
            <w:vAlign w:val="center"/>
          </w:tcPr>
          <w:p>
            <w:pPr>
              <w:pStyle w:val="32"/>
            </w:pPr>
            <w:r>
              <w:t>上述地区之外的</w:t>
            </w:r>
            <w:r>
              <w:rPr>
                <w:rFonts w:hint="eastAsia"/>
                <w:lang w:eastAsia="zh-CN"/>
              </w:rPr>
              <w:t>其他</w:t>
            </w:r>
            <w:r>
              <w:t>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16" w:type="dxa"/>
            <w:gridSpan w:val="2"/>
            <w:vAlign w:val="center"/>
          </w:tcPr>
          <w:p>
            <w:pPr>
              <w:pStyle w:val="32"/>
            </w:pPr>
            <w:r>
              <w:t>注：a“环境敏感区”是指《建设项目环境影响评价分来管理名录》中所界定的涉及地下水的环境敏感区。</w:t>
            </w:r>
          </w:p>
        </w:tc>
      </w:tr>
    </w:tbl>
    <w:p>
      <w:pPr>
        <w:pStyle w:val="31"/>
      </w:pPr>
      <w:r>
        <w:t>表</w:t>
      </w:r>
      <w:r>
        <w:rPr>
          <w:rFonts w:hint="eastAsia"/>
        </w:rPr>
        <w:t>2.4-6</w:t>
      </w:r>
      <w:r>
        <w:t xml:space="preserve">  评价区地下水环境影响评价工作等级划分</w:t>
      </w:r>
    </w:p>
    <w:tbl>
      <w:tblPr>
        <w:tblStyle w:val="27"/>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50" w:type="pct"/>
          </w:tcPr>
          <w:p>
            <w:pPr>
              <w:pStyle w:val="32"/>
              <w:jc w:val="right"/>
            </w:pPr>
            <w:r>
              <w:t>项目类别</w:t>
            </w:r>
          </w:p>
          <w:p>
            <w:pPr>
              <w:pStyle w:val="32"/>
              <w:jc w:val="left"/>
            </w:pPr>
            <w:r>
              <w:t>环境敏感程度</w:t>
            </w:r>
          </w:p>
        </w:tc>
        <w:tc>
          <w:tcPr>
            <w:tcW w:w="1250" w:type="pct"/>
            <w:vAlign w:val="center"/>
          </w:tcPr>
          <w:p>
            <w:pPr>
              <w:pStyle w:val="32"/>
            </w:pPr>
            <w:r>
              <w:t>I类项目</w:t>
            </w:r>
          </w:p>
        </w:tc>
        <w:tc>
          <w:tcPr>
            <w:tcW w:w="1250" w:type="pct"/>
            <w:vAlign w:val="center"/>
          </w:tcPr>
          <w:p>
            <w:pPr>
              <w:pStyle w:val="32"/>
            </w:pPr>
            <w:r>
              <w:t>II类项目</w:t>
            </w:r>
          </w:p>
        </w:tc>
        <w:tc>
          <w:tcPr>
            <w:tcW w:w="1250" w:type="pct"/>
            <w:vAlign w:val="center"/>
          </w:tcPr>
          <w:p>
            <w:pPr>
              <w:pStyle w:val="32"/>
            </w:pPr>
            <w:r>
              <w:t>III类项目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50" w:type="pct"/>
            <w:vAlign w:val="center"/>
          </w:tcPr>
          <w:p>
            <w:pPr>
              <w:pStyle w:val="32"/>
            </w:pPr>
            <w:r>
              <w:t>敏感</w:t>
            </w:r>
          </w:p>
        </w:tc>
        <w:tc>
          <w:tcPr>
            <w:tcW w:w="1250" w:type="pct"/>
            <w:vAlign w:val="center"/>
          </w:tcPr>
          <w:p>
            <w:pPr>
              <w:pStyle w:val="32"/>
            </w:pPr>
            <w:r>
              <w:t>一</w:t>
            </w:r>
          </w:p>
        </w:tc>
        <w:tc>
          <w:tcPr>
            <w:tcW w:w="1250" w:type="pct"/>
            <w:vAlign w:val="center"/>
          </w:tcPr>
          <w:p>
            <w:pPr>
              <w:pStyle w:val="32"/>
            </w:pPr>
            <w:r>
              <w:t>一</w:t>
            </w:r>
          </w:p>
        </w:tc>
        <w:tc>
          <w:tcPr>
            <w:tcW w:w="1250" w:type="pct"/>
            <w:vAlign w:val="center"/>
          </w:tcPr>
          <w:p>
            <w:pPr>
              <w:pStyle w:val="32"/>
            </w:pPr>
            <w:r>
              <w:t>二</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50" w:type="pct"/>
            <w:vAlign w:val="center"/>
          </w:tcPr>
          <w:p>
            <w:pPr>
              <w:pStyle w:val="32"/>
            </w:pPr>
            <w:r>
              <w:t>较敏感</w:t>
            </w:r>
          </w:p>
        </w:tc>
        <w:tc>
          <w:tcPr>
            <w:tcW w:w="1250" w:type="pct"/>
            <w:tcBorders>
              <w:bottom w:val="single" w:color="auto" w:sz="2" w:space="0"/>
            </w:tcBorders>
            <w:vAlign w:val="center"/>
          </w:tcPr>
          <w:p>
            <w:pPr>
              <w:pStyle w:val="32"/>
            </w:pPr>
            <w:r>
              <w:t>一</w:t>
            </w:r>
          </w:p>
        </w:tc>
        <w:tc>
          <w:tcPr>
            <w:tcW w:w="1250" w:type="pct"/>
            <w:vAlign w:val="center"/>
          </w:tcPr>
          <w:p>
            <w:pPr>
              <w:pStyle w:val="32"/>
            </w:pPr>
            <w:r>
              <w:t>二</w:t>
            </w:r>
          </w:p>
        </w:tc>
        <w:tc>
          <w:tcPr>
            <w:tcW w:w="1250" w:type="pct"/>
            <w:vAlign w:val="center"/>
          </w:tcPr>
          <w:p>
            <w:pPr>
              <w:pStyle w:val="32"/>
            </w:pPr>
            <w:r>
              <w:t>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50" w:type="pct"/>
            <w:vAlign w:val="center"/>
          </w:tcPr>
          <w:p>
            <w:pPr>
              <w:pStyle w:val="32"/>
            </w:pPr>
            <w:r>
              <w:t>不敏感</w:t>
            </w:r>
          </w:p>
        </w:tc>
        <w:tc>
          <w:tcPr>
            <w:tcW w:w="1250" w:type="pct"/>
            <w:shd w:val="clear" w:color="auto" w:fill="auto"/>
            <w:vAlign w:val="center"/>
          </w:tcPr>
          <w:p>
            <w:pPr>
              <w:pStyle w:val="32"/>
              <w:rPr>
                <w:b/>
              </w:rPr>
            </w:pPr>
            <w:r>
              <w:rPr>
                <w:b/>
              </w:rPr>
              <w:t>二</w:t>
            </w:r>
          </w:p>
        </w:tc>
        <w:tc>
          <w:tcPr>
            <w:tcW w:w="1250" w:type="pct"/>
            <w:shd w:val="clear" w:color="auto" w:fill="auto"/>
            <w:vAlign w:val="center"/>
          </w:tcPr>
          <w:p>
            <w:pPr>
              <w:pStyle w:val="32"/>
            </w:pPr>
            <w:r>
              <w:t>三</w:t>
            </w:r>
          </w:p>
        </w:tc>
        <w:tc>
          <w:tcPr>
            <w:tcW w:w="1250" w:type="pct"/>
            <w:shd w:val="clear" w:color="auto" w:fill="D7D7D7" w:themeFill="background1" w:themeFillShade="D8"/>
            <w:vAlign w:val="center"/>
          </w:tcPr>
          <w:p>
            <w:pPr>
              <w:pStyle w:val="32"/>
            </w:pPr>
            <w:r>
              <w:t>三</w:t>
            </w:r>
          </w:p>
        </w:tc>
      </w:tr>
    </w:tbl>
    <w:p>
      <w:pPr>
        <w:pStyle w:val="7"/>
        <w:ind w:firstLine="480"/>
      </w:pPr>
      <w:r>
        <w:t>根据表</w:t>
      </w:r>
      <w:r>
        <w:rPr>
          <w:rFonts w:hint="eastAsia"/>
        </w:rPr>
        <w:t>2</w:t>
      </w:r>
      <w:r>
        <w:t>.4-</w:t>
      </w:r>
      <w:r>
        <w:rPr>
          <w:rFonts w:hint="eastAsia"/>
        </w:rPr>
        <w:t>5</w:t>
      </w:r>
      <w:r>
        <w:t>、表</w:t>
      </w:r>
      <w:r>
        <w:rPr>
          <w:rFonts w:hint="eastAsia"/>
        </w:rPr>
        <w:t>2.4-6</w:t>
      </w:r>
      <w:r>
        <w:t>及《环境影响评价技术导则 地下水环境》（HJ610-2016）中的评价工作等级划分依据，可判定本项目地下水评价等级为</w:t>
      </w:r>
      <w:r>
        <w:rPr>
          <w:rFonts w:hint="eastAsia"/>
        </w:rPr>
        <w:t>三</w:t>
      </w:r>
      <w:r>
        <w:t>级。</w:t>
      </w:r>
    </w:p>
    <w:p>
      <w:pPr>
        <w:pStyle w:val="7"/>
        <w:numPr>
          <w:ilvl w:val="0"/>
          <w:numId w:val="5"/>
        </w:numPr>
        <w:ind w:firstLine="482"/>
        <w:rPr>
          <w:b/>
          <w:bCs/>
        </w:rPr>
      </w:pPr>
      <w:r>
        <w:rPr>
          <w:b/>
          <w:bCs/>
        </w:rPr>
        <w:t>评价范围</w:t>
      </w:r>
    </w:p>
    <w:p>
      <w:pPr>
        <w:pStyle w:val="7"/>
        <w:ind w:firstLine="480"/>
      </w:pPr>
      <w:r>
        <w:t>根据水文地质初步调查发现评价区正好处于一北东-南西近平行断层构造控制岩溶含水层块段，因此，本次圈定范围约</w:t>
      </w:r>
      <w:r>
        <w:rPr>
          <w:rFonts w:hint="eastAsia"/>
        </w:rPr>
        <w:t>25</w:t>
      </w:r>
      <w:r>
        <w:t>km</w:t>
      </w:r>
      <w:r>
        <w:rPr>
          <w:vertAlign w:val="superscript"/>
        </w:rPr>
        <w:t>2</w:t>
      </w:r>
      <w:r>
        <w:t>作为本次评价调查范围。</w:t>
      </w:r>
    </w:p>
    <w:p>
      <w:pPr>
        <w:pStyle w:val="8"/>
      </w:pPr>
      <w:r>
        <w:rPr>
          <w:rFonts w:hint="eastAsia"/>
        </w:rPr>
        <w:t>2.4.4声环境</w:t>
      </w:r>
    </w:p>
    <w:p>
      <w:pPr>
        <w:pStyle w:val="7"/>
        <w:numPr>
          <w:ilvl w:val="0"/>
          <w:numId w:val="6"/>
        </w:numPr>
        <w:ind w:firstLine="482"/>
        <w:rPr>
          <w:b/>
          <w:bCs/>
        </w:rPr>
      </w:pPr>
      <w:r>
        <w:rPr>
          <w:b/>
          <w:bCs/>
        </w:rPr>
        <w:t>评价等级</w:t>
      </w:r>
    </w:p>
    <w:p>
      <w:pPr>
        <w:pStyle w:val="7"/>
        <w:ind w:firstLine="480"/>
      </w:pPr>
      <w:r>
        <w:t>本项目位于</w:t>
      </w:r>
      <w:r>
        <w:rPr>
          <w:rFonts w:hint="eastAsia"/>
        </w:rPr>
        <w:t>砚山绿色铝创新产业园内</w:t>
      </w:r>
      <w:r>
        <w:t>，该区域的声环境功能为《声环境质量标准》（GB3096－2008）规定的3类地区，工程建设前后评价范围内敏感目标噪声级增高量在3dB(A)以下，且受影响人口数量变化不大，按照《环境影响评价技术导则  声环境》（HJ2.4-20</w:t>
      </w:r>
      <w:r>
        <w:rPr>
          <w:rFonts w:hint="eastAsia"/>
        </w:rPr>
        <w:t>21</w:t>
      </w:r>
      <w:r>
        <w:t>）中评价工作等级的划分规定，确定本项目声环境影响评价等级为三级。</w:t>
      </w:r>
    </w:p>
    <w:p>
      <w:pPr>
        <w:pStyle w:val="7"/>
        <w:numPr>
          <w:ilvl w:val="0"/>
          <w:numId w:val="6"/>
        </w:numPr>
        <w:ind w:firstLine="482"/>
        <w:rPr>
          <w:b/>
          <w:bCs/>
        </w:rPr>
      </w:pPr>
      <w:r>
        <w:rPr>
          <w:b/>
          <w:bCs/>
        </w:rPr>
        <w:t>评价范围</w:t>
      </w:r>
    </w:p>
    <w:p>
      <w:pPr>
        <w:pStyle w:val="7"/>
        <w:ind w:left="480" w:leftChars="200" w:firstLine="0" w:firstLineChars="0"/>
      </w:pPr>
      <w:r>
        <w:rPr>
          <w:rFonts w:hint="eastAsia"/>
        </w:rPr>
        <w:t>本项目声环境评价范围确定为厂界外200m区域。</w:t>
      </w:r>
    </w:p>
    <w:p>
      <w:pPr>
        <w:pStyle w:val="8"/>
      </w:pPr>
      <w:r>
        <w:rPr>
          <w:rFonts w:hint="eastAsia"/>
        </w:rPr>
        <w:t>2.4.5土壤环境</w:t>
      </w:r>
    </w:p>
    <w:p>
      <w:pPr>
        <w:pStyle w:val="7"/>
        <w:ind w:firstLine="482"/>
        <w:rPr>
          <w:b/>
          <w:bCs/>
        </w:rPr>
      </w:pPr>
      <w:r>
        <w:rPr>
          <w:rFonts w:hint="eastAsia"/>
          <w:b/>
          <w:bCs/>
        </w:rPr>
        <w:t>1、评价等级</w:t>
      </w:r>
    </w:p>
    <w:p>
      <w:pPr>
        <w:pStyle w:val="7"/>
        <w:ind w:firstLine="480"/>
        <w:rPr>
          <w:kern w:val="0"/>
          <w:lang w:val="zh-CN"/>
        </w:rPr>
      </w:pPr>
      <w:r>
        <w:rPr>
          <w:kern w:val="0"/>
          <w:lang w:val="zh-CN"/>
        </w:rPr>
        <w:t>根据《环境影响评价技术导则  土壤环境（试行）》（HJ964-2018）中土壤评价工作分级，本项目属于污染影响型建设项目，项目属于Ⅱ类建设项目，厂区总占地面积约</w:t>
      </w:r>
      <w:r>
        <w:rPr>
          <w:rFonts w:hint="eastAsia"/>
          <w:kern w:val="0"/>
        </w:rPr>
        <w:t>12.3845</w:t>
      </w:r>
      <w:r>
        <w:rPr>
          <w:kern w:val="0"/>
          <w:lang w:val="zh-CN"/>
        </w:rPr>
        <w:t>hm</w:t>
      </w:r>
      <w:r>
        <w:rPr>
          <w:kern w:val="0"/>
          <w:vertAlign w:val="superscript"/>
          <w:lang w:val="zh-CN"/>
        </w:rPr>
        <w:t>2</w:t>
      </w:r>
      <w:r>
        <w:rPr>
          <w:rFonts w:hint="eastAsia"/>
          <w:kern w:val="0"/>
          <w:lang w:val="zh-CN"/>
        </w:rPr>
        <w:t>，</w:t>
      </w:r>
      <w:r>
        <w:rPr>
          <w:kern w:val="0"/>
          <w:lang w:val="zh-CN"/>
        </w:rPr>
        <w:t>小于5</w:t>
      </w:r>
      <w:r>
        <w:rPr>
          <w:kern w:val="0"/>
        </w:rPr>
        <w:t>0</w:t>
      </w:r>
      <w:r>
        <w:rPr>
          <w:kern w:val="0"/>
          <w:lang w:val="zh-CN"/>
        </w:rPr>
        <w:t>hm</w:t>
      </w:r>
      <w:r>
        <w:rPr>
          <w:kern w:val="0"/>
          <w:vertAlign w:val="superscript"/>
          <w:lang w:val="zh-CN"/>
        </w:rPr>
        <w:t>2</w:t>
      </w:r>
      <w:r>
        <w:rPr>
          <w:kern w:val="0"/>
          <w:lang w:val="zh-CN"/>
        </w:rPr>
        <w:t>，属于中型建设项目，项目周边存在耕地等敏感目标，确定土壤环境影响评价等级为二级。</w:t>
      </w:r>
    </w:p>
    <w:p>
      <w:pPr>
        <w:pStyle w:val="31"/>
      </w:pPr>
      <w:r>
        <w:t>表</w:t>
      </w:r>
      <w:r>
        <w:rPr>
          <w:rFonts w:hint="eastAsia"/>
        </w:rPr>
        <w:t>2.4-7</w:t>
      </w:r>
      <w:r>
        <w:t xml:space="preserve">  污染影响型建设项目敏感程度分级表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4"/>
        <w:gridCol w:w="6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5" w:type="pct"/>
            <w:vAlign w:val="center"/>
          </w:tcPr>
          <w:p>
            <w:pPr>
              <w:pStyle w:val="32"/>
            </w:pPr>
            <w:r>
              <w:t>敏感程度</w:t>
            </w:r>
          </w:p>
        </w:tc>
        <w:tc>
          <w:tcPr>
            <w:tcW w:w="3794" w:type="pct"/>
            <w:vAlign w:val="center"/>
          </w:tcPr>
          <w:p>
            <w:pPr>
              <w:pStyle w:val="32"/>
            </w:pPr>
            <w: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5" w:type="pct"/>
            <w:shd w:val="clear" w:color="auto" w:fill="D7D7D7" w:themeFill="background1" w:themeFillShade="D8"/>
            <w:vAlign w:val="center"/>
          </w:tcPr>
          <w:p>
            <w:pPr>
              <w:pStyle w:val="32"/>
            </w:pPr>
            <w:r>
              <w:t>敏感</w:t>
            </w:r>
          </w:p>
        </w:tc>
        <w:tc>
          <w:tcPr>
            <w:tcW w:w="3794" w:type="pct"/>
            <w:shd w:val="clear" w:color="auto" w:fill="D7D7D7" w:themeFill="background1" w:themeFillShade="D8"/>
            <w:vAlign w:val="center"/>
          </w:tcPr>
          <w:p>
            <w:pPr>
              <w:pStyle w:val="32"/>
            </w:pPr>
            <w: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5" w:type="pct"/>
            <w:vAlign w:val="center"/>
          </w:tcPr>
          <w:p>
            <w:pPr>
              <w:pStyle w:val="32"/>
            </w:pPr>
            <w:r>
              <w:t>较敏感</w:t>
            </w:r>
          </w:p>
        </w:tc>
        <w:tc>
          <w:tcPr>
            <w:tcW w:w="3794" w:type="pct"/>
            <w:vAlign w:val="center"/>
          </w:tcPr>
          <w:p>
            <w:pPr>
              <w:pStyle w:val="32"/>
            </w:pPr>
            <w: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5" w:type="pct"/>
            <w:vAlign w:val="center"/>
          </w:tcPr>
          <w:p>
            <w:pPr>
              <w:pStyle w:val="32"/>
            </w:pPr>
            <w:r>
              <w:t>不敏感</w:t>
            </w:r>
          </w:p>
        </w:tc>
        <w:tc>
          <w:tcPr>
            <w:tcW w:w="3794" w:type="pct"/>
            <w:vAlign w:val="center"/>
          </w:tcPr>
          <w:p>
            <w:pPr>
              <w:pStyle w:val="32"/>
            </w:pPr>
            <w:r>
              <w:t>其他情况</w:t>
            </w:r>
          </w:p>
        </w:tc>
      </w:tr>
    </w:tbl>
    <w:p>
      <w:pPr>
        <w:pStyle w:val="31"/>
      </w:pPr>
      <w:r>
        <w:t>表</w:t>
      </w:r>
      <w:r>
        <w:rPr>
          <w:rFonts w:hint="eastAsia"/>
        </w:rPr>
        <w:t>2.4-8</w:t>
      </w:r>
      <w:r>
        <w:t xml:space="preserve">  污染影响型建设项目评价工作等级划分表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1"/>
        <w:gridCol w:w="798"/>
        <w:gridCol w:w="799"/>
        <w:gridCol w:w="668"/>
        <w:gridCol w:w="644"/>
        <w:gridCol w:w="779"/>
        <w:gridCol w:w="977"/>
        <w:gridCol w:w="798"/>
        <w:gridCol w:w="799"/>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pct"/>
            <w:vMerge w:val="restart"/>
          </w:tcPr>
          <w:p>
            <w:pPr>
              <w:pStyle w:val="32"/>
            </w:pPr>
            <w:r>
              <w:t>占地规模</w:t>
            </w:r>
          </w:p>
          <w:p>
            <w:pPr>
              <w:pStyle w:val="32"/>
            </w:pPr>
            <w:r>
              <w:t>评价工作等级</w:t>
            </w:r>
          </w:p>
          <w:p>
            <w:pPr>
              <w:pStyle w:val="32"/>
            </w:pPr>
            <w:r>
              <w:t>敏感程度</w:t>
            </w:r>
          </w:p>
        </w:tc>
        <w:tc>
          <w:tcPr>
            <w:tcW w:w="1329" w:type="pct"/>
            <w:gridSpan w:val="3"/>
          </w:tcPr>
          <w:p>
            <w:pPr>
              <w:pStyle w:val="32"/>
            </w:pPr>
            <w:r>
              <w:t>Ⅰ类</w:t>
            </w:r>
          </w:p>
        </w:tc>
        <w:tc>
          <w:tcPr>
            <w:tcW w:w="1408" w:type="pct"/>
            <w:gridSpan w:val="3"/>
          </w:tcPr>
          <w:p>
            <w:pPr>
              <w:pStyle w:val="32"/>
            </w:pPr>
            <w:r>
              <w:t>Ⅱ类</w:t>
            </w:r>
          </w:p>
        </w:tc>
        <w:tc>
          <w:tcPr>
            <w:tcW w:w="1339" w:type="pct"/>
            <w:gridSpan w:val="3"/>
          </w:tcPr>
          <w:p>
            <w:pPr>
              <w:pStyle w:val="32"/>
            </w:pPr>
            <w: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pct"/>
            <w:vMerge w:val="continue"/>
          </w:tcPr>
          <w:p>
            <w:pPr>
              <w:pStyle w:val="32"/>
            </w:pPr>
          </w:p>
        </w:tc>
        <w:tc>
          <w:tcPr>
            <w:tcW w:w="468" w:type="pct"/>
            <w:vAlign w:val="center"/>
          </w:tcPr>
          <w:p>
            <w:pPr>
              <w:pStyle w:val="32"/>
            </w:pPr>
            <w:r>
              <w:t>大</w:t>
            </w:r>
          </w:p>
        </w:tc>
        <w:tc>
          <w:tcPr>
            <w:tcW w:w="469" w:type="pct"/>
            <w:tcBorders>
              <w:bottom w:val="single" w:color="auto" w:sz="4" w:space="0"/>
            </w:tcBorders>
            <w:vAlign w:val="center"/>
          </w:tcPr>
          <w:p>
            <w:pPr>
              <w:pStyle w:val="32"/>
            </w:pPr>
            <w:r>
              <w:t>中</w:t>
            </w:r>
          </w:p>
        </w:tc>
        <w:tc>
          <w:tcPr>
            <w:tcW w:w="390" w:type="pct"/>
            <w:vAlign w:val="center"/>
          </w:tcPr>
          <w:p>
            <w:pPr>
              <w:pStyle w:val="32"/>
            </w:pPr>
            <w:r>
              <w:t>小</w:t>
            </w:r>
          </w:p>
        </w:tc>
        <w:tc>
          <w:tcPr>
            <w:tcW w:w="378" w:type="pct"/>
            <w:vAlign w:val="center"/>
          </w:tcPr>
          <w:p>
            <w:pPr>
              <w:pStyle w:val="32"/>
            </w:pPr>
            <w:r>
              <w:t>大</w:t>
            </w:r>
          </w:p>
        </w:tc>
        <w:tc>
          <w:tcPr>
            <w:tcW w:w="457" w:type="pct"/>
            <w:vAlign w:val="center"/>
          </w:tcPr>
          <w:p>
            <w:pPr>
              <w:pStyle w:val="32"/>
            </w:pPr>
            <w:r>
              <w:t>中</w:t>
            </w:r>
          </w:p>
        </w:tc>
        <w:tc>
          <w:tcPr>
            <w:tcW w:w="572" w:type="pct"/>
            <w:vAlign w:val="center"/>
          </w:tcPr>
          <w:p>
            <w:pPr>
              <w:pStyle w:val="32"/>
            </w:pPr>
            <w:r>
              <w:t>小</w:t>
            </w:r>
          </w:p>
        </w:tc>
        <w:tc>
          <w:tcPr>
            <w:tcW w:w="468" w:type="pct"/>
            <w:vAlign w:val="center"/>
          </w:tcPr>
          <w:p>
            <w:pPr>
              <w:pStyle w:val="32"/>
            </w:pPr>
            <w:r>
              <w:t>大</w:t>
            </w:r>
          </w:p>
        </w:tc>
        <w:tc>
          <w:tcPr>
            <w:tcW w:w="469" w:type="pct"/>
            <w:vAlign w:val="center"/>
          </w:tcPr>
          <w:p>
            <w:pPr>
              <w:pStyle w:val="32"/>
            </w:pPr>
            <w:r>
              <w:t>中</w:t>
            </w:r>
          </w:p>
        </w:tc>
        <w:tc>
          <w:tcPr>
            <w:tcW w:w="401" w:type="pct"/>
            <w:vAlign w:val="center"/>
          </w:tcPr>
          <w:p>
            <w:pPr>
              <w:pStyle w:val="32"/>
            </w:pPr>
            <w: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922" w:type="pct"/>
            <w:vAlign w:val="center"/>
          </w:tcPr>
          <w:p>
            <w:pPr>
              <w:pStyle w:val="32"/>
            </w:pPr>
            <w:r>
              <w:t>敏感</w:t>
            </w:r>
          </w:p>
        </w:tc>
        <w:tc>
          <w:tcPr>
            <w:tcW w:w="468" w:type="pct"/>
            <w:vAlign w:val="center"/>
          </w:tcPr>
          <w:p>
            <w:pPr>
              <w:pStyle w:val="32"/>
            </w:pPr>
            <w:r>
              <w:t>一级</w:t>
            </w:r>
          </w:p>
        </w:tc>
        <w:tc>
          <w:tcPr>
            <w:tcW w:w="469" w:type="pct"/>
            <w:shd w:val="clear" w:color="auto" w:fill="auto"/>
            <w:vAlign w:val="center"/>
          </w:tcPr>
          <w:p>
            <w:pPr>
              <w:pStyle w:val="32"/>
            </w:pPr>
            <w:r>
              <w:t>一级</w:t>
            </w:r>
          </w:p>
        </w:tc>
        <w:tc>
          <w:tcPr>
            <w:tcW w:w="390" w:type="pct"/>
            <w:vAlign w:val="center"/>
          </w:tcPr>
          <w:p>
            <w:pPr>
              <w:pStyle w:val="32"/>
            </w:pPr>
            <w:r>
              <w:t>一级</w:t>
            </w:r>
          </w:p>
        </w:tc>
        <w:tc>
          <w:tcPr>
            <w:tcW w:w="378" w:type="pct"/>
            <w:vAlign w:val="center"/>
          </w:tcPr>
          <w:p>
            <w:pPr>
              <w:pStyle w:val="32"/>
            </w:pPr>
            <w:r>
              <w:t>二级</w:t>
            </w:r>
          </w:p>
        </w:tc>
        <w:tc>
          <w:tcPr>
            <w:tcW w:w="457" w:type="pct"/>
            <w:vAlign w:val="center"/>
          </w:tcPr>
          <w:p>
            <w:pPr>
              <w:pStyle w:val="32"/>
            </w:pPr>
            <w:r>
              <w:t>二级</w:t>
            </w:r>
          </w:p>
        </w:tc>
        <w:tc>
          <w:tcPr>
            <w:tcW w:w="572" w:type="pct"/>
            <w:shd w:val="clear" w:color="auto" w:fill="D7D7D7" w:themeFill="background1" w:themeFillShade="D8"/>
            <w:vAlign w:val="center"/>
          </w:tcPr>
          <w:p>
            <w:pPr>
              <w:pStyle w:val="32"/>
            </w:pPr>
            <w:r>
              <w:t>二级</w:t>
            </w:r>
          </w:p>
        </w:tc>
        <w:tc>
          <w:tcPr>
            <w:tcW w:w="468" w:type="pct"/>
            <w:vAlign w:val="center"/>
          </w:tcPr>
          <w:p>
            <w:pPr>
              <w:pStyle w:val="32"/>
            </w:pPr>
            <w:r>
              <w:t>三级</w:t>
            </w:r>
          </w:p>
        </w:tc>
        <w:tc>
          <w:tcPr>
            <w:tcW w:w="469" w:type="pct"/>
            <w:vAlign w:val="center"/>
          </w:tcPr>
          <w:p>
            <w:pPr>
              <w:pStyle w:val="32"/>
            </w:pPr>
            <w:r>
              <w:t>三级</w:t>
            </w:r>
          </w:p>
        </w:tc>
        <w:tc>
          <w:tcPr>
            <w:tcW w:w="401" w:type="pct"/>
            <w:vAlign w:val="center"/>
          </w:tcPr>
          <w:p>
            <w:pPr>
              <w:pStyle w:val="32"/>
            </w:pPr>
            <w: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pct"/>
            <w:vAlign w:val="center"/>
          </w:tcPr>
          <w:p>
            <w:pPr>
              <w:pStyle w:val="32"/>
            </w:pPr>
            <w:r>
              <w:t>较敏感</w:t>
            </w:r>
          </w:p>
        </w:tc>
        <w:tc>
          <w:tcPr>
            <w:tcW w:w="468" w:type="pct"/>
            <w:vAlign w:val="center"/>
          </w:tcPr>
          <w:p>
            <w:pPr>
              <w:pStyle w:val="32"/>
            </w:pPr>
            <w:r>
              <w:t>一级</w:t>
            </w:r>
          </w:p>
        </w:tc>
        <w:tc>
          <w:tcPr>
            <w:tcW w:w="469" w:type="pct"/>
            <w:vAlign w:val="center"/>
          </w:tcPr>
          <w:p>
            <w:pPr>
              <w:pStyle w:val="32"/>
            </w:pPr>
            <w:r>
              <w:t>一级</w:t>
            </w:r>
          </w:p>
        </w:tc>
        <w:tc>
          <w:tcPr>
            <w:tcW w:w="390" w:type="pct"/>
            <w:vAlign w:val="center"/>
          </w:tcPr>
          <w:p>
            <w:pPr>
              <w:pStyle w:val="32"/>
            </w:pPr>
            <w:r>
              <w:t>二级</w:t>
            </w:r>
          </w:p>
        </w:tc>
        <w:tc>
          <w:tcPr>
            <w:tcW w:w="378" w:type="pct"/>
            <w:vAlign w:val="center"/>
          </w:tcPr>
          <w:p>
            <w:pPr>
              <w:pStyle w:val="32"/>
            </w:pPr>
            <w:r>
              <w:t>二级</w:t>
            </w:r>
          </w:p>
        </w:tc>
        <w:tc>
          <w:tcPr>
            <w:tcW w:w="457" w:type="pct"/>
            <w:vAlign w:val="center"/>
          </w:tcPr>
          <w:p>
            <w:pPr>
              <w:pStyle w:val="32"/>
            </w:pPr>
            <w:r>
              <w:t>二级</w:t>
            </w:r>
          </w:p>
        </w:tc>
        <w:tc>
          <w:tcPr>
            <w:tcW w:w="572" w:type="pct"/>
            <w:vAlign w:val="center"/>
          </w:tcPr>
          <w:p>
            <w:pPr>
              <w:pStyle w:val="32"/>
            </w:pPr>
            <w:r>
              <w:t>三级</w:t>
            </w:r>
          </w:p>
        </w:tc>
        <w:tc>
          <w:tcPr>
            <w:tcW w:w="468" w:type="pct"/>
            <w:vAlign w:val="center"/>
          </w:tcPr>
          <w:p>
            <w:pPr>
              <w:pStyle w:val="32"/>
            </w:pPr>
            <w:r>
              <w:t>三级</w:t>
            </w:r>
          </w:p>
        </w:tc>
        <w:tc>
          <w:tcPr>
            <w:tcW w:w="469" w:type="pct"/>
            <w:vAlign w:val="center"/>
          </w:tcPr>
          <w:p>
            <w:pPr>
              <w:pStyle w:val="32"/>
            </w:pPr>
            <w:r>
              <w:t>三级</w:t>
            </w:r>
          </w:p>
        </w:tc>
        <w:tc>
          <w:tcPr>
            <w:tcW w:w="401" w:type="pct"/>
            <w:vAlign w:val="center"/>
          </w:tcPr>
          <w:p>
            <w:pPr>
              <w:pStyle w:val="32"/>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2" w:type="pct"/>
            <w:vAlign w:val="center"/>
          </w:tcPr>
          <w:p>
            <w:pPr>
              <w:pStyle w:val="32"/>
            </w:pPr>
            <w:r>
              <w:t>不敏感</w:t>
            </w:r>
          </w:p>
        </w:tc>
        <w:tc>
          <w:tcPr>
            <w:tcW w:w="468" w:type="pct"/>
            <w:vAlign w:val="center"/>
          </w:tcPr>
          <w:p>
            <w:pPr>
              <w:pStyle w:val="32"/>
            </w:pPr>
            <w:r>
              <w:t>一级</w:t>
            </w:r>
          </w:p>
        </w:tc>
        <w:tc>
          <w:tcPr>
            <w:tcW w:w="469" w:type="pct"/>
            <w:vAlign w:val="center"/>
          </w:tcPr>
          <w:p>
            <w:pPr>
              <w:pStyle w:val="32"/>
            </w:pPr>
            <w:r>
              <w:t>二级</w:t>
            </w:r>
          </w:p>
        </w:tc>
        <w:tc>
          <w:tcPr>
            <w:tcW w:w="390" w:type="pct"/>
            <w:vAlign w:val="center"/>
          </w:tcPr>
          <w:p>
            <w:pPr>
              <w:pStyle w:val="32"/>
            </w:pPr>
            <w:r>
              <w:t>二级</w:t>
            </w:r>
          </w:p>
        </w:tc>
        <w:tc>
          <w:tcPr>
            <w:tcW w:w="378" w:type="pct"/>
            <w:vAlign w:val="center"/>
          </w:tcPr>
          <w:p>
            <w:pPr>
              <w:pStyle w:val="32"/>
            </w:pPr>
            <w:r>
              <w:t>三级</w:t>
            </w:r>
          </w:p>
        </w:tc>
        <w:tc>
          <w:tcPr>
            <w:tcW w:w="457" w:type="pct"/>
            <w:vAlign w:val="center"/>
          </w:tcPr>
          <w:p>
            <w:pPr>
              <w:pStyle w:val="32"/>
            </w:pPr>
            <w:r>
              <w:t>三级</w:t>
            </w:r>
          </w:p>
        </w:tc>
        <w:tc>
          <w:tcPr>
            <w:tcW w:w="572" w:type="pct"/>
            <w:vAlign w:val="center"/>
          </w:tcPr>
          <w:p>
            <w:pPr>
              <w:pStyle w:val="32"/>
            </w:pPr>
            <w:r>
              <w:t>三级</w:t>
            </w:r>
          </w:p>
        </w:tc>
        <w:tc>
          <w:tcPr>
            <w:tcW w:w="468" w:type="pct"/>
            <w:vAlign w:val="center"/>
          </w:tcPr>
          <w:p>
            <w:pPr>
              <w:pStyle w:val="32"/>
            </w:pPr>
            <w:r>
              <w:t>三级</w:t>
            </w:r>
          </w:p>
        </w:tc>
        <w:tc>
          <w:tcPr>
            <w:tcW w:w="469" w:type="pct"/>
            <w:vAlign w:val="center"/>
          </w:tcPr>
          <w:p>
            <w:pPr>
              <w:pStyle w:val="32"/>
            </w:pPr>
            <w:r>
              <w:rPr>
                <w:lang w:val="zh-CN" w:eastAsia="en-US"/>
              </w:rPr>
              <w:t>-</w:t>
            </w:r>
          </w:p>
        </w:tc>
        <w:tc>
          <w:tcPr>
            <w:tcW w:w="401" w:type="pct"/>
            <w:vAlign w:val="center"/>
          </w:tcPr>
          <w:p>
            <w:pPr>
              <w:pStyle w:val="32"/>
            </w:pPr>
            <w:r>
              <w:rPr>
                <w:lang w:val="zh-CN" w:eastAsia="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0"/>
          </w:tcPr>
          <w:p>
            <w:pPr>
              <w:pStyle w:val="32"/>
              <w:jc w:val="both"/>
            </w:pPr>
            <w:r>
              <w:t>注：“-”表示可以不开展土壤环境影响评价工作</w:t>
            </w:r>
          </w:p>
        </w:tc>
      </w:tr>
    </w:tbl>
    <w:p>
      <w:pPr>
        <w:pStyle w:val="7"/>
        <w:numPr>
          <w:ilvl w:val="0"/>
          <w:numId w:val="7"/>
        </w:numPr>
        <w:ind w:firstLine="482" w:firstLineChars="0"/>
        <w:rPr>
          <w:b/>
          <w:bCs/>
        </w:rPr>
      </w:pPr>
      <w:r>
        <w:rPr>
          <w:rFonts w:hint="eastAsia"/>
          <w:b/>
          <w:bCs/>
        </w:rPr>
        <w:t>评价范围</w:t>
      </w:r>
    </w:p>
    <w:p>
      <w:pPr>
        <w:pStyle w:val="7"/>
        <w:ind w:firstLine="480"/>
      </w:pPr>
      <w:r>
        <w:rPr>
          <w:rFonts w:hint="eastAsia"/>
        </w:rPr>
        <w:t>本项目土壤评价等级为二级，根据《环境影响评价技术导则—土壤环境（试行）》（HJ964-2018）中的规定，综合确定本项目土壤环境影响评价范围为项目厂区占地范围及厂区边界外0.2km范围内的区域。</w:t>
      </w:r>
    </w:p>
    <w:p>
      <w:pPr>
        <w:pStyle w:val="8"/>
      </w:pPr>
      <w:bookmarkStart w:id="43" w:name="_Toc12897"/>
      <w:bookmarkStart w:id="44" w:name="_Toc6049"/>
      <w:bookmarkStart w:id="45" w:name="_Toc4772"/>
      <w:r>
        <w:rPr>
          <w:rFonts w:hint="eastAsia"/>
        </w:rPr>
        <w:t>2.4.6生态环境评价</w:t>
      </w:r>
      <w:bookmarkEnd w:id="43"/>
      <w:bookmarkEnd w:id="44"/>
      <w:bookmarkEnd w:id="45"/>
    </w:p>
    <w:p>
      <w:pPr>
        <w:spacing w:line="360" w:lineRule="auto"/>
        <w:rPr>
          <w:b/>
        </w:rPr>
      </w:pPr>
      <w:r>
        <w:rPr>
          <w:b/>
        </w:rPr>
        <w:t>1、评价工作等级</w:t>
      </w:r>
    </w:p>
    <w:p>
      <w:pPr>
        <w:pStyle w:val="7"/>
        <w:ind w:firstLine="480"/>
      </w:pPr>
      <w:r>
        <w:rPr>
          <w:rFonts w:hint="eastAsia"/>
        </w:rPr>
        <w:t>根据《环境影响评价技术导则  生态环境》（HJ19-2022）：</w:t>
      </w:r>
    </w:p>
    <w:p>
      <w:pPr>
        <w:pStyle w:val="7"/>
        <w:ind w:firstLine="482"/>
      </w:pPr>
      <w:r>
        <w:rPr>
          <w:rFonts w:hint="eastAsia"/>
          <w:b/>
          <w:bCs/>
        </w:rPr>
        <w:t>6.1.2</w:t>
      </w:r>
      <w:r>
        <w:rPr>
          <w:rFonts w:hint="eastAsia"/>
        </w:rPr>
        <w:t>按以下原则确定评价等级：</w:t>
      </w:r>
    </w:p>
    <w:p>
      <w:pPr>
        <w:pStyle w:val="7"/>
        <w:ind w:firstLine="480"/>
      </w:pPr>
      <w:r>
        <w:rPr>
          <w:rFonts w:hint="eastAsia"/>
        </w:rPr>
        <w:t>a）涉及国家公园、自然保护区、世界自然遗产、重要生境时，评价等级为一级；</w:t>
      </w:r>
    </w:p>
    <w:p>
      <w:pPr>
        <w:pStyle w:val="7"/>
        <w:ind w:firstLine="480"/>
      </w:pPr>
      <w:r>
        <w:rPr>
          <w:rFonts w:hint="eastAsia"/>
        </w:rPr>
        <w:t>b）涉及自然公园时，评价等级为二级；</w:t>
      </w:r>
    </w:p>
    <w:p>
      <w:pPr>
        <w:pStyle w:val="7"/>
        <w:ind w:firstLine="480"/>
      </w:pPr>
      <w:r>
        <w:rPr>
          <w:rFonts w:hint="eastAsia"/>
        </w:rPr>
        <w:t>c）涉及生态保护红线时，评价等级不低于二级；</w:t>
      </w:r>
    </w:p>
    <w:p>
      <w:pPr>
        <w:pStyle w:val="7"/>
        <w:ind w:firstLine="480"/>
      </w:pPr>
      <w:r>
        <w:rPr>
          <w:rFonts w:hint="eastAsia"/>
        </w:rPr>
        <w:t>d）根据HJ2.3判断属于水文要素影响型且地表水评价等级不低于二级的建设项目，生态影响评价等级不低于二级；</w:t>
      </w:r>
    </w:p>
    <w:p>
      <w:pPr>
        <w:pStyle w:val="7"/>
        <w:ind w:firstLine="480"/>
      </w:pPr>
      <w:r>
        <w:rPr>
          <w:rFonts w:hint="eastAsia"/>
        </w:rPr>
        <w:t>e）根据HJ610、HJ964判断地下水水位或土壤影响范围内分布有天然林、公益林、湿地等生态保护目标的建设项目，生态影响评价等级不低于二级；</w:t>
      </w:r>
    </w:p>
    <w:p>
      <w:pPr>
        <w:pStyle w:val="7"/>
        <w:ind w:firstLine="480"/>
      </w:pPr>
      <w:r>
        <w:rPr>
          <w:rFonts w:hint="eastAsia"/>
        </w:rPr>
        <w:t>f）当工程占地规模大于20km</w:t>
      </w:r>
      <w:r>
        <w:rPr>
          <w:rFonts w:hint="eastAsia"/>
          <w:vertAlign w:val="superscript"/>
        </w:rPr>
        <w:t>2</w:t>
      </w:r>
      <w:r>
        <w:rPr>
          <w:rFonts w:hint="eastAsia"/>
        </w:rPr>
        <w:t>时（包括永久和临时占用陆域和水域），评价等级不低于二级；改扩建项目的占地范围以新增占地（包括陆域和水域）确定；</w:t>
      </w:r>
    </w:p>
    <w:p>
      <w:pPr>
        <w:pStyle w:val="7"/>
        <w:ind w:firstLine="480"/>
      </w:pPr>
      <w:r>
        <w:rPr>
          <w:rFonts w:hint="eastAsia"/>
        </w:rPr>
        <w:t>g）除本条a）、b）、c）、d）、e）、f）以外的情况，评价等级为三级；</w:t>
      </w:r>
    </w:p>
    <w:p>
      <w:pPr>
        <w:pStyle w:val="7"/>
        <w:ind w:firstLine="480"/>
      </w:pPr>
      <w:r>
        <w:rPr>
          <w:rFonts w:hint="eastAsia"/>
        </w:rPr>
        <w:t>h）当评价等级判定同时符合上述多种情况时，应采用其中最高的评价等级。</w:t>
      </w:r>
    </w:p>
    <w:p>
      <w:pPr>
        <w:pStyle w:val="7"/>
        <w:ind w:firstLine="482"/>
      </w:pPr>
      <w:r>
        <w:rPr>
          <w:rFonts w:hint="eastAsia"/>
          <w:b/>
          <w:bCs/>
        </w:rPr>
        <w:t xml:space="preserve">6.1.8 </w:t>
      </w:r>
      <w:r>
        <w:rPr>
          <w:rFonts w:hint="eastAsia"/>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pPr>
        <w:pStyle w:val="7"/>
        <w:ind w:firstLine="480"/>
      </w:pPr>
      <w:r>
        <w:rPr>
          <w:rFonts w:hint="eastAsia"/>
        </w:rPr>
        <w:t>本项目位于砚山工业园区布标片区，砚山工业园区已取得“《砚山工业园区总体规划修编2019~2035》环境影响报告书审查意见的函”（云环函2020【7】号），本项目符合园区规划产业布局要求，项目属于水电铝材一体化产业，符合布标片区的主导产业。项目不属于</w:t>
      </w:r>
      <w:r>
        <w:rPr>
          <w:rFonts w:hint="eastAsia"/>
          <w:lang w:eastAsia="zh-CN"/>
        </w:rPr>
        <w:t>《</w:t>
      </w:r>
      <w:r>
        <w:rPr>
          <w:rFonts w:hint="eastAsia"/>
        </w:rPr>
        <w:t>砚山工业园区总体规划修编2019~2035》环境影响报告书中限制和禁止引入类项目。项目建设与</w:t>
      </w:r>
      <w:r>
        <w:rPr>
          <w:rFonts w:hint="eastAsia"/>
          <w:lang w:eastAsia="zh-CN"/>
        </w:rPr>
        <w:t>“</w:t>
      </w:r>
      <w:r>
        <w:rPr>
          <w:rFonts w:hint="eastAsia"/>
        </w:rPr>
        <w:t>《砚山工业园区总体规划修编2019~2035》环境影响报告书审查意见的函”（云环函2020【7】号）中相关要求相符合。本项目不涉及国家公园、自然保护区、世界自然遗产、自然公园、生态保护红线等生态敏感区。</w:t>
      </w:r>
    </w:p>
    <w:p>
      <w:pPr>
        <w:pStyle w:val="7"/>
        <w:ind w:firstLine="480"/>
      </w:pPr>
      <w:r>
        <w:rPr>
          <w:rFonts w:hint="eastAsia"/>
        </w:rPr>
        <w:t>依据《环境影响评价技术导则  生态环境》（HJ19-2022）中“6.1.8条：位于已批准规划环评的产业园区内且符合规划环评要求、不涉及生态敏感区的污染影响类建设项目，可不确定评价等级，直接进行生态影响简单分析”。</w:t>
      </w:r>
    </w:p>
    <w:p>
      <w:pPr>
        <w:pStyle w:val="7"/>
        <w:ind w:firstLine="480"/>
      </w:pPr>
      <w:r>
        <w:rPr>
          <w:rFonts w:hint="eastAsia"/>
        </w:rPr>
        <w:t>本项目生态环境影响不设评价等级，直接进行生态影响简单分析。</w:t>
      </w:r>
    </w:p>
    <w:p>
      <w:pPr>
        <w:spacing w:line="360" w:lineRule="auto"/>
        <w:rPr>
          <w:b/>
        </w:rPr>
      </w:pPr>
      <w:r>
        <w:rPr>
          <w:b/>
        </w:rPr>
        <w:t>2、评价范围</w:t>
      </w:r>
    </w:p>
    <w:p>
      <w:pPr>
        <w:pStyle w:val="7"/>
        <w:ind w:firstLine="480"/>
        <w:rPr>
          <w:highlight w:val="none"/>
        </w:rPr>
      </w:pPr>
      <w:r>
        <w:rPr>
          <w:highlight w:val="none"/>
        </w:rPr>
        <w:t>生态环境评价范围项目区及厂界外延200m的范围内。</w:t>
      </w:r>
    </w:p>
    <w:p>
      <w:pPr>
        <w:pStyle w:val="8"/>
      </w:pPr>
      <w:bookmarkStart w:id="46" w:name="_Toc13160"/>
      <w:bookmarkStart w:id="47" w:name="_Toc20424"/>
      <w:bookmarkStart w:id="48" w:name="_Toc12106"/>
      <w:r>
        <w:rPr>
          <w:rFonts w:hint="eastAsia"/>
        </w:rPr>
        <w:t>2.4.7环境风险</w:t>
      </w:r>
      <w:bookmarkEnd w:id="46"/>
      <w:bookmarkEnd w:id="47"/>
      <w:bookmarkEnd w:id="48"/>
    </w:p>
    <w:p>
      <w:pPr>
        <w:pStyle w:val="7"/>
        <w:ind w:firstLine="482"/>
        <w:rPr>
          <w:b/>
          <w:bCs/>
        </w:rPr>
      </w:pPr>
      <w:r>
        <w:rPr>
          <w:rFonts w:hint="eastAsia"/>
          <w:b/>
          <w:bCs/>
        </w:rPr>
        <w:t>1、评价等级</w:t>
      </w:r>
    </w:p>
    <w:p>
      <w:pPr>
        <w:pStyle w:val="7"/>
        <w:ind w:firstLine="480"/>
      </w:pPr>
      <w:r>
        <w:rPr>
          <w:rFonts w:hint="eastAsia"/>
        </w:rPr>
        <w:t>根据《建设项目环境风险评价技术导则》（HJ169-2018）附录B，</w:t>
      </w:r>
      <w:r>
        <w:t>项目涉及危险物质有</w:t>
      </w:r>
      <w:r>
        <w:rPr>
          <w:rFonts w:hint="eastAsia"/>
        </w:rPr>
        <w:t>氯气</w:t>
      </w:r>
      <w:r>
        <w:t>、</w:t>
      </w:r>
      <w:r>
        <w:rPr>
          <w:rFonts w:hint="eastAsia"/>
        </w:rPr>
        <w:t>氯化氢、氟化氢、天然气、石油气</w:t>
      </w:r>
      <w:r>
        <w:t>。</w:t>
      </w:r>
      <w:r>
        <w:rPr>
          <w:rFonts w:hint="eastAsia"/>
        </w:rPr>
        <w:t>项目天然气由园区天然气管道直接输送到项目厂区内，故厂区天然气量仅考虑厂区内输送管道中所含天然气量。根据建设单位提供资料，厂区内天然气管道的长度约为320m，天然气管道内径为280mm，则厂内管道天然气的量为19.7m</w:t>
      </w:r>
      <w:r>
        <w:rPr>
          <w:rFonts w:hint="eastAsia"/>
          <w:vertAlign w:val="superscript"/>
        </w:rPr>
        <w:t>3</w:t>
      </w:r>
      <w:r>
        <w:rPr>
          <w:rFonts w:hint="eastAsia"/>
        </w:rPr>
        <w:t>，气态天然气密度为0.717kg/m</w:t>
      </w:r>
      <w:r>
        <w:rPr>
          <w:rFonts w:hint="eastAsia"/>
          <w:vertAlign w:val="superscript"/>
        </w:rPr>
        <w:t>3</w:t>
      </w:r>
      <w:r>
        <w:rPr>
          <w:rFonts w:hint="eastAsia"/>
        </w:rPr>
        <w:t>，则管道内天然气量为14.12kg。</w:t>
      </w:r>
    </w:p>
    <w:p>
      <w:pPr>
        <w:pStyle w:val="7"/>
        <w:ind w:firstLine="480"/>
      </w:pPr>
      <w:r>
        <w:rPr>
          <w:rFonts w:hint="eastAsia"/>
        </w:rPr>
        <w:t>计算所涉及的每种危险物质的厂界内的最大存在总量与其在附录B中对应临界量的比值Q。</w:t>
      </w:r>
    </w:p>
    <w:p>
      <w:pPr>
        <w:pStyle w:val="7"/>
        <w:ind w:firstLine="480"/>
      </w:pPr>
      <w:r>
        <w:rPr>
          <w:rFonts w:hint="eastAsia"/>
        </w:rPr>
        <w:t>当只涉及一种危险物质时，计算该物质的总量与其临界量比值，即为Q；</w:t>
      </w:r>
    </w:p>
    <w:p>
      <w:pPr>
        <w:pStyle w:val="7"/>
        <w:ind w:firstLine="480"/>
      </w:pPr>
      <w:r>
        <w:rPr>
          <w:rFonts w:hint="eastAsia"/>
        </w:rPr>
        <w:t>当存在多种危险物质时，按下式计算物质总量与其临界量比值（Q）：</w:t>
      </w:r>
    </w:p>
    <w:p>
      <w:pPr>
        <w:autoSpaceDE w:val="0"/>
        <w:autoSpaceDN w:val="0"/>
        <w:spacing w:line="360" w:lineRule="auto"/>
        <w:contextualSpacing/>
        <w:jc w:val="center"/>
        <w:rPr>
          <w:spacing w:val="1"/>
          <w:szCs w:val="28"/>
        </w:rPr>
      </w:pPr>
      <w:r>
        <w:rPr>
          <w:szCs w:val="28"/>
        </w:rPr>
        <w:drawing>
          <wp:inline distT="0" distB="0" distL="0" distR="0">
            <wp:extent cx="2011680" cy="594360"/>
            <wp:effectExtent l="0" t="0" r="7620" b="152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011680" cy="594360"/>
                    </a:xfrm>
                    <a:prstGeom prst="rect">
                      <a:avLst/>
                    </a:prstGeom>
                    <a:noFill/>
                    <a:ln>
                      <a:noFill/>
                    </a:ln>
                  </pic:spPr>
                </pic:pic>
              </a:graphicData>
            </a:graphic>
          </wp:inline>
        </w:drawing>
      </w:r>
    </w:p>
    <w:p>
      <w:pPr>
        <w:autoSpaceDE w:val="0"/>
        <w:autoSpaceDN w:val="0"/>
        <w:adjustRightInd w:val="0"/>
        <w:snapToGrid w:val="0"/>
        <w:spacing w:line="360" w:lineRule="auto"/>
        <w:ind w:firstLine="482"/>
        <w:rPr>
          <w:spacing w:val="1"/>
        </w:rPr>
      </w:pPr>
      <w:r>
        <w:rPr>
          <w:spacing w:val="1"/>
        </w:rPr>
        <w:t>式中：q</w:t>
      </w:r>
      <w:r>
        <w:rPr>
          <w:spacing w:val="1"/>
          <w:vertAlign w:val="subscript"/>
        </w:rPr>
        <w:t>1</w:t>
      </w:r>
      <w:r>
        <w:rPr>
          <w:spacing w:val="1"/>
        </w:rPr>
        <w:t>，q</w:t>
      </w:r>
      <w:r>
        <w:rPr>
          <w:spacing w:val="1"/>
          <w:vertAlign w:val="subscript"/>
        </w:rPr>
        <w:t>2</w:t>
      </w:r>
      <w:r>
        <w:rPr>
          <w:spacing w:val="1"/>
        </w:rPr>
        <w:t>，...，qn——每种危险物质的最大存在总量，t；</w:t>
      </w:r>
    </w:p>
    <w:p>
      <w:pPr>
        <w:autoSpaceDE w:val="0"/>
        <w:autoSpaceDN w:val="0"/>
        <w:adjustRightInd w:val="0"/>
        <w:snapToGrid w:val="0"/>
        <w:spacing w:line="360" w:lineRule="auto"/>
        <w:ind w:firstLine="1207" w:firstLineChars="499"/>
        <w:rPr>
          <w:spacing w:val="1"/>
        </w:rPr>
      </w:pPr>
      <w:r>
        <w:rPr>
          <w:spacing w:val="1"/>
        </w:rPr>
        <w:t>Q</w:t>
      </w:r>
      <w:r>
        <w:rPr>
          <w:spacing w:val="1"/>
          <w:vertAlign w:val="subscript"/>
        </w:rPr>
        <w:t>1</w:t>
      </w:r>
      <w:r>
        <w:rPr>
          <w:spacing w:val="1"/>
        </w:rPr>
        <w:t>，Q</w:t>
      </w:r>
      <w:r>
        <w:rPr>
          <w:spacing w:val="1"/>
          <w:vertAlign w:val="subscript"/>
        </w:rPr>
        <w:t>2</w:t>
      </w:r>
      <w:r>
        <w:rPr>
          <w:spacing w:val="1"/>
        </w:rPr>
        <w:t>，...，Qn——每种危险物质的临界量，t。</w:t>
      </w:r>
    </w:p>
    <w:p>
      <w:pPr>
        <w:autoSpaceDE w:val="0"/>
        <w:autoSpaceDN w:val="0"/>
        <w:adjustRightInd w:val="0"/>
        <w:snapToGrid w:val="0"/>
        <w:spacing w:line="360" w:lineRule="auto"/>
        <w:ind w:firstLine="1210" w:firstLineChars="500"/>
        <w:rPr>
          <w:spacing w:val="1"/>
        </w:rPr>
      </w:pPr>
      <w:r>
        <w:rPr>
          <w:spacing w:val="1"/>
        </w:rPr>
        <w:t>当Q＜1时，该项目环境风险潜势为</w:t>
      </w:r>
      <w:r>
        <w:rPr>
          <w:bCs/>
        </w:rPr>
        <w:t>I</w:t>
      </w:r>
      <w:r>
        <w:rPr>
          <w:spacing w:val="1"/>
        </w:rPr>
        <w:t>；</w:t>
      </w:r>
    </w:p>
    <w:p>
      <w:pPr>
        <w:autoSpaceDE w:val="0"/>
        <w:autoSpaceDN w:val="0"/>
        <w:adjustRightInd w:val="0"/>
        <w:snapToGrid w:val="0"/>
        <w:spacing w:line="360" w:lineRule="auto"/>
        <w:ind w:firstLine="1210" w:firstLineChars="500"/>
        <w:rPr>
          <w:spacing w:val="1"/>
        </w:rPr>
      </w:pPr>
      <w:r>
        <w:rPr>
          <w:spacing w:val="1"/>
        </w:rPr>
        <w:t>当Q≥1时，将Q值划分为：（1）1≤Q＜10；（2）10≤Q＜100；（3）Q≥100。</w:t>
      </w:r>
    </w:p>
    <w:p>
      <w:pPr>
        <w:pStyle w:val="50"/>
        <w:ind w:firstLine="484"/>
        <w:rPr>
          <w:rFonts w:ascii="Times New Roman" w:hAnsi="Times New Roman" w:eastAsia="宋体" w:cs="Times New Roman"/>
          <w:b w:val="0"/>
          <w:bCs w:val="0"/>
          <w:color w:val="auto"/>
          <w:spacing w:val="1"/>
          <w:szCs w:val="24"/>
        </w:rPr>
      </w:pPr>
      <w:r>
        <w:rPr>
          <w:rFonts w:ascii="Times New Roman" w:hAnsi="Times New Roman" w:eastAsia="宋体" w:cs="Times New Roman"/>
          <w:b w:val="0"/>
          <w:bCs w:val="0"/>
          <w:color w:val="auto"/>
          <w:spacing w:val="1"/>
          <w:szCs w:val="24"/>
        </w:rPr>
        <w:t>建设项目Q值确定见表</w:t>
      </w:r>
      <w:r>
        <w:rPr>
          <w:rFonts w:hint="eastAsia" w:ascii="Times New Roman" w:hAnsi="Times New Roman" w:eastAsia="宋体" w:cs="Times New Roman"/>
          <w:b w:val="0"/>
          <w:bCs w:val="0"/>
          <w:color w:val="auto"/>
          <w:spacing w:val="1"/>
          <w:szCs w:val="24"/>
        </w:rPr>
        <w:t>2.4-9</w:t>
      </w:r>
      <w:r>
        <w:rPr>
          <w:rFonts w:ascii="Times New Roman" w:hAnsi="Times New Roman" w:eastAsia="宋体" w:cs="Times New Roman"/>
          <w:b w:val="0"/>
          <w:bCs w:val="0"/>
          <w:color w:val="auto"/>
          <w:spacing w:val="1"/>
          <w:szCs w:val="24"/>
        </w:rPr>
        <w:t>。</w:t>
      </w:r>
    </w:p>
    <w:p>
      <w:pPr>
        <w:pStyle w:val="31"/>
        <w:rPr>
          <w:color w:val="auto"/>
        </w:rPr>
      </w:pPr>
      <w:r>
        <w:rPr>
          <w:rFonts w:hint="eastAsia"/>
          <w:color w:val="auto"/>
        </w:rPr>
        <w:t>表2.4-9</w:t>
      </w:r>
      <w:r>
        <w:rPr>
          <w:color w:val="auto"/>
        </w:rPr>
        <w:t xml:space="preserve">  </w:t>
      </w:r>
      <w:r>
        <w:rPr>
          <w:rFonts w:hint="eastAsia"/>
          <w:color w:val="auto"/>
        </w:rPr>
        <w:t>建设项目Q值确定表</w:t>
      </w:r>
    </w:p>
    <w:tbl>
      <w:tblPr>
        <w:tblStyle w:val="2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75"/>
        <w:gridCol w:w="1476"/>
        <w:gridCol w:w="1989"/>
        <w:gridCol w:w="1629"/>
        <w:gridCol w:w="891"/>
        <w:gridCol w:w="1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color w:val="auto"/>
              </w:rPr>
              <w:t>序号</w:t>
            </w:r>
          </w:p>
        </w:tc>
        <w:tc>
          <w:tcPr>
            <w:tcW w:w="866" w:type="pct"/>
          </w:tcPr>
          <w:p>
            <w:pPr>
              <w:pStyle w:val="33"/>
              <w:rPr>
                <w:color w:val="auto"/>
              </w:rPr>
            </w:pPr>
            <w:r>
              <w:rPr>
                <w:color w:val="auto"/>
              </w:rPr>
              <w:t>危险物质名称</w:t>
            </w:r>
          </w:p>
        </w:tc>
        <w:tc>
          <w:tcPr>
            <w:tcW w:w="1167" w:type="pct"/>
          </w:tcPr>
          <w:p>
            <w:pPr>
              <w:pStyle w:val="33"/>
              <w:rPr>
                <w:color w:val="auto"/>
              </w:rPr>
            </w:pPr>
            <w:r>
              <w:rPr>
                <w:color w:val="auto"/>
              </w:rPr>
              <w:t>CAS号</w:t>
            </w:r>
          </w:p>
        </w:tc>
        <w:tc>
          <w:tcPr>
            <w:tcW w:w="956" w:type="pct"/>
          </w:tcPr>
          <w:p>
            <w:pPr>
              <w:pStyle w:val="33"/>
              <w:rPr>
                <w:color w:val="auto"/>
              </w:rPr>
            </w:pPr>
            <w:r>
              <w:rPr>
                <w:color w:val="auto"/>
              </w:rPr>
              <w:t>最大存在总量qn/t</w:t>
            </w:r>
          </w:p>
        </w:tc>
        <w:tc>
          <w:tcPr>
            <w:tcW w:w="522" w:type="pct"/>
          </w:tcPr>
          <w:p>
            <w:pPr>
              <w:pStyle w:val="33"/>
              <w:rPr>
                <w:color w:val="auto"/>
              </w:rPr>
            </w:pPr>
            <w:r>
              <w:rPr>
                <w:color w:val="auto"/>
              </w:rPr>
              <w:t>临界量</w:t>
            </w:r>
            <w:r>
              <w:rPr>
                <w:rFonts w:hint="eastAsia"/>
                <w:color w:val="auto"/>
              </w:rPr>
              <w:t>/t</w:t>
            </w:r>
          </w:p>
        </w:tc>
        <w:tc>
          <w:tcPr>
            <w:tcW w:w="1032" w:type="pct"/>
            <w:tcBorders>
              <w:bottom w:val="single" w:color="auto" w:sz="4" w:space="0"/>
            </w:tcBorders>
            <w:vAlign w:val="center"/>
          </w:tcPr>
          <w:p>
            <w:pPr>
              <w:pStyle w:val="33"/>
              <w:rPr>
                <w:color w:val="auto"/>
              </w:rPr>
            </w:pPr>
            <w:r>
              <w:rPr>
                <w:color w:val="auto"/>
              </w:rPr>
              <w:t>该种危险物质Q量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1</w:t>
            </w:r>
          </w:p>
        </w:tc>
        <w:tc>
          <w:tcPr>
            <w:tcW w:w="866" w:type="pct"/>
          </w:tcPr>
          <w:p>
            <w:pPr>
              <w:pStyle w:val="33"/>
              <w:rPr>
                <w:color w:val="auto"/>
              </w:rPr>
            </w:pPr>
            <w:r>
              <w:rPr>
                <w:color w:val="auto"/>
              </w:rPr>
              <w:t>C</w:t>
            </w:r>
            <w:r>
              <w:rPr>
                <w:rFonts w:hint="eastAsia"/>
                <w:color w:val="auto"/>
              </w:rPr>
              <w:t>l</w:t>
            </w:r>
            <w:r>
              <w:rPr>
                <w:rFonts w:hint="eastAsia"/>
                <w:color w:val="auto"/>
                <w:vertAlign w:val="subscript"/>
              </w:rPr>
              <w:t>2</w:t>
            </w:r>
          </w:p>
        </w:tc>
        <w:tc>
          <w:tcPr>
            <w:tcW w:w="1167" w:type="pct"/>
          </w:tcPr>
          <w:p>
            <w:pPr>
              <w:pStyle w:val="33"/>
              <w:rPr>
                <w:color w:val="auto"/>
              </w:rPr>
            </w:pPr>
            <w:r>
              <w:rPr>
                <w:rFonts w:hint="eastAsia"/>
                <w:color w:val="auto"/>
              </w:rPr>
              <w:t>7</w:t>
            </w:r>
            <w:r>
              <w:rPr>
                <w:color w:val="auto"/>
              </w:rPr>
              <w:t>4</w:t>
            </w:r>
            <w:r>
              <w:rPr>
                <w:rFonts w:hint="eastAsia"/>
                <w:color w:val="auto"/>
              </w:rPr>
              <w:t>82-50-</w:t>
            </w:r>
            <w:r>
              <w:rPr>
                <w:color w:val="auto"/>
              </w:rPr>
              <w:t>5</w:t>
            </w:r>
          </w:p>
        </w:tc>
        <w:tc>
          <w:tcPr>
            <w:tcW w:w="956" w:type="pct"/>
          </w:tcPr>
          <w:p>
            <w:pPr>
              <w:pStyle w:val="33"/>
              <w:rPr>
                <w:rFonts w:hint="default" w:eastAsia="宋体"/>
                <w:color w:val="auto"/>
                <w:lang w:val="en-US" w:eastAsia="zh-CN"/>
              </w:rPr>
            </w:pPr>
            <w:r>
              <w:rPr>
                <w:rFonts w:hint="eastAsia"/>
                <w:color w:val="auto"/>
                <w:lang w:val="en-US" w:eastAsia="zh-CN"/>
              </w:rPr>
              <w:t>0.5</w:t>
            </w:r>
          </w:p>
        </w:tc>
        <w:tc>
          <w:tcPr>
            <w:tcW w:w="522" w:type="pct"/>
            <w:tcBorders>
              <w:right w:val="single" w:color="auto" w:sz="4" w:space="0"/>
            </w:tcBorders>
          </w:tcPr>
          <w:p>
            <w:pPr>
              <w:pStyle w:val="33"/>
              <w:rPr>
                <w:color w:val="auto"/>
              </w:rPr>
            </w:pPr>
            <w:r>
              <w:rPr>
                <w:rFonts w:hint="eastAsia"/>
                <w:color w:val="auto"/>
              </w:rPr>
              <w:t>1.0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2</w:t>
            </w:r>
          </w:p>
        </w:tc>
        <w:tc>
          <w:tcPr>
            <w:tcW w:w="866" w:type="pct"/>
          </w:tcPr>
          <w:p>
            <w:pPr>
              <w:pStyle w:val="33"/>
              <w:rPr>
                <w:color w:val="auto"/>
              </w:rPr>
            </w:pPr>
            <w:r>
              <w:rPr>
                <w:rFonts w:hint="eastAsia"/>
                <w:color w:val="auto"/>
              </w:rPr>
              <w:t>天然气（气态）</w:t>
            </w:r>
          </w:p>
        </w:tc>
        <w:tc>
          <w:tcPr>
            <w:tcW w:w="1167" w:type="pct"/>
          </w:tcPr>
          <w:p>
            <w:pPr>
              <w:pStyle w:val="33"/>
              <w:rPr>
                <w:color w:val="auto"/>
              </w:rPr>
            </w:pPr>
            <w:r>
              <w:rPr>
                <w:rFonts w:hint="eastAsia"/>
                <w:color w:val="auto"/>
              </w:rPr>
              <w:t>74-82-8</w:t>
            </w:r>
          </w:p>
        </w:tc>
        <w:tc>
          <w:tcPr>
            <w:tcW w:w="956" w:type="pct"/>
          </w:tcPr>
          <w:p>
            <w:pPr>
              <w:pStyle w:val="33"/>
              <w:rPr>
                <w:color w:val="auto"/>
              </w:rPr>
            </w:pPr>
            <w:r>
              <w:rPr>
                <w:rFonts w:hint="eastAsia"/>
                <w:color w:val="auto"/>
              </w:rPr>
              <w:t>0.0142</w:t>
            </w:r>
          </w:p>
        </w:tc>
        <w:tc>
          <w:tcPr>
            <w:tcW w:w="522" w:type="pct"/>
            <w:tcBorders>
              <w:right w:val="single" w:color="auto" w:sz="4" w:space="0"/>
            </w:tcBorders>
          </w:tcPr>
          <w:p>
            <w:pPr>
              <w:pStyle w:val="33"/>
              <w:rPr>
                <w:color w:val="auto"/>
              </w:rPr>
            </w:pPr>
            <w:r>
              <w:rPr>
                <w:rFonts w:hint="eastAsia"/>
                <w:color w:val="auto"/>
              </w:rPr>
              <w:t>10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3</w:t>
            </w:r>
          </w:p>
        </w:tc>
        <w:tc>
          <w:tcPr>
            <w:tcW w:w="866" w:type="pct"/>
          </w:tcPr>
          <w:p>
            <w:pPr>
              <w:pStyle w:val="33"/>
              <w:rPr>
                <w:color w:val="auto"/>
              </w:rPr>
            </w:pPr>
            <w:r>
              <w:rPr>
                <w:rFonts w:hint="eastAsia"/>
                <w:color w:val="auto"/>
              </w:rPr>
              <w:t>液化石油气</w:t>
            </w:r>
          </w:p>
        </w:tc>
        <w:tc>
          <w:tcPr>
            <w:tcW w:w="1167" w:type="pct"/>
          </w:tcPr>
          <w:p>
            <w:pPr>
              <w:pStyle w:val="33"/>
              <w:rPr>
                <w:color w:val="auto"/>
              </w:rPr>
            </w:pPr>
            <w:r>
              <w:rPr>
                <w:rFonts w:hint="eastAsia"/>
                <w:color w:val="auto"/>
              </w:rPr>
              <w:t>68476-85-7</w:t>
            </w:r>
          </w:p>
        </w:tc>
        <w:tc>
          <w:tcPr>
            <w:tcW w:w="956" w:type="pct"/>
          </w:tcPr>
          <w:p>
            <w:pPr>
              <w:pStyle w:val="33"/>
              <w:rPr>
                <w:color w:val="auto"/>
              </w:rPr>
            </w:pPr>
            <w:r>
              <w:rPr>
                <w:rFonts w:hint="eastAsia"/>
                <w:color w:val="auto"/>
              </w:rPr>
              <w:t>1.0</w:t>
            </w:r>
          </w:p>
        </w:tc>
        <w:tc>
          <w:tcPr>
            <w:tcW w:w="522" w:type="pct"/>
            <w:tcBorders>
              <w:right w:val="single" w:color="auto" w:sz="4" w:space="0"/>
            </w:tcBorders>
          </w:tcPr>
          <w:p>
            <w:pPr>
              <w:pStyle w:val="33"/>
              <w:rPr>
                <w:color w:val="auto"/>
              </w:rPr>
            </w:pPr>
            <w:r>
              <w:rPr>
                <w:rFonts w:hint="eastAsia"/>
                <w:color w:val="auto"/>
              </w:rPr>
              <w:t>10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4</w:t>
            </w:r>
          </w:p>
        </w:tc>
        <w:tc>
          <w:tcPr>
            <w:tcW w:w="866" w:type="pct"/>
          </w:tcPr>
          <w:p>
            <w:pPr>
              <w:pStyle w:val="33"/>
              <w:rPr>
                <w:color w:val="auto"/>
              </w:rPr>
            </w:pPr>
            <w:r>
              <w:rPr>
                <w:rFonts w:hint="eastAsia"/>
                <w:color w:val="auto"/>
              </w:rPr>
              <w:t>盐酸</w:t>
            </w:r>
          </w:p>
        </w:tc>
        <w:tc>
          <w:tcPr>
            <w:tcW w:w="1167" w:type="pct"/>
          </w:tcPr>
          <w:p>
            <w:pPr>
              <w:pStyle w:val="33"/>
              <w:rPr>
                <w:color w:val="auto"/>
              </w:rPr>
            </w:pPr>
            <w:r>
              <w:rPr>
                <w:rFonts w:hint="eastAsia"/>
                <w:color w:val="auto"/>
              </w:rPr>
              <w:t>7647-0</w:t>
            </w:r>
            <w:r>
              <w:rPr>
                <w:color w:val="auto"/>
              </w:rPr>
              <w:t>1</w:t>
            </w:r>
            <w:r>
              <w:rPr>
                <w:rFonts w:hint="eastAsia"/>
                <w:color w:val="auto"/>
              </w:rPr>
              <w:t>-0</w:t>
            </w:r>
          </w:p>
        </w:tc>
        <w:tc>
          <w:tcPr>
            <w:tcW w:w="956" w:type="pct"/>
          </w:tcPr>
          <w:p>
            <w:pPr>
              <w:pStyle w:val="33"/>
              <w:rPr>
                <w:rFonts w:hint="eastAsia" w:eastAsia="宋体"/>
                <w:color w:val="auto"/>
                <w:lang w:val="en-US" w:eastAsia="zh-CN"/>
              </w:rPr>
            </w:pPr>
            <w:r>
              <w:rPr>
                <w:rFonts w:hint="eastAsia"/>
                <w:color w:val="auto"/>
              </w:rPr>
              <w:t>0.02</w:t>
            </w:r>
            <w:r>
              <w:rPr>
                <w:rFonts w:hint="eastAsia"/>
                <w:color w:val="auto"/>
                <w:lang w:val="en-US" w:eastAsia="zh-CN"/>
              </w:rPr>
              <w:t>5</w:t>
            </w:r>
          </w:p>
        </w:tc>
        <w:tc>
          <w:tcPr>
            <w:tcW w:w="522" w:type="pct"/>
            <w:tcBorders>
              <w:right w:val="single" w:color="auto" w:sz="4" w:space="0"/>
            </w:tcBorders>
          </w:tcPr>
          <w:p>
            <w:pPr>
              <w:pStyle w:val="33"/>
              <w:rPr>
                <w:color w:val="auto"/>
              </w:rPr>
            </w:pPr>
            <w:r>
              <w:rPr>
                <w:rFonts w:hint="eastAsia"/>
                <w:color w:val="auto"/>
              </w:rPr>
              <w:t>7.5</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5</w:t>
            </w:r>
          </w:p>
        </w:tc>
        <w:tc>
          <w:tcPr>
            <w:tcW w:w="866" w:type="pct"/>
          </w:tcPr>
          <w:p>
            <w:pPr>
              <w:pStyle w:val="33"/>
              <w:rPr>
                <w:color w:val="auto"/>
              </w:rPr>
            </w:pPr>
            <w:r>
              <w:rPr>
                <w:rFonts w:hint="eastAsia"/>
                <w:color w:val="auto"/>
              </w:rPr>
              <w:t>硝酸</w:t>
            </w:r>
          </w:p>
        </w:tc>
        <w:tc>
          <w:tcPr>
            <w:tcW w:w="1167" w:type="pct"/>
          </w:tcPr>
          <w:p>
            <w:pPr>
              <w:pStyle w:val="33"/>
              <w:rPr>
                <w:color w:val="auto"/>
              </w:rPr>
            </w:pPr>
            <w:r>
              <w:rPr>
                <w:rFonts w:hint="eastAsia"/>
                <w:color w:val="auto"/>
              </w:rPr>
              <w:t>6484-52-2</w:t>
            </w:r>
          </w:p>
        </w:tc>
        <w:tc>
          <w:tcPr>
            <w:tcW w:w="956" w:type="pct"/>
          </w:tcPr>
          <w:p>
            <w:pPr>
              <w:pStyle w:val="33"/>
              <w:rPr>
                <w:rFonts w:hint="eastAsia" w:eastAsia="宋体"/>
                <w:color w:val="auto"/>
                <w:lang w:eastAsia="zh-CN"/>
              </w:rPr>
            </w:pPr>
            <w:r>
              <w:rPr>
                <w:rFonts w:hint="eastAsia"/>
                <w:color w:val="auto"/>
              </w:rPr>
              <w:t>0.002</w:t>
            </w:r>
            <w:r>
              <w:rPr>
                <w:rFonts w:hint="eastAsia"/>
                <w:color w:val="auto"/>
                <w:lang w:val="en-US" w:eastAsia="zh-CN"/>
              </w:rPr>
              <w:t>6</w:t>
            </w:r>
          </w:p>
        </w:tc>
        <w:tc>
          <w:tcPr>
            <w:tcW w:w="522" w:type="pct"/>
            <w:tcBorders>
              <w:right w:val="single" w:color="auto" w:sz="4" w:space="0"/>
            </w:tcBorders>
          </w:tcPr>
          <w:p>
            <w:pPr>
              <w:pStyle w:val="33"/>
              <w:rPr>
                <w:color w:val="auto"/>
              </w:rPr>
            </w:pPr>
            <w:r>
              <w:rPr>
                <w:rFonts w:hint="eastAsia"/>
                <w:color w:val="auto"/>
              </w:rPr>
              <w:t>7.5</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55" w:type="pct"/>
          </w:tcPr>
          <w:p>
            <w:pPr>
              <w:pStyle w:val="33"/>
              <w:rPr>
                <w:color w:val="auto"/>
              </w:rPr>
            </w:pPr>
            <w:r>
              <w:rPr>
                <w:rFonts w:hint="eastAsia"/>
                <w:color w:val="auto"/>
              </w:rPr>
              <w:t>6</w:t>
            </w:r>
          </w:p>
        </w:tc>
        <w:tc>
          <w:tcPr>
            <w:tcW w:w="866" w:type="pct"/>
          </w:tcPr>
          <w:p>
            <w:pPr>
              <w:pStyle w:val="33"/>
              <w:rPr>
                <w:color w:val="auto"/>
              </w:rPr>
            </w:pPr>
            <w:r>
              <w:rPr>
                <w:rFonts w:hint="eastAsia"/>
                <w:color w:val="auto"/>
              </w:rPr>
              <w:t>氢氟酸</w:t>
            </w:r>
          </w:p>
        </w:tc>
        <w:tc>
          <w:tcPr>
            <w:tcW w:w="1167" w:type="pct"/>
          </w:tcPr>
          <w:p>
            <w:pPr>
              <w:pStyle w:val="33"/>
              <w:rPr>
                <w:color w:val="auto"/>
              </w:rPr>
            </w:pPr>
            <w:r>
              <w:rPr>
                <w:rFonts w:hint="eastAsia"/>
                <w:color w:val="auto"/>
              </w:rPr>
              <w:t>7664-39-3</w:t>
            </w:r>
          </w:p>
        </w:tc>
        <w:tc>
          <w:tcPr>
            <w:tcW w:w="956" w:type="pct"/>
          </w:tcPr>
          <w:p>
            <w:pPr>
              <w:pStyle w:val="33"/>
              <w:rPr>
                <w:rFonts w:hint="eastAsia" w:eastAsia="宋体"/>
                <w:color w:val="auto"/>
                <w:lang w:eastAsia="zh-CN"/>
              </w:rPr>
            </w:pPr>
            <w:r>
              <w:rPr>
                <w:rFonts w:hint="eastAsia"/>
                <w:color w:val="auto"/>
              </w:rPr>
              <w:t>0.01</w:t>
            </w:r>
            <w:r>
              <w:rPr>
                <w:rFonts w:hint="eastAsia"/>
                <w:color w:val="auto"/>
                <w:lang w:val="en-US" w:eastAsia="zh-CN"/>
              </w:rPr>
              <w:t>4</w:t>
            </w:r>
          </w:p>
        </w:tc>
        <w:tc>
          <w:tcPr>
            <w:tcW w:w="522" w:type="pct"/>
            <w:tcBorders>
              <w:right w:val="single" w:color="auto" w:sz="4" w:space="0"/>
            </w:tcBorders>
          </w:tcPr>
          <w:p>
            <w:pPr>
              <w:pStyle w:val="33"/>
              <w:rPr>
                <w:color w:val="auto"/>
              </w:rPr>
            </w:pPr>
            <w:r>
              <w:rPr>
                <w:rFonts w:hint="eastAsia"/>
                <w:color w:val="auto"/>
              </w:rPr>
              <w:t>1</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7" w:type="pct"/>
            <w:gridSpan w:val="5"/>
            <w:tcBorders>
              <w:right w:val="single" w:color="auto" w:sz="4" w:space="0"/>
            </w:tcBorders>
          </w:tcPr>
          <w:p>
            <w:pPr>
              <w:pStyle w:val="33"/>
              <w:rPr>
                <w:color w:val="auto"/>
              </w:rPr>
            </w:pPr>
            <w:r>
              <w:rPr>
                <w:rFonts w:hint="eastAsia"/>
                <w:color w:val="auto"/>
              </w:rPr>
              <w:t>合计</w:t>
            </w:r>
          </w:p>
        </w:tc>
        <w:tc>
          <w:tcPr>
            <w:tcW w:w="175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0.6191</w:t>
            </w:r>
          </w:p>
        </w:tc>
      </w:tr>
    </w:tbl>
    <w:p>
      <w:pPr>
        <w:pStyle w:val="7"/>
        <w:ind w:firstLine="480"/>
        <w:rPr>
          <w:color w:val="auto"/>
        </w:rPr>
      </w:pPr>
      <w:r>
        <w:rPr>
          <w:rFonts w:hint="eastAsia"/>
          <w:color w:val="auto"/>
        </w:rPr>
        <w:t>根据表2.4-8可知，项目Qmax=0.61</w:t>
      </w:r>
      <w:r>
        <w:rPr>
          <w:rFonts w:hint="eastAsia"/>
          <w:color w:val="auto"/>
          <w:lang w:val="en-US" w:eastAsia="zh-CN"/>
        </w:rPr>
        <w:t>91</w:t>
      </w:r>
      <w:r>
        <w:rPr>
          <w:rFonts w:hint="eastAsia"/>
          <w:color w:val="auto"/>
        </w:rPr>
        <w:t>，Qmax＜1。环境风险潜势为I</w:t>
      </w:r>
    </w:p>
    <w:p>
      <w:pPr>
        <w:pStyle w:val="12"/>
        <w:tabs>
          <w:tab w:val="left" w:pos="932"/>
        </w:tabs>
        <w:spacing w:line="360" w:lineRule="auto"/>
        <w:rPr>
          <w:color w:val="auto"/>
          <w:szCs w:val="24"/>
        </w:rPr>
      </w:pPr>
      <w:r>
        <w:rPr>
          <w:color w:val="auto"/>
          <w:szCs w:val="24"/>
        </w:rPr>
        <w:t>根据《建设项目环境风险评价技术导则》（HJ 169-2018）表1，本项目风险评价的工作等级分级见下表。</w:t>
      </w:r>
    </w:p>
    <w:p>
      <w:pPr>
        <w:pStyle w:val="31"/>
        <w:rPr>
          <w:color w:val="auto"/>
        </w:rPr>
      </w:pPr>
      <w:r>
        <w:rPr>
          <w:color w:val="auto"/>
        </w:rPr>
        <w:t>表</w:t>
      </w:r>
      <w:r>
        <w:rPr>
          <w:rFonts w:hint="eastAsia"/>
          <w:color w:val="auto"/>
        </w:rPr>
        <w:t>2.4-10</w:t>
      </w:r>
      <w:r>
        <w:rPr>
          <w:color w:val="auto"/>
        </w:rPr>
        <w:t xml:space="preserve">  评价工作级别</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000" w:type="pct"/>
            <w:vAlign w:val="center"/>
          </w:tcPr>
          <w:p>
            <w:pPr>
              <w:pStyle w:val="33"/>
            </w:pPr>
            <w:r>
              <w:t>环境风险潜势</w:t>
            </w:r>
          </w:p>
        </w:tc>
        <w:tc>
          <w:tcPr>
            <w:tcW w:w="1000" w:type="pct"/>
            <w:vAlign w:val="center"/>
          </w:tcPr>
          <w:p>
            <w:pPr>
              <w:pStyle w:val="33"/>
            </w:pPr>
            <w:r>
              <w:t>IV、IV+</w:t>
            </w:r>
          </w:p>
        </w:tc>
        <w:tc>
          <w:tcPr>
            <w:tcW w:w="1000" w:type="pct"/>
            <w:vAlign w:val="center"/>
          </w:tcPr>
          <w:p>
            <w:pPr>
              <w:pStyle w:val="33"/>
            </w:pPr>
            <w:r>
              <w:t>III</w:t>
            </w:r>
          </w:p>
        </w:tc>
        <w:tc>
          <w:tcPr>
            <w:tcW w:w="1000" w:type="pct"/>
            <w:vAlign w:val="center"/>
          </w:tcPr>
          <w:p>
            <w:pPr>
              <w:pStyle w:val="33"/>
            </w:pPr>
            <w:r>
              <w:t>II</w:t>
            </w:r>
          </w:p>
        </w:tc>
        <w:tc>
          <w:tcPr>
            <w:tcW w:w="1000" w:type="pct"/>
            <w:vAlign w:val="center"/>
          </w:tcPr>
          <w:p>
            <w:pPr>
              <w:pStyle w:val="33"/>
            </w:pPr>
            <w:r>
              <w:t>I</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000" w:type="pct"/>
            <w:vAlign w:val="center"/>
          </w:tcPr>
          <w:p>
            <w:pPr>
              <w:pStyle w:val="33"/>
            </w:pPr>
            <w:r>
              <w:t>评价工作等级</w:t>
            </w:r>
          </w:p>
        </w:tc>
        <w:tc>
          <w:tcPr>
            <w:tcW w:w="1000" w:type="pct"/>
            <w:vAlign w:val="center"/>
          </w:tcPr>
          <w:p>
            <w:pPr>
              <w:pStyle w:val="33"/>
            </w:pPr>
            <w:r>
              <w:t>一</w:t>
            </w:r>
          </w:p>
        </w:tc>
        <w:tc>
          <w:tcPr>
            <w:tcW w:w="1000" w:type="pct"/>
            <w:vAlign w:val="center"/>
          </w:tcPr>
          <w:p>
            <w:pPr>
              <w:pStyle w:val="33"/>
            </w:pPr>
            <w:r>
              <w:t>二</w:t>
            </w:r>
          </w:p>
        </w:tc>
        <w:tc>
          <w:tcPr>
            <w:tcW w:w="1000" w:type="pct"/>
            <w:vAlign w:val="center"/>
          </w:tcPr>
          <w:p>
            <w:pPr>
              <w:pStyle w:val="33"/>
            </w:pPr>
            <w:r>
              <w:t>三</w:t>
            </w:r>
          </w:p>
        </w:tc>
        <w:tc>
          <w:tcPr>
            <w:tcW w:w="1000" w:type="pct"/>
            <w:vAlign w:val="center"/>
          </w:tcPr>
          <w:p>
            <w:pPr>
              <w:pStyle w:val="33"/>
            </w:pPr>
            <w:r>
              <w:t>简单分析a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vAlign w:val="center"/>
          </w:tcPr>
          <w:p>
            <w:pPr>
              <w:pStyle w:val="33"/>
            </w:pPr>
            <w:r>
              <w:t>a 是相对于详细评价工作内容而言，在描述危险物质、环境影响途径、环境危害后果、风险防范措施等方面给出定性的说明。</w:t>
            </w:r>
          </w:p>
        </w:tc>
      </w:tr>
    </w:tbl>
    <w:p>
      <w:pPr>
        <w:pStyle w:val="7"/>
        <w:ind w:firstLine="480"/>
        <w:rPr>
          <w:rFonts w:hint="default" w:eastAsia="宋体"/>
          <w:lang w:val="en-US" w:eastAsia="zh-CN"/>
        </w:rPr>
      </w:pPr>
      <w:r>
        <w:t>本项目风险潜势为I，</w:t>
      </w:r>
      <w:r>
        <w:rPr>
          <w:rFonts w:hint="eastAsia"/>
        </w:rPr>
        <w:t>根据导则</w:t>
      </w:r>
      <w:r>
        <w:rPr>
          <w:rFonts w:hint="eastAsia"/>
          <w:b/>
        </w:rPr>
        <w:t>环境风险为</w:t>
      </w:r>
      <w:r>
        <w:rPr>
          <w:b/>
        </w:rPr>
        <w:t>简单分析</w:t>
      </w:r>
      <w:r>
        <w:t>。</w:t>
      </w:r>
      <w:r>
        <w:rPr>
          <w:rFonts w:hint="eastAsia"/>
          <w:lang w:val="en-US" w:eastAsia="zh-CN"/>
        </w:rPr>
        <w:t>不设评价范围。</w:t>
      </w:r>
    </w:p>
    <w:p>
      <w:pPr>
        <w:pStyle w:val="5"/>
      </w:pPr>
      <w:bookmarkStart w:id="49" w:name="_Toc16486"/>
      <w:bookmarkStart w:id="50" w:name="_Toc27554"/>
      <w:bookmarkStart w:id="51" w:name="_Toc24017"/>
      <w:r>
        <w:rPr>
          <w:rFonts w:hint="eastAsia"/>
        </w:rPr>
        <w:t>2.5环境保护目标</w:t>
      </w:r>
      <w:bookmarkEnd w:id="49"/>
      <w:bookmarkEnd w:id="50"/>
      <w:bookmarkEnd w:id="51"/>
    </w:p>
    <w:p>
      <w:pPr>
        <w:pStyle w:val="12"/>
        <w:spacing w:line="360" w:lineRule="auto"/>
        <w:ind w:firstLine="480"/>
      </w:pPr>
      <w:bookmarkStart w:id="52" w:name="_Toc534314792"/>
      <w:r>
        <w:rPr>
          <w:rFonts w:hint="eastAsia" w:hAnsi="宋体"/>
        </w:rPr>
        <w:t>根据现场踏勘，本项目环境保护目标见下表2.5-1、</w:t>
      </w:r>
      <w:r>
        <w:rPr>
          <w:rFonts w:hAnsi="宋体"/>
        </w:rPr>
        <w:t>表</w:t>
      </w:r>
      <w:r>
        <w:rPr>
          <w:rFonts w:hint="eastAsia" w:hAnsi="宋体"/>
        </w:rPr>
        <w:t>2.5-2</w:t>
      </w:r>
      <w:r>
        <w:rPr>
          <w:rFonts w:hAnsi="宋体"/>
        </w:rPr>
        <w:t>。</w:t>
      </w:r>
      <w:r>
        <w:rPr>
          <w:rFonts w:hint="eastAsia"/>
        </w:rPr>
        <w:t>具体拟建项目环境敏感点分布见附图2。</w:t>
      </w:r>
    </w:p>
    <w:bookmarkEnd w:id="52"/>
    <w:p>
      <w:pPr>
        <w:pStyle w:val="31"/>
      </w:pPr>
      <w:r>
        <w:t>表</w:t>
      </w:r>
      <w:r>
        <w:rPr>
          <w:rFonts w:hint="eastAsia"/>
        </w:rPr>
        <w:t>2.5-1</w:t>
      </w:r>
      <w:r>
        <w:t xml:space="preserve">  环境空气主要环境保护目标表</w:t>
      </w:r>
    </w:p>
    <w:tbl>
      <w:tblPr>
        <w:tblStyle w:val="27"/>
        <w:tblW w:w="514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667"/>
        <w:gridCol w:w="1351"/>
        <w:gridCol w:w="1120"/>
        <w:gridCol w:w="1614"/>
        <w:gridCol w:w="1246"/>
        <w:gridCol w:w="839"/>
        <w:gridCol w:w="92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vMerge w:val="restart"/>
            <w:shd w:val="clear" w:color="000000" w:fill="FFFFFF"/>
            <w:vAlign w:val="center"/>
          </w:tcPr>
          <w:p>
            <w:pPr>
              <w:pStyle w:val="32"/>
            </w:pPr>
            <w:r>
              <w:t>名称</w:t>
            </w:r>
          </w:p>
        </w:tc>
        <w:tc>
          <w:tcPr>
            <w:tcW w:w="1410" w:type="pct"/>
            <w:gridSpan w:val="2"/>
            <w:shd w:val="clear" w:color="000000" w:fill="FFFFFF"/>
            <w:vAlign w:val="center"/>
          </w:tcPr>
          <w:p>
            <w:pPr>
              <w:pStyle w:val="32"/>
            </w:pPr>
            <w:r>
              <w:t>坐标/°</w:t>
            </w:r>
          </w:p>
        </w:tc>
        <w:tc>
          <w:tcPr>
            <w:tcW w:w="921" w:type="pct"/>
            <w:tcBorders>
              <w:bottom w:val="single" w:color="auto" w:sz="2" w:space="0"/>
            </w:tcBorders>
            <w:shd w:val="clear" w:color="000000" w:fill="FFFFFF"/>
            <w:vAlign w:val="center"/>
          </w:tcPr>
          <w:p>
            <w:pPr>
              <w:pStyle w:val="32"/>
            </w:pPr>
            <w:r>
              <w:t>保护对象</w:t>
            </w:r>
          </w:p>
        </w:tc>
        <w:tc>
          <w:tcPr>
            <w:tcW w:w="711" w:type="pct"/>
            <w:vMerge w:val="restart"/>
            <w:shd w:val="clear" w:color="000000" w:fill="FFFFFF"/>
            <w:vAlign w:val="center"/>
          </w:tcPr>
          <w:p>
            <w:pPr>
              <w:pStyle w:val="32"/>
            </w:pPr>
            <w:r>
              <w:t>环境功能区</w:t>
            </w:r>
          </w:p>
        </w:tc>
        <w:tc>
          <w:tcPr>
            <w:tcW w:w="478" w:type="pct"/>
            <w:vMerge w:val="restart"/>
            <w:shd w:val="clear" w:color="000000" w:fill="FFFFFF"/>
            <w:vAlign w:val="center"/>
          </w:tcPr>
          <w:p>
            <w:pPr>
              <w:pStyle w:val="32"/>
            </w:pPr>
            <w:r>
              <w:t>相对厂址方位</w:t>
            </w:r>
          </w:p>
        </w:tc>
        <w:tc>
          <w:tcPr>
            <w:tcW w:w="527" w:type="pct"/>
            <w:vMerge w:val="restart"/>
            <w:shd w:val="clear" w:color="000000" w:fill="FFFFFF"/>
            <w:vAlign w:val="center"/>
          </w:tcPr>
          <w:p>
            <w:pPr>
              <w:pStyle w:val="32"/>
            </w:pPr>
            <w:r>
              <w:t>相对最近距离/m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vMerge w:val="continue"/>
            <w:shd w:val="clear" w:color="auto" w:fill="auto"/>
            <w:vAlign w:val="center"/>
          </w:tcPr>
          <w:p>
            <w:pPr>
              <w:pStyle w:val="32"/>
            </w:pPr>
          </w:p>
        </w:tc>
        <w:tc>
          <w:tcPr>
            <w:tcW w:w="771" w:type="pct"/>
            <w:shd w:val="clear" w:color="000000" w:fill="FFFFFF"/>
            <w:vAlign w:val="center"/>
          </w:tcPr>
          <w:p>
            <w:pPr>
              <w:pStyle w:val="32"/>
            </w:pPr>
            <w:r>
              <w:t>经度/E</w:t>
            </w:r>
          </w:p>
        </w:tc>
        <w:tc>
          <w:tcPr>
            <w:tcW w:w="639" w:type="pct"/>
            <w:tcBorders>
              <w:top w:val="single" w:color="auto" w:sz="2" w:space="0"/>
            </w:tcBorders>
            <w:shd w:val="clear" w:color="000000" w:fill="FFFFFF"/>
            <w:vAlign w:val="center"/>
          </w:tcPr>
          <w:p>
            <w:pPr>
              <w:pStyle w:val="32"/>
            </w:pPr>
            <w:r>
              <w:t>纬度/N</w:t>
            </w:r>
          </w:p>
        </w:tc>
        <w:tc>
          <w:tcPr>
            <w:tcW w:w="921" w:type="pct"/>
            <w:tcBorders>
              <w:top w:val="single" w:color="auto" w:sz="2" w:space="0"/>
            </w:tcBorders>
            <w:vAlign w:val="center"/>
          </w:tcPr>
          <w:p>
            <w:pPr>
              <w:pStyle w:val="32"/>
            </w:pPr>
            <w:r>
              <w:t>居民区/学校</w:t>
            </w:r>
          </w:p>
        </w:tc>
        <w:tc>
          <w:tcPr>
            <w:tcW w:w="711" w:type="pct"/>
            <w:vMerge w:val="continue"/>
            <w:vAlign w:val="center"/>
          </w:tcPr>
          <w:p>
            <w:pPr>
              <w:pStyle w:val="32"/>
            </w:pPr>
          </w:p>
        </w:tc>
        <w:tc>
          <w:tcPr>
            <w:tcW w:w="478" w:type="pct"/>
            <w:vMerge w:val="continue"/>
            <w:vAlign w:val="center"/>
          </w:tcPr>
          <w:p>
            <w:pPr>
              <w:pStyle w:val="32"/>
            </w:pPr>
          </w:p>
        </w:tc>
        <w:tc>
          <w:tcPr>
            <w:tcW w:w="527" w:type="pct"/>
            <w:vMerge w:val="continue"/>
            <w:vAlign w:val="center"/>
          </w:tcPr>
          <w:p>
            <w:pPr>
              <w:pStyle w:val="32"/>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马鞍山</w:t>
            </w:r>
          </w:p>
        </w:tc>
        <w:tc>
          <w:tcPr>
            <w:tcW w:w="771" w:type="pct"/>
            <w:noWrap/>
            <w:vAlign w:val="center"/>
          </w:tcPr>
          <w:p>
            <w:pPr>
              <w:pStyle w:val="32"/>
              <w:bidi w:val="0"/>
            </w:pPr>
            <w:r>
              <w:t>104.381232</w:t>
            </w:r>
          </w:p>
        </w:tc>
        <w:tc>
          <w:tcPr>
            <w:tcW w:w="639" w:type="pct"/>
            <w:noWrap/>
            <w:vAlign w:val="center"/>
          </w:tcPr>
          <w:p>
            <w:pPr>
              <w:pStyle w:val="32"/>
              <w:bidi w:val="0"/>
            </w:pPr>
            <w:r>
              <w:t>23.692713</w:t>
            </w:r>
          </w:p>
        </w:tc>
        <w:tc>
          <w:tcPr>
            <w:tcW w:w="921" w:type="pct"/>
            <w:noWrap/>
            <w:vAlign w:val="center"/>
          </w:tcPr>
          <w:p>
            <w:pPr>
              <w:pStyle w:val="32"/>
              <w:bidi w:val="0"/>
            </w:pPr>
            <w:r>
              <w:t>62户，226人</w:t>
            </w:r>
          </w:p>
        </w:tc>
        <w:tc>
          <w:tcPr>
            <w:tcW w:w="711" w:type="pct"/>
            <w:vMerge w:val="restart"/>
            <w:noWrap/>
            <w:vAlign w:val="center"/>
          </w:tcPr>
          <w:p>
            <w:pPr>
              <w:pStyle w:val="32"/>
              <w:rPr>
                <w:rFonts w:hint="eastAsia" w:eastAsia="宋体"/>
                <w:lang w:eastAsia="zh-CN"/>
              </w:rPr>
            </w:pPr>
            <w:r>
              <w:t>《环境空气质量标准》二类功能区</w:t>
            </w:r>
          </w:p>
          <w:p>
            <w:pPr>
              <w:pStyle w:val="32"/>
            </w:pPr>
          </w:p>
        </w:tc>
        <w:tc>
          <w:tcPr>
            <w:tcW w:w="478" w:type="pct"/>
            <w:noWrap/>
            <w:vAlign w:val="center"/>
          </w:tcPr>
          <w:p>
            <w:pPr>
              <w:pStyle w:val="32"/>
            </w:pPr>
            <w:r>
              <w:t>北</w:t>
            </w:r>
          </w:p>
        </w:tc>
        <w:tc>
          <w:tcPr>
            <w:tcW w:w="527" w:type="pct"/>
            <w:noWrap/>
            <w:vAlign w:val="center"/>
          </w:tcPr>
          <w:p>
            <w:pPr>
              <w:pStyle w:val="32"/>
              <w:rPr>
                <w:rFonts w:hint="default" w:ascii="Times New Roman" w:hAnsi="Times New Roman" w:eastAsia="宋体" w:cs="Times New Roman"/>
                <w:color w:val="auto"/>
                <w:kern w:val="2"/>
                <w:sz w:val="21"/>
                <w:szCs w:val="24"/>
                <w:lang w:val="en-US" w:eastAsia="zh-CN" w:bidi="ar-SA"/>
              </w:rPr>
            </w:pPr>
            <w:r>
              <w:rPr>
                <w:rFonts w:hint="eastAsia"/>
                <w:color w:val="auto"/>
              </w:rPr>
              <w:t>2050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三家寨</w:t>
            </w:r>
          </w:p>
        </w:tc>
        <w:tc>
          <w:tcPr>
            <w:tcW w:w="771" w:type="pct"/>
            <w:noWrap/>
            <w:vAlign w:val="center"/>
          </w:tcPr>
          <w:p>
            <w:pPr>
              <w:pStyle w:val="32"/>
              <w:bidi w:val="0"/>
            </w:pPr>
            <w:r>
              <w:t>104.361148</w:t>
            </w:r>
          </w:p>
        </w:tc>
        <w:tc>
          <w:tcPr>
            <w:tcW w:w="639" w:type="pct"/>
            <w:noWrap/>
            <w:vAlign w:val="center"/>
          </w:tcPr>
          <w:p>
            <w:pPr>
              <w:pStyle w:val="32"/>
              <w:bidi w:val="0"/>
            </w:pPr>
            <w:r>
              <w:rPr>
                <w:rFonts w:hint="eastAsia"/>
              </w:rPr>
              <w:t>2</w:t>
            </w:r>
            <w:r>
              <w:t>3.690355</w:t>
            </w:r>
          </w:p>
        </w:tc>
        <w:tc>
          <w:tcPr>
            <w:tcW w:w="921" w:type="pct"/>
            <w:noWrap/>
            <w:vAlign w:val="center"/>
          </w:tcPr>
          <w:p>
            <w:pPr>
              <w:pStyle w:val="32"/>
              <w:bidi w:val="0"/>
            </w:pPr>
            <w:r>
              <w:t>95户，290人</w:t>
            </w:r>
          </w:p>
        </w:tc>
        <w:tc>
          <w:tcPr>
            <w:tcW w:w="711" w:type="pct"/>
            <w:vMerge w:val="continue"/>
            <w:noWrap/>
            <w:vAlign w:val="center"/>
          </w:tcPr>
          <w:p>
            <w:pPr>
              <w:pStyle w:val="32"/>
            </w:pPr>
          </w:p>
        </w:tc>
        <w:tc>
          <w:tcPr>
            <w:tcW w:w="478" w:type="pct"/>
            <w:noWrap/>
            <w:vAlign w:val="center"/>
          </w:tcPr>
          <w:p>
            <w:pPr>
              <w:pStyle w:val="32"/>
            </w:pPr>
            <w:r>
              <w:t>西北</w:t>
            </w:r>
          </w:p>
        </w:tc>
        <w:tc>
          <w:tcPr>
            <w:tcW w:w="527" w:type="pct"/>
            <w:noWrap/>
            <w:vAlign w:val="center"/>
          </w:tcPr>
          <w:p>
            <w:pPr>
              <w:pStyle w:val="32"/>
              <w:rPr>
                <w:rFonts w:hint="default" w:ascii="Times New Roman" w:hAnsi="Times New Roman" w:eastAsia="宋体" w:cs="Times New Roman"/>
                <w:color w:val="auto"/>
                <w:kern w:val="2"/>
                <w:sz w:val="21"/>
                <w:szCs w:val="24"/>
                <w:lang w:val="en-US" w:eastAsia="zh-CN" w:bidi="ar-SA"/>
              </w:rPr>
            </w:pPr>
            <w:r>
              <w:rPr>
                <w:color w:val="auto"/>
              </w:rPr>
              <w:t>1</w:t>
            </w:r>
            <w:r>
              <w:rPr>
                <w:rFonts w:hint="eastAsia"/>
                <w:color w:val="auto"/>
              </w:rPr>
              <w:t>925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碧云村</w:t>
            </w:r>
          </w:p>
        </w:tc>
        <w:tc>
          <w:tcPr>
            <w:tcW w:w="771" w:type="pct"/>
            <w:noWrap/>
            <w:vAlign w:val="center"/>
          </w:tcPr>
          <w:p>
            <w:pPr>
              <w:pStyle w:val="32"/>
              <w:bidi w:val="0"/>
            </w:pPr>
            <w:r>
              <w:t>104.361234</w:t>
            </w:r>
          </w:p>
        </w:tc>
        <w:tc>
          <w:tcPr>
            <w:tcW w:w="639" w:type="pct"/>
            <w:noWrap/>
            <w:vAlign w:val="center"/>
          </w:tcPr>
          <w:p>
            <w:pPr>
              <w:pStyle w:val="32"/>
              <w:bidi w:val="0"/>
            </w:pPr>
            <w:r>
              <w:t>23.684224</w:t>
            </w:r>
          </w:p>
        </w:tc>
        <w:tc>
          <w:tcPr>
            <w:tcW w:w="921" w:type="pct"/>
            <w:noWrap/>
            <w:vAlign w:val="center"/>
          </w:tcPr>
          <w:p>
            <w:pPr>
              <w:pStyle w:val="32"/>
              <w:bidi w:val="0"/>
            </w:pPr>
            <w:r>
              <w:t>460户，1761人</w:t>
            </w:r>
          </w:p>
        </w:tc>
        <w:tc>
          <w:tcPr>
            <w:tcW w:w="711" w:type="pct"/>
            <w:vMerge w:val="continue"/>
            <w:noWrap/>
            <w:vAlign w:val="center"/>
          </w:tcPr>
          <w:p>
            <w:pPr>
              <w:pStyle w:val="32"/>
            </w:pPr>
          </w:p>
        </w:tc>
        <w:tc>
          <w:tcPr>
            <w:tcW w:w="478" w:type="pct"/>
            <w:noWrap/>
            <w:vAlign w:val="center"/>
          </w:tcPr>
          <w:p>
            <w:pPr>
              <w:pStyle w:val="32"/>
            </w:pPr>
            <w:r>
              <w:t>西</w:t>
            </w:r>
            <w:r>
              <w:rPr>
                <w:rFonts w:hint="eastAsia"/>
              </w:rPr>
              <w:t>北</w:t>
            </w:r>
          </w:p>
        </w:tc>
        <w:tc>
          <w:tcPr>
            <w:tcW w:w="527" w:type="pct"/>
            <w:noWrap/>
            <w:vAlign w:val="center"/>
          </w:tcPr>
          <w:p>
            <w:pPr>
              <w:pStyle w:val="32"/>
              <w:rPr>
                <w:rFonts w:hint="default" w:ascii="Times New Roman" w:hAnsi="Times New Roman" w:eastAsia="宋体" w:cs="Times New Roman"/>
                <w:color w:val="auto"/>
                <w:kern w:val="2"/>
                <w:sz w:val="21"/>
                <w:szCs w:val="24"/>
                <w:lang w:val="en-US" w:eastAsia="zh-CN" w:bidi="ar-SA"/>
              </w:rPr>
            </w:pPr>
            <w:r>
              <w:rPr>
                <w:color w:val="auto"/>
              </w:rPr>
              <w:t>1</w:t>
            </w:r>
            <w:r>
              <w:rPr>
                <w:rFonts w:hint="eastAsia"/>
                <w:color w:val="auto"/>
              </w:rPr>
              <w:t>585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处暑村（</w:t>
            </w:r>
            <w:r>
              <w:rPr>
                <w:rFonts w:hint="eastAsia"/>
                <w:lang w:val="en-US" w:eastAsia="zh-CN"/>
              </w:rPr>
              <w:t>计划</w:t>
            </w:r>
            <w:r>
              <w:t>搬迁）</w:t>
            </w:r>
          </w:p>
        </w:tc>
        <w:tc>
          <w:tcPr>
            <w:tcW w:w="771" w:type="pct"/>
            <w:noWrap/>
            <w:vAlign w:val="center"/>
          </w:tcPr>
          <w:p>
            <w:pPr>
              <w:pStyle w:val="32"/>
              <w:bidi w:val="0"/>
            </w:pPr>
            <w:r>
              <w:t>104.369602</w:t>
            </w:r>
          </w:p>
        </w:tc>
        <w:tc>
          <w:tcPr>
            <w:tcW w:w="639" w:type="pct"/>
            <w:noWrap/>
            <w:vAlign w:val="center"/>
          </w:tcPr>
          <w:p>
            <w:pPr>
              <w:pStyle w:val="32"/>
              <w:bidi w:val="0"/>
            </w:pPr>
            <w:r>
              <w:t>23.678407</w:t>
            </w:r>
          </w:p>
        </w:tc>
        <w:tc>
          <w:tcPr>
            <w:tcW w:w="921" w:type="pct"/>
            <w:noWrap/>
            <w:vAlign w:val="center"/>
          </w:tcPr>
          <w:p>
            <w:pPr>
              <w:pStyle w:val="32"/>
              <w:bidi w:val="0"/>
            </w:pPr>
            <w:r>
              <w:t>59户，164人</w:t>
            </w:r>
          </w:p>
        </w:tc>
        <w:tc>
          <w:tcPr>
            <w:tcW w:w="711" w:type="pct"/>
            <w:vMerge w:val="continue"/>
            <w:noWrap/>
            <w:vAlign w:val="center"/>
          </w:tcPr>
          <w:p>
            <w:pPr>
              <w:pStyle w:val="32"/>
            </w:pPr>
          </w:p>
        </w:tc>
        <w:tc>
          <w:tcPr>
            <w:tcW w:w="478" w:type="pct"/>
            <w:noWrap/>
            <w:vAlign w:val="center"/>
          </w:tcPr>
          <w:p>
            <w:pPr>
              <w:pStyle w:val="32"/>
            </w:pPr>
            <w:r>
              <w:rPr>
                <w:rFonts w:hint="eastAsia"/>
              </w:rPr>
              <w:t>西北</w:t>
            </w:r>
          </w:p>
        </w:tc>
        <w:tc>
          <w:tcPr>
            <w:tcW w:w="527" w:type="pct"/>
            <w:noWrap/>
            <w:vAlign w:val="center"/>
          </w:tcPr>
          <w:p>
            <w:pPr>
              <w:pStyle w:val="32"/>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618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小听湖（</w:t>
            </w:r>
            <w:r>
              <w:rPr>
                <w:rFonts w:hint="eastAsia"/>
                <w:lang w:val="en-US" w:eastAsia="zh-CN"/>
              </w:rPr>
              <w:t>计划</w:t>
            </w:r>
            <w:r>
              <w:t>搬迁）</w:t>
            </w:r>
          </w:p>
        </w:tc>
        <w:tc>
          <w:tcPr>
            <w:tcW w:w="771" w:type="pct"/>
            <w:noWrap/>
            <w:vAlign w:val="center"/>
          </w:tcPr>
          <w:p>
            <w:pPr>
              <w:pStyle w:val="32"/>
              <w:bidi w:val="0"/>
            </w:pPr>
            <w:r>
              <w:t>104.390931</w:t>
            </w:r>
          </w:p>
        </w:tc>
        <w:tc>
          <w:tcPr>
            <w:tcW w:w="639" w:type="pct"/>
            <w:noWrap/>
            <w:vAlign w:val="center"/>
          </w:tcPr>
          <w:p>
            <w:pPr>
              <w:pStyle w:val="32"/>
              <w:bidi w:val="0"/>
            </w:pPr>
            <w:r>
              <w:t>23.675263</w:t>
            </w:r>
          </w:p>
        </w:tc>
        <w:tc>
          <w:tcPr>
            <w:tcW w:w="921" w:type="pct"/>
            <w:noWrap/>
            <w:vAlign w:val="center"/>
          </w:tcPr>
          <w:p>
            <w:pPr>
              <w:pStyle w:val="32"/>
              <w:bidi w:val="0"/>
            </w:pPr>
            <w:r>
              <w:t>75户，277人</w:t>
            </w:r>
          </w:p>
        </w:tc>
        <w:tc>
          <w:tcPr>
            <w:tcW w:w="711" w:type="pct"/>
            <w:vMerge w:val="continue"/>
            <w:noWrap/>
            <w:vAlign w:val="center"/>
          </w:tcPr>
          <w:p>
            <w:pPr>
              <w:pStyle w:val="32"/>
            </w:pPr>
          </w:p>
        </w:tc>
        <w:tc>
          <w:tcPr>
            <w:tcW w:w="478" w:type="pct"/>
            <w:noWrap/>
            <w:vAlign w:val="center"/>
          </w:tcPr>
          <w:p>
            <w:pPr>
              <w:pStyle w:val="32"/>
            </w:pPr>
            <w:r>
              <w:t>东</w:t>
            </w:r>
          </w:p>
        </w:tc>
        <w:tc>
          <w:tcPr>
            <w:tcW w:w="527" w:type="pct"/>
            <w:noWrap/>
            <w:vAlign w:val="center"/>
          </w:tcPr>
          <w:p>
            <w:pPr>
              <w:pStyle w:val="32"/>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1837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布标</w:t>
            </w:r>
            <w:r>
              <w:rPr>
                <w:rFonts w:hint="eastAsia"/>
              </w:rPr>
              <w:t>村</w:t>
            </w:r>
          </w:p>
        </w:tc>
        <w:tc>
          <w:tcPr>
            <w:tcW w:w="771" w:type="pct"/>
            <w:noWrap/>
            <w:vAlign w:val="center"/>
          </w:tcPr>
          <w:p>
            <w:pPr>
              <w:pStyle w:val="32"/>
              <w:bidi w:val="0"/>
            </w:pPr>
            <w:r>
              <w:t>104.367242</w:t>
            </w:r>
          </w:p>
        </w:tc>
        <w:tc>
          <w:tcPr>
            <w:tcW w:w="639" w:type="pct"/>
            <w:noWrap/>
            <w:vAlign w:val="center"/>
          </w:tcPr>
          <w:p>
            <w:pPr>
              <w:pStyle w:val="32"/>
              <w:bidi w:val="0"/>
            </w:pPr>
            <w:r>
              <w:t>23.670271</w:t>
            </w:r>
          </w:p>
        </w:tc>
        <w:tc>
          <w:tcPr>
            <w:tcW w:w="921" w:type="pct"/>
            <w:noWrap/>
            <w:vAlign w:val="center"/>
          </w:tcPr>
          <w:p>
            <w:pPr>
              <w:pStyle w:val="32"/>
              <w:bidi w:val="0"/>
            </w:pPr>
            <w:r>
              <w:t>430户，1738人</w:t>
            </w:r>
          </w:p>
        </w:tc>
        <w:tc>
          <w:tcPr>
            <w:tcW w:w="711" w:type="pct"/>
            <w:vMerge w:val="continue"/>
            <w:noWrap/>
            <w:vAlign w:val="center"/>
          </w:tcPr>
          <w:p>
            <w:pPr>
              <w:pStyle w:val="32"/>
            </w:pPr>
          </w:p>
        </w:tc>
        <w:tc>
          <w:tcPr>
            <w:tcW w:w="478" w:type="pct"/>
            <w:noWrap/>
            <w:vAlign w:val="center"/>
          </w:tcPr>
          <w:p>
            <w:pPr>
              <w:pStyle w:val="32"/>
            </w:pPr>
            <w:r>
              <w:t>西南</w:t>
            </w:r>
          </w:p>
        </w:tc>
        <w:tc>
          <w:tcPr>
            <w:tcW w:w="527" w:type="pct"/>
            <w:noWrap/>
            <w:vAlign w:val="center"/>
          </w:tcPr>
          <w:p>
            <w:pPr>
              <w:pStyle w:val="32"/>
              <w:rPr>
                <w:rFonts w:hint="eastAsia" w:ascii="Times New Roman" w:hAnsi="Times New Roman" w:eastAsia="宋体" w:cs="Times New Roman"/>
                <w:color w:val="auto"/>
                <w:kern w:val="2"/>
                <w:sz w:val="21"/>
                <w:szCs w:val="24"/>
                <w:lang w:val="en-US" w:eastAsia="zh-CN" w:bidi="ar-SA"/>
              </w:rPr>
            </w:pPr>
            <w:r>
              <w:rPr>
                <w:color w:val="auto"/>
              </w:rPr>
              <w:t>9</w:t>
            </w:r>
            <w:r>
              <w:rPr>
                <w:rFonts w:hint="eastAsia"/>
                <w:color w:val="auto"/>
                <w:lang w:val="en-US" w:eastAsia="zh-CN"/>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柏布榔</w:t>
            </w:r>
          </w:p>
        </w:tc>
        <w:tc>
          <w:tcPr>
            <w:tcW w:w="771" w:type="pct"/>
            <w:noWrap/>
            <w:vAlign w:val="center"/>
          </w:tcPr>
          <w:p>
            <w:pPr>
              <w:pStyle w:val="32"/>
              <w:bidi w:val="0"/>
            </w:pPr>
            <w:r>
              <w:rPr>
                <w:rFonts w:hint="eastAsia"/>
              </w:rPr>
              <w:t>104.377627</w:t>
            </w:r>
          </w:p>
        </w:tc>
        <w:tc>
          <w:tcPr>
            <w:tcW w:w="639" w:type="pct"/>
            <w:noWrap/>
            <w:vAlign w:val="center"/>
          </w:tcPr>
          <w:p>
            <w:pPr>
              <w:pStyle w:val="32"/>
              <w:bidi w:val="0"/>
            </w:pPr>
            <w:r>
              <w:rPr>
                <w:rFonts w:hint="eastAsia"/>
              </w:rPr>
              <w:t>23.665663</w:t>
            </w:r>
          </w:p>
        </w:tc>
        <w:tc>
          <w:tcPr>
            <w:tcW w:w="921" w:type="pct"/>
            <w:noWrap/>
            <w:vAlign w:val="center"/>
          </w:tcPr>
          <w:p>
            <w:pPr>
              <w:pStyle w:val="32"/>
              <w:bidi w:val="0"/>
            </w:pPr>
            <w:r>
              <w:t>40户，149人</w:t>
            </w:r>
          </w:p>
        </w:tc>
        <w:tc>
          <w:tcPr>
            <w:tcW w:w="711" w:type="pct"/>
            <w:vMerge w:val="continue"/>
            <w:noWrap/>
            <w:vAlign w:val="center"/>
          </w:tcPr>
          <w:p>
            <w:pPr>
              <w:pStyle w:val="32"/>
            </w:pPr>
          </w:p>
        </w:tc>
        <w:tc>
          <w:tcPr>
            <w:tcW w:w="478" w:type="pct"/>
            <w:noWrap/>
            <w:vAlign w:val="center"/>
          </w:tcPr>
          <w:p>
            <w:pPr>
              <w:pStyle w:val="32"/>
            </w:pPr>
            <w:r>
              <w:rPr>
                <w:rFonts w:hint="eastAsia"/>
              </w:rPr>
              <w:t>东</w:t>
            </w:r>
            <w:r>
              <w:t>南</w:t>
            </w:r>
          </w:p>
        </w:tc>
        <w:tc>
          <w:tcPr>
            <w:tcW w:w="527" w:type="pct"/>
            <w:noWrap/>
            <w:vAlign w:val="center"/>
          </w:tcPr>
          <w:p>
            <w:pPr>
              <w:pStyle w:val="32"/>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940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pPr>
            <w:r>
              <w:t>听湖村</w:t>
            </w:r>
          </w:p>
        </w:tc>
        <w:tc>
          <w:tcPr>
            <w:tcW w:w="771" w:type="pct"/>
            <w:noWrap/>
            <w:vAlign w:val="center"/>
          </w:tcPr>
          <w:p>
            <w:pPr>
              <w:pStyle w:val="32"/>
              <w:bidi w:val="0"/>
            </w:pPr>
            <w:r>
              <w:rPr>
                <w:rFonts w:hint="eastAsia"/>
              </w:rPr>
              <w:t>104.393077</w:t>
            </w:r>
          </w:p>
        </w:tc>
        <w:tc>
          <w:tcPr>
            <w:tcW w:w="639" w:type="pct"/>
            <w:noWrap/>
            <w:vAlign w:val="center"/>
          </w:tcPr>
          <w:p>
            <w:pPr>
              <w:pStyle w:val="32"/>
              <w:bidi w:val="0"/>
            </w:pPr>
            <w:r>
              <w:rPr>
                <w:rFonts w:hint="eastAsia"/>
              </w:rPr>
              <w:t>23.661860</w:t>
            </w:r>
          </w:p>
        </w:tc>
        <w:tc>
          <w:tcPr>
            <w:tcW w:w="921" w:type="pct"/>
            <w:noWrap/>
            <w:vAlign w:val="center"/>
          </w:tcPr>
          <w:p>
            <w:pPr>
              <w:pStyle w:val="32"/>
              <w:bidi w:val="0"/>
            </w:pPr>
            <w:r>
              <w:t>134户，405人</w:t>
            </w:r>
          </w:p>
        </w:tc>
        <w:tc>
          <w:tcPr>
            <w:tcW w:w="711" w:type="pct"/>
            <w:vMerge w:val="continue"/>
            <w:noWrap/>
            <w:vAlign w:val="center"/>
          </w:tcPr>
          <w:p>
            <w:pPr>
              <w:pStyle w:val="32"/>
            </w:pPr>
          </w:p>
        </w:tc>
        <w:tc>
          <w:tcPr>
            <w:tcW w:w="478" w:type="pct"/>
            <w:noWrap/>
            <w:vAlign w:val="center"/>
          </w:tcPr>
          <w:p>
            <w:pPr>
              <w:pStyle w:val="32"/>
            </w:pPr>
            <w:r>
              <w:t>东南</w:t>
            </w:r>
          </w:p>
        </w:tc>
        <w:tc>
          <w:tcPr>
            <w:tcW w:w="527" w:type="pct"/>
            <w:noWrap/>
            <w:vAlign w:val="center"/>
          </w:tcPr>
          <w:p>
            <w:pPr>
              <w:pStyle w:val="32"/>
              <w:rPr>
                <w:rFonts w:ascii="Times New Roman" w:hAnsi="Times New Roman" w:eastAsia="宋体" w:cs="Times New Roman"/>
                <w:color w:val="auto"/>
                <w:kern w:val="2"/>
                <w:sz w:val="21"/>
                <w:szCs w:val="24"/>
                <w:lang w:val="en-US" w:eastAsia="zh-CN" w:bidi="ar-SA"/>
              </w:rPr>
            </w:pPr>
            <w:r>
              <w:rPr>
                <w:rFonts w:hint="eastAsia"/>
                <w:color w:val="auto"/>
              </w:rPr>
              <w:t>2010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rPr>
                <w:rFonts w:hint="eastAsia" w:eastAsia="宋体"/>
                <w:lang w:val="en-US" w:eastAsia="zh-CN"/>
              </w:rPr>
            </w:pPr>
            <w:r>
              <w:rPr>
                <w:rFonts w:hint="eastAsia"/>
                <w:lang w:val="en-US" w:eastAsia="zh-CN"/>
              </w:rPr>
              <w:t>永忠</w:t>
            </w:r>
          </w:p>
        </w:tc>
        <w:tc>
          <w:tcPr>
            <w:tcW w:w="771" w:type="pct"/>
            <w:noWrap/>
            <w:vAlign w:val="center"/>
          </w:tcPr>
          <w:p>
            <w:pPr>
              <w:pStyle w:val="32"/>
              <w:bidi w:val="0"/>
              <w:rPr>
                <w:rFonts w:hint="default" w:ascii="Times New Roman" w:hAnsi="Times New Roman" w:eastAsia="宋体" w:cs="Times New Roman"/>
                <w:kern w:val="2"/>
                <w:sz w:val="21"/>
                <w:szCs w:val="24"/>
                <w:lang w:val="en-US" w:eastAsia="zh-CN" w:bidi="ar-SA"/>
              </w:rPr>
            </w:pPr>
            <w:r>
              <w:rPr>
                <w:rFonts w:hint="eastAsia"/>
              </w:rPr>
              <w:t>104.3</w:t>
            </w:r>
            <w:r>
              <w:rPr>
                <w:rFonts w:hint="eastAsia"/>
                <w:lang w:val="en-US" w:eastAsia="zh-CN"/>
              </w:rPr>
              <w:t>46806</w:t>
            </w:r>
          </w:p>
        </w:tc>
        <w:tc>
          <w:tcPr>
            <w:tcW w:w="639" w:type="pct"/>
            <w:noWrap/>
            <w:vAlign w:val="center"/>
          </w:tcPr>
          <w:p>
            <w:pPr>
              <w:pStyle w:val="32"/>
              <w:bidi w:val="0"/>
              <w:rPr>
                <w:rFonts w:hint="default" w:ascii="Times New Roman" w:hAnsi="Times New Roman" w:eastAsia="宋体" w:cs="Times New Roman"/>
                <w:kern w:val="2"/>
                <w:sz w:val="21"/>
                <w:szCs w:val="24"/>
                <w:lang w:val="en-US" w:eastAsia="zh-CN" w:bidi="ar-SA"/>
              </w:rPr>
            </w:pPr>
            <w:r>
              <w:rPr>
                <w:rFonts w:hint="eastAsia"/>
              </w:rPr>
              <w:t>23.6</w:t>
            </w:r>
            <w:r>
              <w:rPr>
                <w:rFonts w:hint="eastAsia"/>
                <w:lang w:val="en-US" w:eastAsia="zh-CN"/>
              </w:rPr>
              <w:t>55272</w:t>
            </w:r>
          </w:p>
        </w:tc>
        <w:tc>
          <w:tcPr>
            <w:tcW w:w="921" w:type="pct"/>
            <w:noWrap/>
            <w:vAlign w:val="center"/>
          </w:tcPr>
          <w:p>
            <w:pPr>
              <w:pStyle w:val="32"/>
              <w:bidi w:val="0"/>
              <w:rPr>
                <w:rFonts w:hint="eastAsia" w:ascii="Times New Roman" w:hAnsi="Times New Roman" w:eastAsia="宋体" w:cs="Times New Roman"/>
                <w:kern w:val="2"/>
                <w:sz w:val="21"/>
                <w:szCs w:val="24"/>
                <w:lang w:val="en-US" w:eastAsia="zh-CN" w:bidi="ar-SA"/>
              </w:rPr>
            </w:pPr>
            <w:r>
              <w:t>40户，149人</w:t>
            </w:r>
          </w:p>
        </w:tc>
        <w:tc>
          <w:tcPr>
            <w:tcW w:w="711" w:type="pct"/>
            <w:vMerge w:val="continue"/>
            <w:noWrap/>
            <w:vAlign w:val="center"/>
          </w:tcPr>
          <w:p>
            <w:pPr>
              <w:pStyle w:val="32"/>
            </w:pPr>
          </w:p>
        </w:tc>
        <w:tc>
          <w:tcPr>
            <w:tcW w:w="478"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西南</w:t>
            </w:r>
          </w:p>
        </w:tc>
        <w:tc>
          <w:tcPr>
            <w:tcW w:w="527" w:type="pct"/>
            <w:noWrap/>
            <w:vAlign w:val="center"/>
          </w:tcPr>
          <w:p>
            <w:pPr>
              <w:pStyle w:val="32"/>
              <w:bidi w:val="0"/>
              <w:rPr>
                <w:rFonts w:hint="default" w:ascii="Times New Roman" w:hAnsi="Times New Roman" w:eastAsia="宋体" w:cs="Times New Roman"/>
                <w:kern w:val="2"/>
                <w:sz w:val="21"/>
                <w:szCs w:val="24"/>
                <w:lang w:val="en-US" w:eastAsia="zh-CN" w:bidi="ar-SA"/>
              </w:rPr>
            </w:pPr>
            <w:r>
              <w:rPr>
                <w:rFonts w:hint="eastAsia"/>
                <w:lang w:val="en-US" w:eastAsia="zh-CN"/>
              </w:rPr>
              <w:t>2681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rPr>
                <w:rFonts w:hint="default"/>
                <w:lang w:val="en-US" w:eastAsia="zh-CN"/>
              </w:rPr>
            </w:pPr>
            <w:r>
              <w:rPr>
                <w:rFonts w:hint="eastAsia"/>
                <w:lang w:val="en-US" w:eastAsia="zh-CN"/>
              </w:rPr>
              <w:t>园区管委会</w:t>
            </w:r>
          </w:p>
        </w:tc>
        <w:tc>
          <w:tcPr>
            <w:tcW w:w="771" w:type="pct"/>
            <w:noWrap/>
            <w:vAlign w:val="center"/>
          </w:tcPr>
          <w:p>
            <w:pPr>
              <w:pStyle w:val="32"/>
              <w:bidi w:val="0"/>
              <w:rPr>
                <w:rFonts w:hint="default" w:eastAsia="宋体"/>
                <w:lang w:val="en-US" w:eastAsia="zh-CN"/>
              </w:rPr>
            </w:pPr>
            <w:r>
              <w:rPr>
                <w:rFonts w:hint="eastAsia"/>
                <w:lang w:val="en-US" w:eastAsia="zh-CN"/>
              </w:rPr>
              <w:t>104.3441082</w:t>
            </w:r>
          </w:p>
        </w:tc>
        <w:tc>
          <w:tcPr>
            <w:tcW w:w="639" w:type="pct"/>
            <w:noWrap/>
            <w:vAlign w:val="center"/>
          </w:tcPr>
          <w:p>
            <w:pPr>
              <w:pStyle w:val="32"/>
              <w:bidi w:val="0"/>
              <w:rPr>
                <w:rFonts w:hint="default" w:eastAsia="宋体"/>
                <w:lang w:val="en-US" w:eastAsia="zh-CN"/>
              </w:rPr>
            </w:pPr>
            <w:r>
              <w:rPr>
                <w:rFonts w:hint="eastAsia"/>
                <w:lang w:val="en-US" w:eastAsia="zh-CN"/>
              </w:rPr>
              <w:t>23.664097</w:t>
            </w:r>
          </w:p>
        </w:tc>
        <w:tc>
          <w:tcPr>
            <w:tcW w:w="921" w:type="pct"/>
            <w:noWrap/>
            <w:vAlign w:val="center"/>
          </w:tcPr>
          <w:p>
            <w:pPr>
              <w:pStyle w:val="32"/>
              <w:bidi w:val="0"/>
              <w:rPr>
                <w:rFonts w:hint="default" w:eastAsia="宋体"/>
                <w:lang w:val="en-US" w:eastAsia="zh-CN"/>
              </w:rPr>
            </w:pPr>
            <w:r>
              <w:rPr>
                <w:rFonts w:hint="eastAsia"/>
                <w:lang w:val="en-US" w:eastAsia="zh-CN"/>
              </w:rPr>
              <w:t>100</w:t>
            </w:r>
            <w:r>
              <w:t>人</w:t>
            </w:r>
          </w:p>
        </w:tc>
        <w:tc>
          <w:tcPr>
            <w:tcW w:w="711" w:type="pct"/>
            <w:vMerge w:val="continue"/>
            <w:noWrap/>
            <w:vAlign w:val="center"/>
          </w:tcPr>
          <w:p>
            <w:pPr>
              <w:pStyle w:val="32"/>
            </w:pPr>
          </w:p>
        </w:tc>
        <w:tc>
          <w:tcPr>
            <w:tcW w:w="478"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西南</w:t>
            </w:r>
          </w:p>
        </w:tc>
        <w:tc>
          <w:tcPr>
            <w:tcW w:w="527" w:type="pct"/>
            <w:noWrap/>
            <w:vAlign w:val="center"/>
          </w:tcPr>
          <w:p>
            <w:pPr>
              <w:pStyle w:val="32"/>
              <w:bidi w:val="0"/>
              <w:rPr>
                <w:rFonts w:hint="default" w:ascii="Times New Roman" w:hAnsi="Times New Roman" w:eastAsia="宋体" w:cs="Times New Roman"/>
                <w:kern w:val="2"/>
                <w:sz w:val="21"/>
                <w:szCs w:val="24"/>
                <w:lang w:val="en-US" w:eastAsia="zh-CN" w:bidi="ar-SA"/>
              </w:rPr>
            </w:pPr>
            <w:r>
              <w:rPr>
                <w:rFonts w:hint="eastAsia"/>
                <w:lang w:val="en-US" w:eastAsia="zh-CN"/>
              </w:rPr>
              <w:t>2389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bidi w:val="0"/>
              <w:rPr>
                <w:rFonts w:hint="eastAsia"/>
                <w:lang w:val="en-US" w:eastAsia="zh-CN"/>
              </w:rPr>
            </w:pPr>
            <w:r>
              <w:rPr>
                <w:rFonts w:hint="eastAsia"/>
              </w:rPr>
              <w:t>砚山职业高中</w:t>
            </w:r>
          </w:p>
        </w:tc>
        <w:tc>
          <w:tcPr>
            <w:tcW w:w="771" w:type="pct"/>
            <w:noWrap/>
            <w:vAlign w:val="center"/>
          </w:tcPr>
          <w:p>
            <w:pPr>
              <w:pStyle w:val="32"/>
              <w:bidi w:val="0"/>
              <w:rPr>
                <w:rFonts w:hint="default" w:eastAsia="宋体"/>
                <w:lang w:val="en-US" w:eastAsia="zh-CN"/>
              </w:rPr>
            </w:pPr>
            <w:r>
              <w:rPr>
                <w:rFonts w:hint="eastAsia"/>
                <w:lang w:val="en-US" w:eastAsia="zh-CN"/>
              </w:rPr>
              <w:t>104.344178</w:t>
            </w:r>
          </w:p>
        </w:tc>
        <w:tc>
          <w:tcPr>
            <w:tcW w:w="639" w:type="pct"/>
            <w:noWrap/>
            <w:vAlign w:val="center"/>
          </w:tcPr>
          <w:p>
            <w:pPr>
              <w:pStyle w:val="32"/>
              <w:bidi w:val="0"/>
              <w:rPr>
                <w:rFonts w:hint="default" w:eastAsia="宋体"/>
                <w:lang w:val="en-US" w:eastAsia="zh-CN"/>
              </w:rPr>
            </w:pPr>
            <w:r>
              <w:rPr>
                <w:rFonts w:hint="eastAsia"/>
                <w:lang w:val="en-US" w:eastAsia="zh-CN"/>
              </w:rPr>
              <w:t>23.654248</w:t>
            </w:r>
          </w:p>
        </w:tc>
        <w:tc>
          <w:tcPr>
            <w:tcW w:w="921" w:type="pct"/>
            <w:noWrap/>
            <w:vAlign w:val="center"/>
          </w:tcPr>
          <w:p>
            <w:pPr>
              <w:pStyle w:val="32"/>
              <w:bidi w:val="0"/>
              <w:rPr>
                <w:rFonts w:hint="default" w:eastAsia="宋体"/>
                <w:lang w:val="en-US" w:eastAsia="zh-CN"/>
              </w:rPr>
            </w:pPr>
            <w:r>
              <w:rPr>
                <w:rFonts w:hint="eastAsia"/>
                <w:lang w:val="en-US" w:eastAsia="zh-CN"/>
              </w:rPr>
              <w:t>师生、1300人</w:t>
            </w:r>
          </w:p>
        </w:tc>
        <w:tc>
          <w:tcPr>
            <w:tcW w:w="711" w:type="pct"/>
            <w:vMerge w:val="continue"/>
            <w:noWrap/>
            <w:vAlign w:val="center"/>
          </w:tcPr>
          <w:p>
            <w:pPr>
              <w:pStyle w:val="32"/>
              <w:bidi w:val="0"/>
            </w:pPr>
          </w:p>
        </w:tc>
        <w:tc>
          <w:tcPr>
            <w:tcW w:w="478" w:type="pct"/>
            <w:noWrap/>
            <w:vAlign w:val="center"/>
          </w:tcPr>
          <w:p>
            <w:pPr>
              <w:pStyle w:val="32"/>
              <w:bidi w:val="0"/>
              <w:rPr>
                <w:rFonts w:hint="eastAsia" w:eastAsia="宋体"/>
                <w:lang w:val="en-US" w:eastAsia="zh-CN"/>
              </w:rPr>
            </w:pPr>
            <w:r>
              <w:rPr>
                <w:rFonts w:hint="eastAsia"/>
                <w:lang w:val="en-US" w:eastAsia="zh-CN"/>
              </w:rPr>
              <w:t>西南</w:t>
            </w:r>
          </w:p>
        </w:tc>
        <w:tc>
          <w:tcPr>
            <w:tcW w:w="527" w:type="pct"/>
            <w:noWrap/>
            <w:vAlign w:val="center"/>
          </w:tcPr>
          <w:p>
            <w:pPr>
              <w:pStyle w:val="32"/>
              <w:bidi w:val="0"/>
              <w:rPr>
                <w:rFonts w:hint="default" w:eastAsia="宋体"/>
                <w:lang w:val="en-US" w:eastAsia="zh-CN"/>
              </w:rPr>
            </w:pPr>
            <w:r>
              <w:rPr>
                <w:rFonts w:hint="eastAsia"/>
                <w:lang w:val="en-US" w:eastAsia="zh-CN"/>
              </w:rPr>
              <w:t>2967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951" w:type="pct"/>
            <w:noWrap/>
            <w:vAlign w:val="center"/>
          </w:tcPr>
          <w:p>
            <w:pPr>
              <w:pStyle w:val="32"/>
            </w:pPr>
            <w:r>
              <w:rPr>
                <w:rFonts w:hint="eastAsia"/>
              </w:rPr>
              <w:t>砚山浴仙湖风景名胜区</w:t>
            </w:r>
          </w:p>
        </w:tc>
        <w:tc>
          <w:tcPr>
            <w:tcW w:w="771" w:type="pct"/>
            <w:noWrap/>
            <w:vAlign w:val="center"/>
          </w:tcPr>
          <w:p>
            <w:pPr>
              <w:pStyle w:val="32"/>
            </w:pPr>
            <w:r>
              <w:rPr>
                <w:rFonts w:hint="eastAsia"/>
              </w:rPr>
              <w:t>/</w:t>
            </w:r>
          </w:p>
        </w:tc>
        <w:tc>
          <w:tcPr>
            <w:tcW w:w="639" w:type="pct"/>
            <w:noWrap/>
            <w:vAlign w:val="center"/>
          </w:tcPr>
          <w:p>
            <w:pPr>
              <w:pStyle w:val="32"/>
            </w:pPr>
            <w:r>
              <w:rPr>
                <w:rFonts w:hint="eastAsia"/>
              </w:rPr>
              <w:t>/</w:t>
            </w:r>
          </w:p>
        </w:tc>
        <w:tc>
          <w:tcPr>
            <w:tcW w:w="921" w:type="pct"/>
            <w:noWrap/>
            <w:vAlign w:val="center"/>
          </w:tcPr>
          <w:p>
            <w:pPr>
              <w:pStyle w:val="32"/>
            </w:pPr>
            <w:r>
              <w:rPr>
                <w:rFonts w:hint="eastAsia"/>
              </w:rPr>
              <w:t>/</w:t>
            </w:r>
          </w:p>
        </w:tc>
        <w:tc>
          <w:tcPr>
            <w:tcW w:w="711" w:type="pct"/>
            <w:noWrap/>
            <w:vAlign w:val="center"/>
          </w:tcPr>
          <w:p>
            <w:pPr>
              <w:pStyle w:val="32"/>
            </w:pPr>
            <w:r>
              <w:t>环境空气质量一级</w:t>
            </w:r>
          </w:p>
        </w:tc>
        <w:tc>
          <w:tcPr>
            <w:tcW w:w="478" w:type="pct"/>
            <w:noWrap/>
            <w:vAlign w:val="center"/>
          </w:tcPr>
          <w:p>
            <w:pPr>
              <w:pStyle w:val="32"/>
            </w:pPr>
            <w:r>
              <w:rPr>
                <w:rFonts w:hint="eastAsia"/>
              </w:rPr>
              <w:t>东南</w:t>
            </w:r>
          </w:p>
        </w:tc>
        <w:tc>
          <w:tcPr>
            <w:tcW w:w="527" w:type="pct"/>
            <w:noWrap/>
            <w:vAlign w:val="center"/>
          </w:tcPr>
          <w:p>
            <w:pPr>
              <w:pStyle w:val="32"/>
              <w:rPr>
                <w:rFonts w:ascii="Times New Roman" w:hAnsi="Times New Roman" w:eastAsia="宋体" w:cs="Times New Roman"/>
                <w:kern w:val="2"/>
                <w:sz w:val="21"/>
                <w:szCs w:val="24"/>
                <w:lang w:val="en-US" w:eastAsia="zh-CN" w:bidi="ar-SA"/>
              </w:rPr>
            </w:pPr>
            <w:r>
              <w:rPr>
                <w:rFonts w:hint="eastAsia"/>
              </w:rPr>
              <w:t>1400</w:t>
            </w:r>
          </w:p>
        </w:tc>
      </w:tr>
    </w:tbl>
    <w:p>
      <w:pPr>
        <w:adjustRightInd w:val="0"/>
        <w:snapToGrid w:val="0"/>
        <w:jc w:val="center"/>
        <w:rPr>
          <w:b/>
        </w:rPr>
      </w:pPr>
    </w:p>
    <w:p>
      <w:pPr>
        <w:pStyle w:val="31"/>
      </w:pPr>
      <w:r>
        <w:t>表</w:t>
      </w:r>
      <w:r>
        <w:rPr>
          <w:rFonts w:hint="eastAsia"/>
        </w:rPr>
        <w:t>2.5-2</w:t>
      </w:r>
      <w:r>
        <w:t xml:space="preserve">  水、</w:t>
      </w:r>
      <w:r>
        <w:rPr>
          <w:rFonts w:hint="eastAsia"/>
          <w:lang w:val="en-US" w:eastAsia="zh-CN"/>
        </w:rPr>
        <w:t>生态</w:t>
      </w:r>
      <w:r>
        <w:t>、土壤环境主要环境保护目标表</w:t>
      </w:r>
    </w:p>
    <w:tbl>
      <w:tblPr>
        <w:tblStyle w:val="27"/>
        <w:tblW w:w="5128" w:type="pct"/>
        <w:tblInd w:w="-9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155"/>
        <w:gridCol w:w="542"/>
        <w:gridCol w:w="1185"/>
        <w:gridCol w:w="909"/>
        <w:gridCol w:w="1300"/>
        <w:gridCol w:w="1173"/>
        <w:gridCol w:w="1148"/>
        <w:gridCol w:w="111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vMerge w:val="restart"/>
            <w:tcBorders>
              <w:top w:val="single" w:color="auto" w:sz="2" w:space="0"/>
              <w:left w:val="single" w:color="auto" w:sz="2" w:space="0"/>
              <w:bottom w:val="single" w:color="auto" w:sz="2" w:space="0"/>
              <w:right w:val="single" w:color="auto" w:sz="2" w:space="0"/>
            </w:tcBorders>
            <w:vAlign w:val="center"/>
          </w:tcPr>
          <w:p>
            <w:pPr>
              <w:pStyle w:val="32"/>
            </w:pPr>
            <w:r>
              <w:t>环境要素</w:t>
            </w:r>
          </w:p>
        </w:tc>
        <w:tc>
          <w:tcPr>
            <w:tcW w:w="2308" w:type="pct"/>
            <w:gridSpan w:val="4"/>
            <w:tcBorders>
              <w:top w:val="single" w:color="auto" w:sz="2" w:space="0"/>
              <w:left w:val="single" w:color="auto" w:sz="2" w:space="0"/>
              <w:bottom w:val="single" w:color="auto" w:sz="2" w:space="0"/>
              <w:right w:val="single" w:color="auto" w:sz="2" w:space="0"/>
            </w:tcBorders>
            <w:vAlign w:val="center"/>
          </w:tcPr>
          <w:p>
            <w:pPr>
              <w:pStyle w:val="32"/>
            </w:pPr>
            <w:r>
              <w:t>保护目标</w:t>
            </w:r>
          </w:p>
        </w:tc>
        <w:tc>
          <w:tcPr>
            <w:tcW w:w="688" w:type="pct"/>
            <w:vMerge w:val="restart"/>
            <w:tcBorders>
              <w:top w:val="single" w:color="auto" w:sz="2" w:space="0"/>
              <w:left w:val="single" w:color="auto" w:sz="2" w:space="0"/>
              <w:bottom w:val="single" w:color="auto" w:sz="2" w:space="0"/>
              <w:right w:val="single" w:color="auto" w:sz="2" w:space="0"/>
            </w:tcBorders>
            <w:vAlign w:val="center"/>
          </w:tcPr>
          <w:p>
            <w:pPr>
              <w:pStyle w:val="32"/>
            </w:pPr>
            <w:r>
              <w:t>保护对象</w:t>
            </w:r>
          </w:p>
        </w:tc>
        <w:tc>
          <w:tcPr>
            <w:tcW w:w="673" w:type="pct"/>
            <w:vMerge w:val="restart"/>
            <w:tcBorders>
              <w:top w:val="single" w:color="auto" w:sz="2" w:space="0"/>
              <w:left w:val="single" w:color="auto" w:sz="2" w:space="0"/>
              <w:bottom w:val="single" w:color="auto" w:sz="2" w:space="0"/>
              <w:right w:val="single" w:color="auto" w:sz="2" w:space="0"/>
            </w:tcBorders>
            <w:vAlign w:val="center"/>
          </w:tcPr>
          <w:p>
            <w:pPr>
              <w:pStyle w:val="32"/>
            </w:pPr>
            <w:r>
              <w:t>环境敏感特征</w:t>
            </w:r>
          </w:p>
        </w:tc>
        <w:tc>
          <w:tcPr>
            <w:tcW w:w="652" w:type="pct"/>
            <w:vMerge w:val="restart"/>
            <w:tcBorders>
              <w:top w:val="single" w:color="auto" w:sz="2" w:space="0"/>
              <w:left w:val="single" w:color="auto" w:sz="2" w:space="0"/>
              <w:bottom w:val="single" w:color="auto" w:sz="2" w:space="0"/>
              <w:right w:val="single" w:color="auto" w:sz="2" w:space="0"/>
            </w:tcBorders>
            <w:vAlign w:val="center"/>
          </w:tcPr>
          <w:p>
            <w:pPr>
              <w:pStyle w:val="32"/>
            </w:pPr>
            <w:r>
              <w:t>目标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c>
          <w:tcPr>
            <w:tcW w:w="318" w:type="pct"/>
            <w:vMerge w:val="restart"/>
            <w:tcBorders>
              <w:top w:val="single" w:color="auto" w:sz="2" w:space="0"/>
              <w:left w:val="single" w:color="auto" w:sz="2" w:space="0"/>
              <w:bottom w:val="single" w:color="auto" w:sz="2" w:space="0"/>
              <w:right w:val="single" w:color="auto" w:sz="4" w:space="0"/>
            </w:tcBorders>
            <w:vAlign w:val="center"/>
          </w:tcPr>
          <w:p>
            <w:pPr>
              <w:pStyle w:val="32"/>
            </w:pPr>
            <w:r>
              <w:t>序号</w:t>
            </w:r>
          </w:p>
        </w:tc>
        <w:tc>
          <w:tcPr>
            <w:tcW w:w="694" w:type="pct"/>
            <w:vMerge w:val="restart"/>
            <w:tcBorders>
              <w:top w:val="single" w:color="auto" w:sz="2" w:space="0"/>
              <w:left w:val="single" w:color="auto" w:sz="4" w:space="0"/>
              <w:bottom w:val="single" w:color="auto" w:sz="2" w:space="0"/>
              <w:right w:val="single" w:color="auto" w:sz="2" w:space="0"/>
            </w:tcBorders>
            <w:vAlign w:val="center"/>
          </w:tcPr>
          <w:p>
            <w:pPr>
              <w:pStyle w:val="32"/>
            </w:pPr>
            <w:r>
              <w:t>保护点</w:t>
            </w:r>
          </w:p>
        </w:tc>
        <w:tc>
          <w:tcPr>
            <w:tcW w:w="1294" w:type="pct"/>
            <w:gridSpan w:val="2"/>
            <w:tcBorders>
              <w:top w:val="single" w:color="auto" w:sz="2" w:space="0"/>
              <w:left w:val="single" w:color="auto" w:sz="2" w:space="0"/>
              <w:bottom w:val="single" w:color="auto" w:sz="2" w:space="0"/>
              <w:right w:val="single" w:color="auto" w:sz="2" w:space="0"/>
            </w:tcBorders>
            <w:vAlign w:val="center"/>
          </w:tcPr>
          <w:p>
            <w:pPr>
              <w:pStyle w:val="32"/>
            </w:pPr>
            <w:r>
              <w:t>与厂界最近距离</w:t>
            </w:r>
          </w:p>
        </w:tc>
        <w:tc>
          <w:tcPr>
            <w:tcW w:w="688"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c>
          <w:tcPr>
            <w:tcW w:w="673"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c>
          <w:tcPr>
            <w:tcW w:w="652"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c>
          <w:tcPr>
            <w:tcW w:w="318" w:type="pct"/>
            <w:vMerge w:val="continue"/>
            <w:tcBorders>
              <w:top w:val="single" w:color="auto" w:sz="2" w:space="0"/>
              <w:left w:val="single" w:color="auto" w:sz="2" w:space="0"/>
              <w:bottom w:val="single" w:color="auto" w:sz="2" w:space="0"/>
              <w:right w:val="single" w:color="auto" w:sz="4" w:space="0"/>
            </w:tcBorders>
            <w:vAlign w:val="center"/>
          </w:tcPr>
          <w:p>
            <w:pPr>
              <w:pStyle w:val="32"/>
            </w:pPr>
          </w:p>
        </w:tc>
        <w:tc>
          <w:tcPr>
            <w:tcW w:w="694" w:type="pct"/>
            <w:vMerge w:val="continue"/>
            <w:tcBorders>
              <w:top w:val="single" w:color="auto" w:sz="2" w:space="0"/>
              <w:left w:val="single" w:color="auto" w:sz="4" w:space="0"/>
              <w:bottom w:val="single" w:color="auto" w:sz="2" w:space="0"/>
              <w:right w:val="single" w:color="auto" w:sz="2" w:space="0"/>
            </w:tcBorders>
            <w:vAlign w:val="center"/>
          </w:tcPr>
          <w:p>
            <w:pPr>
              <w:pStyle w:val="32"/>
            </w:pPr>
          </w:p>
        </w:tc>
        <w:tc>
          <w:tcPr>
            <w:tcW w:w="533" w:type="pct"/>
            <w:tcBorders>
              <w:top w:val="single" w:color="auto" w:sz="2" w:space="0"/>
              <w:left w:val="single" w:color="auto" w:sz="2" w:space="0"/>
              <w:bottom w:val="single" w:color="auto" w:sz="2" w:space="0"/>
              <w:right w:val="single" w:color="auto" w:sz="2" w:space="0"/>
            </w:tcBorders>
            <w:vAlign w:val="center"/>
          </w:tcPr>
          <w:p>
            <w:pPr>
              <w:pStyle w:val="32"/>
            </w:pPr>
            <w:r>
              <w:t>方位</w:t>
            </w:r>
          </w:p>
        </w:tc>
        <w:tc>
          <w:tcPr>
            <w:tcW w:w="761" w:type="pct"/>
            <w:tcBorders>
              <w:top w:val="single" w:color="auto" w:sz="2" w:space="0"/>
              <w:left w:val="single" w:color="auto" w:sz="2" w:space="0"/>
              <w:bottom w:val="single" w:color="auto" w:sz="2" w:space="0"/>
              <w:right w:val="single" w:color="auto" w:sz="2" w:space="0"/>
            </w:tcBorders>
            <w:vAlign w:val="center"/>
          </w:tcPr>
          <w:p>
            <w:pPr>
              <w:pStyle w:val="32"/>
            </w:pPr>
            <w:r>
              <w:t>距离(km)</w:t>
            </w:r>
          </w:p>
        </w:tc>
        <w:tc>
          <w:tcPr>
            <w:tcW w:w="688"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c>
          <w:tcPr>
            <w:tcW w:w="673"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c>
          <w:tcPr>
            <w:tcW w:w="652" w:type="pct"/>
            <w:vMerge w:val="continue"/>
            <w:tcBorders>
              <w:top w:val="single" w:color="auto" w:sz="2" w:space="0"/>
              <w:left w:val="single" w:color="auto" w:sz="2" w:space="0"/>
              <w:bottom w:val="single" w:color="auto" w:sz="2"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vMerge w:val="restart"/>
            <w:tcBorders>
              <w:top w:val="single" w:color="auto" w:sz="2" w:space="0"/>
              <w:left w:val="single" w:color="auto" w:sz="2" w:space="0"/>
              <w:right w:val="single" w:color="auto" w:sz="2" w:space="0"/>
            </w:tcBorders>
            <w:vAlign w:val="center"/>
          </w:tcPr>
          <w:p>
            <w:pPr>
              <w:pStyle w:val="32"/>
            </w:pPr>
            <w:r>
              <w:t>地表水</w:t>
            </w:r>
          </w:p>
        </w:tc>
        <w:tc>
          <w:tcPr>
            <w:tcW w:w="1013" w:type="pct"/>
            <w:gridSpan w:val="2"/>
            <w:tcBorders>
              <w:top w:val="single" w:color="auto" w:sz="2" w:space="0"/>
              <w:left w:val="single" w:color="auto" w:sz="2" w:space="0"/>
              <w:bottom w:val="single" w:color="auto" w:sz="2" w:space="0"/>
              <w:right w:val="single" w:color="auto" w:sz="2" w:space="0"/>
            </w:tcBorders>
            <w:vAlign w:val="center"/>
          </w:tcPr>
          <w:p>
            <w:pPr>
              <w:pStyle w:val="32"/>
            </w:pPr>
            <w:r>
              <w:rPr>
                <w:rFonts w:hint="eastAsia"/>
              </w:rPr>
              <w:t>听湖水库</w:t>
            </w:r>
          </w:p>
        </w:tc>
        <w:tc>
          <w:tcPr>
            <w:tcW w:w="533" w:type="pct"/>
            <w:tcBorders>
              <w:top w:val="single" w:color="auto" w:sz="2" w:space="0"/>
              <w:left w:val="single" w:color="auto" w:sz="2" w:space="0"/>
              <w:bottom w:val="single" w:color="auto" w:sz="2" w:space="0"/>
              <w:right w:val="single" w:color="auto" w:sz="2" w:space="0"/>
            </w:tcBorders>
            <w:vAlign w:val="center"/>
          </w:tcPr>
          <w:p>
            <w:pPr>
              <w:pStyle w:val="32"/>
            </w:pPr>
            <w:r>
              <w:rPr>
                <w:rFonts w:hint="eastAsia"/>
              </w:rPr>
              <w:t>南</w:t>
            </w:r>
          </w:p>
        </w:tc>
        <w:tc>
          <w:tcPr>
            <w:tcW w:w="761" w:type="pct"/>
            <w:tcBorders>
              <w:top w:val="single" w:color="auto" w:sz="2" w:space="0"/>
              <w:left w:val="single" w:color="auto" w:sz="2" w:space="0"/>
              <w:bottom w:val="single" w:color="auto" w:sz="2" w:space="0"/>
              <w:right w:val="single" w:color="auto" w:sz="2" w:space="0"/>
            </w:tcBorders>
            <w:vAlign w:val="center"/>
          </w:tcPr>
          <w:p>
            <w:pPr>
              <w:pStyle w:val="32"/>
            </w:pPr>
            <w:r>
              <w:t>1180m</w:t>
            </w:r>
          </w:p>
        </w:tc>
        <w:tc>
          <w:tcPr>
            <w:tcW w:w="688" w:type="pct"/>
            <w:tcBorders>
              <w:top w:val="single" w:color="auto" w:sz="2" w:space="0"/>
              <w:left w:val="single" w:color="auto" w:sz="2" w:space="0"/>
              <w:bottom w:val="single" w:color="auto" w:sz="2" w:space="0"/>
              <w:right w:val="single" w:color="auto" w:sz="2" w:space="0"/>
            </w:tcBorders>
            <w:vAlign w:val="center"/>
          </w:tcPr>
          <w:p>
            <w:pPr>
              <w:pStyle w:val="32"/>
            </w:pPr>
            <w:r>
              <w:rPr>
                <w:rFonts w:hint="eastAsia"/>
              </w:rPr>
              <w:t>湖泊水质</w:t>
            </w:r>
          </w:p>
        </w:tc>
        <w:tc>
          <w:tcPr>
            <w:tcW w:w="673" w:type="pct"/>
            <w:tcBorders>
              <w:top w:val="single" w:color="auto" w:sz="2" w:space="0"/>
              <w:left w:val="single" w:color="auto" w:sz="2" w:space="0"/>
              <w:bottom w:val="single" w:color="auto" w:sz="2" w:space="0"/>
              <w:right w:val="single" w:color="auto" w:sz="2" w:space="0"/>
            </w:tcBorders>
            <w:vAlign w:val="center"/>
          </w:tcPr>
          <w:p>
            <w:pPr>
              <w:pStyle w:val="32"/>
            </w:pPr>
            <w:r>
              <w:t>/</w:t>
            </w:r>
          </w:p>
        </w:tc>
        <w:tc>
          <w:tcPr>
            <w:tcW w:w="652" w:type="pct"/>
            <w:tcBorders>
              <w:top w:val="single" w:color="auto" w:sz="2" w:space="0"/>
              <w:left w:val="single" w:color="auto" w:sz="2" w:space="0"/>
              <w:bottom w:val="single" w:color="auto" w:sz="2" w:space="0"/>
              <w:right w:val="single" w:color="auto" w:sz="2" w:space="0"/>
            </w:tcBorders>
            <w:vAlign w:val="center"/>
          </w:tcPr>
          <w:p>
            <w:pPr>
              <w:pStyle w:val="32"/>
            </w:pPr>
            <w:r>
              <w:rPr>
                <w:rFonts w:hint="eastAsia"/>
              </w:rPr>
              <w:t>地表水II类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vMerge w:val="continue"/>
            <w:tcBorders>
              <w:left w:val="single" w:color="auto" w:sz="2" w:space="0"/>
              <w:bottom w:val="single" w:color="auto" w:sz="2" w:space="0"/>
              <w:right w:val="single" w:color="auto" w:sz="2" w:space="0"/>
            </w:tcBorders>
            <w:vAlign w:val="center"/>
          </w:tcPr>
          <w:p>
            <w:pPr>
              <w:pStyle w:val="32"/>
            </w:pPr>
          </w:p>
        </w:tc>
        <w:tc>
          <w:tcPr>
            <w:tcW w:w="1013" w:type="pct"/>
            <w:gridSpan w:val="2"/>
            <w:tcBorders>
              <w:top w:val="single" w:color="auto" w:sz="2" w:space="0"/>
              <w:left w:val="single" w:color="auto" w:sz="2" w:space="0"/>
              <w:bottom w:val="single" w:color="auto" w:sz="2" w:space="0"/>
              <w:right w:val="single" w:color="auto" w:sz="2" w:space="0"/>
            </w:tcBorders>
            <w:vAlign w:val="center"/>
          </w:tcPr>
          <w:p>
            <w:pPr>
              <w:pStyle w:val="32"/>
            </w:pPr>
            <w:r>
              <w:rPr>
                <w:rFonts w:hint="eastAsia"/>
              </w:rPr>
              <w:t>公革河</w:t>
            </w:r>
          </w:p>
        </w:tc>
        <w:tc>
          <w:tcPr>
            <w:tcW w:w="533" w:type="pct"/>
            <w:tcBorders>
              <w:top w:val="single" w:color="auto" w:sz="2" w:space="0"/>
              <w:left w:val="single" w:color="auto" w:sz="2" w:space="0"/>
              <w:bottom w:val="single" w:color="auto" w:sz="2" w:space="0"/>
              <w:right w:val="single" w:color="auto" w:sz="2" w:space="0"/>
            </w:tcBorders>
            <w:vAlign w:val="center"/>
          </w:tcPr>
          <w:p>
            <w:pPr>
              <w:pStyle w:val="32"/>
            </w:pPr>
            <w:r>
              <w:rPr>
                <w:rFonts w:hint="eastAsia"/>
              </w:rPr>
              <w:t>东</w:t>
            </w:r>
          </w:p>
        </w:tc>
        <w:tc>
          <w:tcPr>
            <w:tcW w:w="761" w:type="pct"/>
            <w:tcBorders>
              <w:top w:val="single" w:color="auto" w:sz="2" w:space="0"/>
              <w:left w:val="single" w:color="auto" w:sz="2" w:space="0"/>
              <w:bottom w:val="single" w:color="auto" w:sz="2" w:space="0"/>
              <w:right w:val="single" w:color="auto" w:sz="2" w:space="0"/>
            </w:tcBorders>
            <w:vAlign w:val="center"/>
          </w:tcPr>
          <w:p>
            <w:pPr>
              <w:pStyle w:val="32"/>
            </w:pPr>
            <w:r>
              <w:t>1400m</w:t>
            </w:r>
          </w:p>
        </w:tc>
        <w:tc>
          <w:tcPr>
            <w:tcW w:w="688" w:type="pct"/>
            <w:tcBorders>
              <w:top w:val="single" w:color="auto" w:sz="2" w:space="0"/>
              <w:left w:val="single" w:color="auto" w:sz="2" w:space="0"/>
              <w:bottom w:val="single" w:color="auto" w:sz="2" w:space="0"/>
              <w:right w:val="single" w:color="auto" w:sz="2" w:space="0"/>
            </w:tcBorders>
            <w:vAlign w:val="center"/>
          </w:tcPr>
          <w:p>
            <w:pPr>
              <w:pStyle w:val="32"/>
            </w:pPr>
            <w:r>
              <w:rPr>
                <w:rFonts w:hint="eastAsia"/>
              </w:rPr>
              <w:t>河水水质</w:t>
            </w:r>
          </w:p>
        </w:tc>
        <w:tc>
          <w:tcPr>
            <w:tcW w:w="673" w:type="pct"/>
            <w:tcBorders>
              <w:top w:val="single" w:color="auto" w:sz="2" w:space="0"/>
              <w:left w:val="single" w:color="auto" w:sz="2" w:space="0"/>
              <w:bottom w:val="single" w:color="auto" w:sz="2" w:space="0"/>
              <w:right w:val="single" w:color="auto" w:sz="2" w:space="0"/>
            </w:tcBorders>
            <w:vAlign w:val="center"/>
          </w:tcPr>
          <w:p>
            <w:pPr>
              <w:pStyle w:val="32"/>
            </w:pPr>
            <w:r>
              <w:t>/</w:t>
            </w:r>
          </w:p>
        </w:tc>
        <w:tc>
          <w:tcPr>
            <w:tcW w:w="652" w:type="pct"/>
            <w:tcBorders>
              <w:top w:val="single" w:color="auto" w:sz="2" w:space="0"/>
              <w:left w:val="single" w:color="auto" w:sz="2" w:space="0"/>
              <w:bottom w:val="single" w:color="auto" w:sz="2" w:space="0"/>
              <w:right w:val="single" w:color="auto" w:sz="2" w:space="0"/>
            </w:tcBorders>
            <w:vAlign w:val="center"/>
          </w:tcPr>
          <w:p>
            <w:pPr>
              <w:pStyle w:val="32"/>
            </w:pPr>
            <w:r>
              <w:rPr>
                <w:rFonts w:hint="eastAsia"/>
              </w:rPr>
              <w:t>地表水II类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tcBorders>
              <w:left w:val="single" w:color="auto" w:sz="2" w:space="0"/>
              <w:right w:val="single" w:color="auto" w:sz="2" w:space="0"/>
            </w:tcBorders>
            <w:vAlign w:val="center"/>
          </w:tcPr>
          <w:p>
            <w:pPr>
              <w:pStyle w:val="32"/>
            </w:pPr>
            <w:r>
              <w:t>地下水</w:t>
            </w:r>
          </w:p>
        </w:tc>
        <w:tc>
          <w:tcPr>
            <w:tcW w:w="2308" w:type="pct"/>
            <w:gridSpan w:val="4"/>
            <w:tcBorders>
              <w:top w:val="single" w:color="auto" w:sz="2" w:space="0"/>
              <w:left w:val="single" w:color="auto" w:sz="2" w:space="0"/>
              <w:bottom w:val="single" w:color="auto" w:sz="2" w:space="0"/>
              <w:right w:val="single" w:color="auto" w:sz="2" w:space="0"/>
            </w:tcBorders>
            <w:vAlign w:val="center"/>
          </w:tcPr>
          <w:p>
            <w:pPr>
              <w:pStyle w:val="32"/>
            </w:pPr>
            <w:r>
              <w:rPr>
                <w:rFonts w:hint="eastAsia"/>
              </w:rPr>
              <w:t>石炭系（</w:t>
            </w:r>
            <w:r>
              <w:t>C</w:t>
            </w:r>
            <w:r>
              <w:rPr>
                <w:vertAlign w:val="subscript"/>
              </w:rPr>
              <w:t>2</w:t>
            </w:r>
            <w:r>
              <w:t>w</w:t>
            </w:r>
            <w:r>
              <w:rPr>
                <w:rFonts w:hint="eastAsia"/>
              </w:rPr>
              <w:t>、</w:t>
            </w:r>
            <w:r>
              <w:t>C1d</w:t>
            </w:r>
            <w:r>
              <w:rPr>
                <w:rFonts w:hint="eastAsia"/>
              </w:rPr>
              <w:t>、</w:t>
            </w:r>
            <w:r>
              <w:t>C</w:t>
            </w:r>
            <w:r>
              <w:rPr>
                <w:vertAlign w:val="subscript"/>
              </w:rPr>
              <w:t>3</w:t>
            </w:r>
            <w:r>
              <w:t>m</w:t>
            </w:r>
            <w:r>
              <w:rPr>
                <w:rFonts w:hint="eastAsia"/>
              </w:rPr>
              <w:t>）及二叠系（</w:t>
            </w:r>
            <w:r>
              <w:t>P</w:t>
            </w:r>
            <w:r>
              <w:rPr>
                <w:vertAlign w:val="subscript"/>
              </w:rPr>
              <w:t>1</w:t>
            </w:r>
            <w:r>
              <w:rPr>
                <w:rFonts w:hint="eastAsia"/>
              </w:rPr>
              <w:t>、</w:t>
            </w:r>
            <w:r>
              <w:t>P</w:t>
            </w:r>
            <w:r>
              <w:rPr>
                <w:vertAlign w:val="subscript"/>
              </w:rPr>
              <w:t>2</w:t>
            </w:r>
            <w:r>
              <w:t>w</w:t>
            </w:r>
            <w:r>
              <w:rPr>
                <w:rFonts w:hint="eastAsia"/>
              </w:rPr>
              <w:t>）岩溶含水层及三叠系（</w:t>
            </w:r>
            <w:r>
              <w:t>T</w:t>
            </w:r>
            <w:r>
              <w:rPr>
                <w:vertAlign w:val="subscript"/>
              </w:rPr>
              <w:t>1</w:t>
            </w:r>
            <w:r>
              <w:t>x</w:t>
            </w:r>
            <w:r>
              <w:rPr>
                <w:rFonts w:hint="eastAsia"/>
              </w:rPr>
              <w:t>）和下第三系砚山组（</w:t>
            </w:r>
            <w:r>
              <w:t>Ey</w:t>
            </w:r>
            <w:r>
              <w:rPr>
                <w:rFonts w:hint="eastAsia"/>
              </w:rPr>
              <w:t>）裂隙弱透水层</w:t>
            </w:r>
          </w:p>
        </w:tc>
        <w:tc>
          <w:tcPr>
            <w:tcW w:w="688" w:type="pct"/>
            <w:tcBorders>
              <w:top w:val="single" w:color="auto" w:sz="2" w:space="0"/>
              <w:left w:val="single" w:color="auto" w:sz="2" w:space="0"/>
              <w:right w:val="single" w:color="auto" w:sz="2" w:space="0"/>
            </w:tcBorders>
            <w:vAlign w:val="center"/>
          </w:tcPr>
          <w:p>
            <w:pPr>
              <w:pStyle w:val="32"/>
            </w:pPr>
            <w:r>
              <w:t>地下水水质</w:t>
            </w:r>
          </w:p>
        </w:tc>
        <w:tc>
          <w:tcPr>
            <w:tcW w:w="673" w:type="pct"/>
            <w:tcBorders>
              <w:top w:val="single" w:color="auto" w:sz="2" w:space="0"/>
              <w:left w:val="single" w:color="auto" w:sz="2" w:space="0"/>
              <w:bottom w:val="single" w:color="auto" w:sz="2" w:space="0"/>
              <w:right w:val="single" w:color="auto" w:sz="2" w:space="0"/>
            </w:tcBorders>
            <w:vAlign w:val="center"/>
          </w:tcPr>
          <w:p>
            <w:pPr>
              <w:pStyle w:val="32"/>
            </w:pPr>
            <w:r>
              <w:t>/</w:t>
            </w:r>
          </w:p>
        </w:tc>
        <w:tc>
          <w:tcPr>
            <w:tcW w:w="652" w:type="pct"/>
            <w:tcBorders>
              <w:top w:val="single" w:color="auto" w:sz="2" w:space="0"/>
              <w:left w:val="single" w:color="auto" w:sz="2" w:space="0"/>
              <w:right w:val="single" w:color="auto" w:sz="2" w:space="0"/>
            </w:tcBorders>
            <w:vAlign w:val="center"/>
          </w:tcPr>
          <w:p>
            <w:pPr>
              <w:pStyle w:val="32"/>
            </w:pPr>
            <w:r>
              <w:t>地下水Ⅲ类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tcBorders>
              <w:left w:val="single" w:color="auto" w:sz="2" w:space="0"/>
              <w:right w:val="single" w:color="auto" w:sz="2" w:space="0"/>
            </w:tcBorders>
            <w:vAlign w:val="center"/>
          </w:tcPr>
          <w:p>
            <w:pPr>
              <w:pStyle w:val="32"/>
            </w:pPr>
            <w:r>
              <w:t>生态环境</w:t>
            </w:r>
          </w:p>
        </w:tc>
        <w:tc>
          <w:tcPr>
            <w:tcW w:w="2308" w:type="pct"/>
            <w:gridSpan w:val="4"/>
            <w:tcBorders>
              <w:top w:val="single" w:color="auto" w:sz="2" w:space="0"/>
              <w:left w:val="single" w:color="auto" w:sz="2" w:space="0"/>
              <w:bottom w:val="single" w:color="auto" w:sz="2" w:space="0"/>
              <w:right w:val="single" w:color="auto" w:sz="2" w:space="0"/>
            </w:tcBorders>
            <w:vAlign w:val="center"/>
          </w:tcPr>
          <w:p>
            <w:pPr>
              <w:pStyle w:val="32"/>
            </w:pPr>
            <w:r>
              <w:t>周围200m范围内动植物、水土保持和土地利用</w:t>
            </w:r>
          </w:p>
        </w:tc>
        <w:tc>
          <w:tcPr>
            <w:tcW w:w="688" w:type="pct"/>
            <w:tcBorders>
              <w:top w:val="single" w:color="auto" w:sz="2" w:space="0"/>
              <w:left w:val="single" w:color="auto" w:sz="2" w:space="0"/>
              <w:bottom w:val="single" w:color="auto" w:sz="2" w:space="0"/>
              <w:right w:val="single" w:color="auto" w:sz="2" w:space="0"/>
            </w:tcBorders>
            <w:vAlign w:val="center"/>
          </w:tcPr>
          <w:p>
            <w:pPr>
              <w:pStyle w:val="32"/>
            </w:pPr>
            <w:r>
              <w:t>生态</w:t>
            </w:r>
          </w:p>
        </w:tc>
        <w:tc>
          <w:tcPr>
            <w:tcW w:w="1325" w:type="pct"/>
            <w:gridSpan w:val="2"/>
            <w:tcBorders>
              <w:top w:val="single" w:color="auto" w:sz="2" w:space="0"/>
              <w:left w:val="single" w:color="auto" w:sz="2" w:space="0"/>
              <w:bottom w:val="single" w:color="auto" w:sz="2" w:space="0"/>
              <w:right w:val="single" w:color="auto" w:sz="2" w:space="0"/>
            </w:tcBorders>
            <w:vAlign w:val="center"/>
          </w:tcPr>
          <w:p>
            <w:pPr>
              <w:pStyle w:val="32"/>
            </w:pPr>
            <w:r>
              <w:t>避免对生态环境造成污染影响</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rPr>
        <w:tc>
          <w:tcPr>
            <w:tcW w:w="677" w:type="pct"/>
            <w:tcBorders>
              <w:left w:val="single" w:color="auto" w:sz="2" w:space="0"/>
              <w:bottom w:val="single" w:color="auto" w:sz="2" w:space="0"/>
              <w:right w:val="single" w:color="auto" w:sz="2" w:space="0"/>
            </w:tcBorders>
            <w:vAlign w:val="center"/>
          </w:tcPr>
          <w:p>
            <w:pPr>
              <w:pStyle w:val="32"/>
            </w:pPr>
            <w:r>
              <w:t>土壤环境</w:t>
            </w:r>
          </w:p>
        </w:tc>
        <w:tc>
          <w:tcPr>
            <w:tcW w:w="2308" w:type="pct"/>
            <w:gridSpan w:val="4"/>
            <w:tcBorders>
              <w:top w:val="single" w:color="auto" w:sz="2" w:space="0"/>
              <w:left w:val="single" w:color="auto" w:sz="2" w:space="0"/>
              <w:bottom w:val="single" w:color="auto" w:sz="2" w:space="0"/>
              <w:right w:val="single" w:color="auto" w:sz="2" w:space="0"/>
            </w:tcBorders>
            <w:vAlign w:val="center"/>
          </w:tcPr>
          <w:p>
            <w:pPr>
              <w:pStyle w:val="32"/>
            </w:pPr>
            <w:r>
              <w:t>项目周边</w:t>
            </w:r>
            <w:r>
              <w:rPr>
                <w:rFonts w:hint="eastAsia"/>
              </w:rPr>
              <w:t>0.2</w:t>
            </w:r>
            <w:r>
              <w:t>km内耕地、园地</w:t>
            </w:r>
          </w:p>
        </w:tc>
        <w:tc>
          <w:tcPr>
            <w:tcW w:w="688" w:type="pct"/>
            <w:tcBorders>
              <w:top w:val="single" w:color="auto" w:sz="2" w:space="0"/>
              <w:left w:val="single" w:color="auto" w:sz="2" w:space="0"/>
              <w:bottom w:val="single" w:color="auto" w:sz="2" w:space="0"/>
              <w:right w:val="single" w:color="auto" w:sz="2" w:space="0"/>
            </w:tcBorders>
            <w:vAlign w:val="center"/>
          </w:tcPr>
          <w:p>
            <w:pPr>
              <w:pStyle w:val="32"/>
            </w:pPr>
            <w:r>
              <w:t>土壤</w:t>
            </w:r>
          </w:p>
        </w:tc>
        <w:tc>
          <w:tcPr>
            <w:tcW w:w="1325" w:type="pct"/>
            <w:gridSpan w:val="2"/>
            <w:tcBorders>
              <w:top w:val="single" w:color="auto" w:sz="2" w:space="0"/>
              <w:left w:val="single" w:color="auto" w:sz="2" w:space="0"/>
              <w:bottom w:val="single" w:color="auto" w:sz="2" w:space="0"/>
              <w:right w:val="single" w:color="auto" w:sz="2" w:space="0"/>
            </w:tcBorders>
            <w:vAlign w:val="center"/>
          </w:tcPr>
          <w:p>
            <w:pPr>
              <w:pStyle w:val="32"/>
            </w:pPr>
            <w:r>
              <w:t>《土壤环境质量 农用地土壤污染风险管控标准（试行）》(GB 15618-2018)</w:t>
            </w:r>
          </w:p>
        </w:tc>
      </w:tr>
    </w:tbl>
    <w:p>
      <w:pPr>
        <w:pStyle w:val="5"/>
      </w:pPr>
      <w:bookmarkStart w:id="53" w:name="_Toc5626"/>
      <w:bookmarkStart w:id="54" w:name="_Toc21144"/>
      <w:bookmarkStart w:id="55" w:name="_Toc26424"/>
      <w:r>
        <w:rPr>
          <w:rFonts w:hint="eastAsia"/>
        </w:rPr>
        <w:t>2.6评价工作程序</w:t>
      </w:r>
      <w:bookmarkEnd w:id="53"/>
      <w:bookmarkEnd w:id="54"/>
      <w:bookmarkEnd w:id="55"/>
    </w:p>
    <w:p>
      <w:pPr>
        <w:pStyle w:val="7"/>
        <w:ind w:firstLine="480"/>
      </w:pPr>
      <w:r>
        <w:rPr>
          <w:rFonts w:hint="eastAsia"/>
        </w:rPr>
        <w:t>按照《建设项目环境保护管理条例》和《建设项目环境影响评价技术导则 总纲》的要求，本工程环境影响评价程序如图2.6-1。</w:t>
      </w:r>
    </w:p>
    <w:p>
      <w:pPr>
        <w:pStyle w:val="7"/>
        <w:ind w:firstLine="0" w:firstLineChars="0"/>
      </w:pPr>
      <w:r>
        <w:drawing>
          <wp:inline distT="0" distB="0" distL="114300" distR="114300">
            <wp:extent cx="5486400" cy="6068060"/>
            <wp:effectExtent l="0" t="0" r="0" b="889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8"/>
                    <a:srcRect t="4339" b="3939"/>
                    <a:stretch>
                      <a:fillRect/>
                    </a:stretch>
                  </pic:blipFill>
                  <pic:spPr>
                    <a:xfrm>
                      <a:off x="0" y="0"/>
                      <a:ext cx="5491869" cy="6074109"/>
                    </a:xfrm>
                    <a:prstGeom prst="rect">
                      <a:avLst/>
                    </a:prstGeom>
                    <a:noFill/>
                    <a:ln w="9525">
                      <a:noFill/>
                    </a:ln>
                  </pic:spPr>
                </pic:pic>
              </a:graphicData>
            </a:graphic>
          </wp:inline>
        </w:drawing>
      </w:r>
    </w:p>
    <w:p>
      <w:pPr>
        <w:pStyle w:val="44"/>
      </w:pPr>
      <w:r>
        <w:rPr>
          <w:rFonts w:hint="eastAsia"/>
        </w:rPr>
        <w:t>图2.6-1  环境影响评价工作程序图</w:t>
      </w:r>
    </w:p>
    <w:p>
      <w:pPr>
        <w:pStyle w:val="7"/>
        <w:ind w:firstLine="480"/>
        <w:sectPr>
          <w:pgSz w:w="11906" w:h="16838"/>
          <w:pgMar w:top="1440" w:right="1800" w:bottom="1440" w:left="1800" w:header="851" w:footer="992" w:gutter="0"/>
          <w:cols w:space="425" w:num="1"/>
          <w:docGrid w:type="lines" w:linePitch="312" w:charSpace="0"/>
        </w:sectPr>
      </w:pPr>
    </w:p>
    <w:p>
      <w:pPr>
        <w:pStyle w:val="4"/>
      </w:pPr>
      <w:bookmarkStart w:id="56" w:name="_Toc17502"/>
      <w:bookmarkStart w:id="57" w:name="_Toc16272"/>
      <w:bookmarkStart w:id="58" w:name="_Toc4978"/>
      <w:r>
        <w:rPr>
          <w:rFonts w:hint="eastAsia"/>
        </w:rPr>
        <w:t>3 项目概况</w:t>
      </w:r>
      <w:bookmarkEnd w:id="56"/>
      <w:bookmarkEnd w:id="57"/>
      <w:bookmarkEnd w:id="58"/>
    </w:p>
    <w:p>
      <w:pPr>
        <w:pStyle w:val="5"/>
      </w:pPr>
      <w:bookmarkStart w:id="59" w:name="_Toc227"/>
      <w:r>
        <w:rPr>
          <w:rFonts w:hint="eastAsia"/>
        </w:rPr>
        <w:t>3.1项目基本情况</w:t>
      </w:r>
      <w:bookmarkEnd w:id="59"/>
    </w:p>
    <w:p>
      <w:pPr>
        <w:pStyle w:val="7"/>
        <w:ind w:firstLine="482"/>
      </w:pPr>
      <w:r>
        <w:rPr>
          <w:rFonts w:hint="eastAsia"/>
          <w:b/>
          <w:bCs/>
        </w:rPr>
        <w:t>建设项目名称：</w:t>
      </w:r>
      <w:r>
        <w:rPr>
          <w:rFonts w:hint="eastAsia"/>
        </w:rPr>
        <w:t>年产38万吨新能源汽车轻量化铝合金材料项目</w:t>
      </w:r>
    </w:p>
    <w:p>
      <w:pPr>
        <w:pStyle w:val="7"/>
        <w:ind w:firstLine="480"/>
      </w:pPr>
      <w:r>
        <w:rPr>
          <w:rFonts w:hint="eastAsia"/>
        </w:rPr>
        <w:t>建设单位：云南创格新材料科技有限公司</w:t>
      </w:r>
    </w:p>
    <w:p>
      <w:pPr>
        <w:pStyle w:val="7"/>
        <w:ind w:firstLine="480"/>
      </w:pPr>
      <w:r>
        <w:rPr>
          <w:rFonts w:hint="eastAsia"/>
        </w:rPr>
        <w:t>建设性质：新建。</w:t>
      </w:r>
    </w:p>
    <w:p>
      <w:pPr>
        <w:pStyle w:val="7"/>
        <w:ind w:firstLine="480"/>
      </w:pPr>
      <w:r>
        <w:rPr>
          <w:rFonts w:hint="eastAsia"/>
        </w:rPr>
        <w:t>建设地点：</w:t>
      </w:r>
      <w:r>
        <w:t>砚山工业园</w:t>
      </w:r>
      <w:r>
        <w:rPr>
          <w:rFonts w:hint="eastAsia"/>
        </w:rPr>
        <w:t>布标片区，地理中心坐标为：E</w:t>
      </w:r>
      <w:r>
        <w:t>104.3</w:t>
      </w:r>
      <w:r>
        <w:rPr>
          <w:rFonts w:hint="eastAsia"/>
        </w:rPr>
        <w:t>69431°、N</w:t>
      </w:r>
      <w:r>
        <w:t>23.</w:t>
      </w:r>
      <w:r>
        <w:rPr>
          <w:rFonts w:hint="eastAsia"/>
        </w:rPr>
        <w:t>671981°。</w:t>
      </w:r>
    </w:p>
    <w:p>
      <w:pPr>
        <w:pStyle w:val="7"/>
        <w:ind w:firstLine="480"/>
      </w:pPr>
      <w:r>
        <w:rPr>
          <w:rFonts w:hint="eastAsia"/>
        </w:rPr>
        <w:t>总投资及环保投资：项目总投资118065.06万元；项目分两期建设，其中一期总投资91358.06万元，二期总投资26707万元。项目环保投资545.5万元，占总投资0.46%。</w:t>
      </w:r>
    </w:p>
    <w:p>
      <w:pPr>
        <w:pStyle w:val="7"/>
        <w:ind w:firstLine="480"/>
      </w:pPr>
      <w:r>
        <w:rPr>
          <w:rFonts w:hint="eastAsia"/>
        </w:rPr>
        <w:t>项目建设占地面积：123845m</w:t>
      </w:r>
      <w:r>
        <w:rPr>
          <w:rFonts w:hint="eastAsia"/>
          <w:vertAlign w:val="superscript"/>
        </w:rPr>
        <w:t>2</w:t>
      </w:r>
      <w:r>
        <w:rPr>
          <w:rFonts w:hint="eastAsia"/>
        </w:rPr>
        <w:t>，约185.77亩。</w:t>
      </w:r>
    </w:p>
    <w:p>
      <w:pPr>
        <w:pStyle w:val="7"/>
        <w:ind w:firstLine="480"/>
      </w:pPr>
      <w:r>
        <w:rPr>
          <w:rFonts w:hint="eastAsia"/>
        </w:rPr>
        <w:t>建设周期：共3</w:t>
      </w:r>
      <w:r>
        <w:rPr>
          <w:rFonts w:hint="eastAsia"/>
          <w:lang w:val="en-US" w:eastAsia="zh-CN"/>
        </w:rPr>
        <w:t>6</w:t>
      </w:r>
      <w:r>
        <w:rPr>
          <w:rFonts w:hint="eastAsia"/>
        </w:rPr>
        <w:t>个月，2022年</w:t>
      </w:r>
      <w:r>
        <w:rPr>
          <w:rFonts w:hint="eastAsia"/>
          <w:lang w:val="en-US" w:eastAsia="zh-CN"/>
        </w:rPr>
        <w:t>6</w:t>
      </w:r>
      <w:r>
        <w:rPr>
          <w:rFonts w:hint="eastAsia"/>
        </w:rPr>
        <w:t>月~2025年</w:t>
      </w:r>
      <w:r>
        <w:rPr>
          <w:rFonts w:hint="eastAsia"/>
          <w:lang w:val="en-US" w:eastAsia="zh-CN"/>
        </w:rPr>
        <w:t>6</w:t>
      </w:r>
      <w:r>
        <w:rPr>
          <w:rFonts w:hint="eastAsia"/>
        </w:rPr>
        <w:t>月。</w:t>
      </w:r>
    </w:p>
    <w:p>
      <w:pPr>
        <w:pStyle w:val="5"/>
      </w:pPr>
      <w:bookmarkStart w:id="60" w:name="_Toc16373"/>
      <w:r>
        <w:rPr>
          <w:rFonts w:hint="eastAsia"/>
        </w:rPr>
        <w:t>3.2项目建设规模及产品方案</w:t>
      </w:r>
      <w:bookmarkEnd w:id="60"/>
    </w:p>
    <w:p>
      <w:pPr>
        <w:pStyle w:val="8"/>
      </w:pPr>
      <w:r>
        <w:rPr>
          <w:rFonts w:hint="eastAsia"/>
        </w:rPr>
        <w:t>3.2.1建设规模</w:t>
      </w:r>
    </w:p>
    <w:p>
      <w:pPr>
        <w:pStyle w:val="7"/>
        <w:ind w:firstLine="480"/>
      </w:pPr>
      <w:r>
        <w:rPr>
          <w:rFonts w:hint="eastAsia"/>
        </w:rPr>
        <w:t>云南创格新材料科技有限公司拟在砚山绿色铝创新产业园内新建年产38万吨新能源汽车轻量化铝合金材料项目。项目分二期建设，其中一期工程新建一期生产车间、综合楼、宿舍楼、氯气站、循环水池及其他公辅设施；购置安装熔保炉、铸造机、均质炉、除尘器等主要设备；一期工程达到年产高端铝合金圆铸锭16万吨、铝合金板锭16万吨规模。二期工程新建二期生产车间、循环水池及其他公辅设施。购置安装熔保炉、保温炉、铸轧机、除尘器等主要设备；二期工程达到年产高档铝合金铸轧板6万吨规模。</w:t>
      </w:r>
    </w:p>
    <w:p>
      <w:pPr>
        <w:pStyle w:val="8"/>
      </w:pPr>
      <w:r>
        <w:rPr>
          <w:rFonts w:hint="eastAsia"/>
        </w:rPr>
        <w:t>3.2.2产品方案</w:t>
      </w:r>
    </w:p>
    <w:p>
      <w:pPr>
        <w:pStyle w:val="7"/>
        <w:ind w:firstLine="480"/>
      </w:pPr>
      <w:r>
        <w:rPr>
          <w:rFonts w:hint="eastAsia"/>
        </w:rPr>
        <w:t>项目建成后，年产</w:t>
      </w:r>
      <w:r>
        <w:t>38</w:t>
      </w:r>
      <w:r>
        <w:rPr>
          <w:rFonts w:hint="eastAsia"/>
        </w:rPr>
        <w:t>万吨高端铝合金材料。其中一期工程年产高端铝合金圆铸锭1</w:t>
      </w:r>
      <w:r>
        <w:t>6</w:t>
      </w:r>
      <w:r>
        <w:rPr>
          <w:rFonts w:hint="eastAsia"/>
        </w:rPr>
        <w:t>万吨、铝合金板锭1</w:t>
      </w:r>
      <w:r>
        <w:t>6</w:t>
      </w:r>
      <w:r>
        <w:rPr>
          <w:rFonts w:hint="eastAsia"/>
        </w:rPr>
        <w:t>万吨；二期工程高档铝合金铸轧板6万吨。产品方案见表3.2-1。</w:t>
      </w:r>
    </w:p>
    <w:p>
      <w:pPr>
        <w:pStyle w:val="31"/>
      </w:pPr>
      <w:r>
        <w:rPr>
          <w:rFonts w:hint="eastAsia"/>
        </w:rPr>
        <w:t>表3.2-1  产品方案一览表</w:t>
      </w:r>
    </w:p>
    <w:tbl>
      <w:tblPr>
        <w:tblStyle w:val="27"/>
        <w:tblW w:w="523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35"/>
        <w:gridCol w:w="1031"/>
        <w:gridCol w:w="1897"/>
        <w:gridCol w:w="3654"/>
        <w:gridCol w:w="161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序</w:t>
            </w:r>
            <w:r>
              <w:t>号</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分期 </w:t>
            </w:r>
          </w:p>
        </w:tc>
        <w:tc>
          <w:tcPr>
            <w:tcW w:w="10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产品名称 </w:t>
            </w:r>
          </w:p>
        </w:tc>
        <w:tc>
          <w:tcPr>
            <w:tcW w:w="204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牌号</w:t>
            </w:r>
          </w:p>
        </w:tc>
        <w:tc>
          <w:tcPr>
            <w:tcW w:w="9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生产规模</w:t>
            </w:r>
            <w:r>
              <w:rPr>
                <w:rFonts w:hint="eastAsia"/>
              </w:rPr>
              <w:t>（t/a）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1 </w:t>
            </w:r>
          </w:p>
        </w:tc>
        <w:tc>
          <w:tcPr>
            <w:tcW w:w="577" w:type="pct"/>
            <w:vMerge w:val="restart"/>
            <w:tcBorders>
              <w:top w:val="single" w:color="auto" w:sz="4" w:space="0"/>
              <w:left w:val="single" w:color="auto" w:sz="4" w:space="0"/>
              <w:right w:val="single" w:color="auto" w:sz="4" w:space="0"/>
            </w:tcBorders>
            <w:shd w:val="clear" w:color="auto" w:fill="auto"/>
            <w:vAlign w:val="center"/>
          </w:tcPr>
          <w:p>
            <w:pPr>
              <w:pStyle w:val="32"/>
            </w:pPr>
            <w:r>
              <w:t>一期</w:t>
            </w:r>
          </w:p>
        </w:tc>
        <w:tc>
          <w:tcPr>
            <w:tcW w:w="10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高端铝合金圆铸锭</w:t>
            </w:r>
          </w:p>
        </w:tc>
        <w:tc>
          <w:tcPr>
            <w:tcW w:w="204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1系列合金、6系列合金、7系列合金</w:t>
            </w:r>
          </w:p>
        </w:tc>
        <w:tc>
          <w:tcPr>
            <w:tcW w:w="9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160000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2</w:t>
            </w:r>
          </w:p>
        </w:tc>
        <w:tc>
          <w:tcPr>
            <w:tcW w:w="577" w:type="pct"/>
            <w:vMerge w:val="continue"/>
            <w:tcBorders>
              <w:left w:val="single" w:color="auto" w:sz="4" w:space="0"/>
              <w:bottom w:val="single" w:color="auto" w:sz="4" w:space="0"/>
              <w:right w:val="single" w:color="auto" w:sz="4" w:space="0"/>
            </w:tcBorders>
            <w:shd w:val="clear" w:color="auto" w:fill="auto"/>
            <w:vAlign w:val="center"/>
          </w:tcPr>
          <w:p>
            <w:pPr>
              <w:pStyle w:val="32"/>
            </w:pPr>
          </w:p>
        </w:tc>
        <w:tc>
          <w:tcPr>
            <w:tcW w:w="10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高端铝合金板锭</w:t>
            </w:r>
          </w:p>
        </w:tc>
        <w:tc>
          <w:tcPr>
            <w:tcW w:w="204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1系列合金、5系列合金、6系列合金</w:t>
            </w:r>
          </w:p>
        </w:tc>
        <w:tc>
          <w:tcPr>
            <w:tcW w:w="9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160000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3</w:t>
            </w:r>
            <w:r>
              <w:t xml:space="preserve"> </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二期</w:t>
            </w:r>
          </w:p>
        </w:tc>
        <w:tc>
          <w:tcPr>
            <w:tcW w:w="106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高档铝合金铸轧板</w:t>
            </w:r>
          </w:p>
        </w:tc>
        <w:tc>
          <w:tcPr>
            <w:tcW w:w="204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1系列合金、3系列合金、8系列合金</w:t>
            </w:r>
          </w:p>
        </w:tc>
        <w:tc>
          <w:tcPr>
            <w:tcW w:w="90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60000</w:t>
            </w:r>
          </w:p>
        </w:tc>
      </w:tr>
    </w:tbl>
    <w:p>
      <w:pPr>
        <w:pStyle w:val="5"/>
      </w:pPr>
      <w:bookmarkStart w:id="61" w:name="_Toc452"/>
      <w:r>
        <w:rPr>
          <w:rFonts w:hint="eastAsia"/>
        </w:rPr>
        <w:t>3.3项目组成</w:t>
      </w:r>
      <w:bookmarkEnd w:id="61"/>
    </w:p>
    <w:p>
      <w:pPr>
        <w:pStyle w:val="7"/>
        <w:ind w:firstLine="480"/>
      </w:pPr>
      <w:r>
        <w:rPr>
          <w:rFonts w:hint="eastAsia"/>
        </w:rPr>
        <w:t>项目建设遵循一次规划，分期实施的原则。分为两个阶段建设，分期验收。一期工程新建建筑物有生产车间（一期工程）、办公楼、倒班宿舍、循环水池、配电室、机修间、绿化用地等；二期工程建筑物有生产车间（二期工程）、循环水池、绿化用地等。</w:t>
      </w:r>
    </w:p>
    <w:p>
      <w:pPr>
        <w:pStyle w:val="7"/>
        <w:ind w:firstLine="480"/>
      </w:pPr>
      <w:r>
        <w:rPr>
          <w:rFonts w:hint="eastAsia"/>
        </w:rPr>
        <w:t>项目一期工程主要建设内容见表3.3-1，二期工程主要建设内容见表3.3-2。</w:t>
      </w:r>
    </w:p>
    <w:p>
      <w:pPr>
        <w:pStyle w:val="31"/>
      </w:pPr>
      <w:r>
        <w:t>表</w:t>
      </w:r>
      <w:r>
        <w:rPr>
          <w:rFonts w:hint="eastAsia"/>
        </w:rPr>
        <w:t>3</w:t>
      </w:r>
      <w:r>
        <w:t xml:space="preserve">.3-1  </w:t>
      </w:r>
      <w:r>
        <w:rPr>
          <w:rFonts w:hint="eastAsia"/>
        </w:rPr>
        <w:t>一期工程</w:t>
      </w:r>
      <w:r>
        <w:t>组成一览表</w:t>
      </w:r>
    </w:p>
    <w:tbl>
      <w:tblPr>
        <w:tblStyle w:val="27"/>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166"/>
        <w:gridCol w:w="665"/>
        <w:gridCol w:w="1319"/>
        <w:gridCol w:w="2956"/>
        <w:gridCol w:w="1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工程类别</w:t>
            </w: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工程名称</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工程内容</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642"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主体工程</w:t>
            </w: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一期工程</w:t>
            </w:r>
            <w:r>
              <w:t>生产车间</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总</w:t>
            </w:r>
            <w:r>
              <w:t>占地面积</w:t>
            </w:r>
            <w:r>
              <w:rPr>
                <w:rFonts w:hint="eastAsia"/>
              </w:rPr>
              <w:t>52899</w:t>
            </w:r>
            <w:r>
              <w:t>m</w:t>
            </w:r>
            <w:r>
              <w:rPr>
                <w:vertAlign w:val="superscript"/>
              </w:rPr>
              <w:t>2</w:t>
            </w:r>
            <w:r>
              <w:t>，建筑面积</w:t>
            </w:r>
            <w:r>
              <w:rPr>
                <w:rFonts w:hint="eastAsia"/>
              </w:rPr>
              <w:t>52899</w:t>
            </w:r>
            <w:r>
              <w:t>m</w:t>
            </w:r>
            <w:r>
              <w:rPr>
                <w:vertAlign w:val="superscript"/>
              </w:rPr>
              <w:t>2</w:t>
            </w:r>
            <w:r>
              <w:t>，钢架结构，混凝土地面，高度13.6m</w:t>
            </w:r>
            <w:r>
              <w:rPr>
                <w:rFonts w:hint="eastAsia"/>
              </w:rPr>
              <w:t>。从南至北依次布置铝灰处理车间、辅助设施、原辅料库、生产区、成品仓库。</w:t>
            </w:r>
          </w:p>
        </w:tc>
        <w:tc>
          <w:tcPr>
            <w:tcW w:w="1757"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铝灰分离车间位于生产车间南部，</w:t>
            </w:r>
            <w:r>
              <w:t>占地面积</w:t>
            </w:r>
            <w:r>
              <w:rPr>
                <w:rFonts w:hint="eastAsia"/>
              </w:rPr>
              <w:t>1574.8</w:t>
            </w:r>
            <w:r>
              <w:t>m</w:t>
            </w:r>
            <w:r>
              <w:rPr>
                <w:vertAlign w:val="superscript"/>
              </w:rPr>
              <w:t>2</w:t>
            </w:r>
            <w:r>
              <w:t>，建筑面积</w:t>
            </w:r>
            <w:r>
              <w:rPr>
                <w:rFonts w:hint="eastAsia"/>
              </w:rPr>
              <w:t>1574.8</w:t>
            </w:r>
            <w:r>
              <w:t>m</w:t>
            </w:r>
            <w:r>
              <w:rPr>
                <w:vertAlign w:val="superscript"/>
              </w:rPr>
              <w:t>2</w:t>
            </w:r>
            <w:r>
              <w:t>，钢架结构，</w:t>
            </w:r>
            <w:r>
              <w:rPr>
                <w:rFonts w:hint="eastAsia"/>
              </w:rPr>
              <w:t>内置铝灰分离机，设置1个排气筒，废气由排气筒P1-2排放。</w:t>
            </w:r>
          </w:p>
        </w:tc>
        <w:tc>
          <w:tcPr>
            <w:tcW w:w="1757"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生产区位于生产车间中部，</w:t>
            </w:r>
            <w:r>
              <w:t>设置有</w:t>
            </w:r>
            <w:r>
              <w:rPr>
                <w:rFonts w:hint="eastAsia"/>
              </w:rPr>
              <w:t>熔保</w:t>
            </w:r>
            <w:r>
              <w:t>炉</w:t>
            </w:r>
            <w:r>
              <w:rPr>
                <w:rFonts w:hint="eastAsia"/>
              </w:rPr>
              <w:t>、铸造机、均质炉等生产设备</w:t>
            </w:r>
            <w:r>
              <w:t>。</w:t>
            </w:r>
            <w:r>
              <w:rPr>
                <w:rFonts w:hint="eastAsia"/>
              </w:rPr>
              <w:t>其中圆铸锭设置2条生产线，共6套熔保炉（6</w:t>
            </w:r>
            <w:r>
              <w:t>×45T</w:t>
            </w:r>
            <w:r>
              <w:rPr>
                <w:rFonts w:hint="eastAsia"/>
              </w:rPr>
              <w:t>），板锭设置2条生产线，6套熔保炉（6</w:t>
            </w:r>
            <w:r>
              <w:t>×</w:t>
            </w:r>
            <w:r>
              <w:rPr>
                <w:rFonts w:hint="eastAsia"/>
              </w:rPr>
              <w:t>50</w:t>
            </w:r>
            <w:r>
              <w:t>T</w:t>
            </w:r>
            <w:r>
              <w:rPr>
                <w:rFonts w:hint="eastAsia"/>
              </w:rPr>
              <w:t>）；12台熔保炉共用一套废气处理系统，废气由排气筒P1-1排放。圆铸锭设1套连续式均质炉、3套批次式均质炉，批次式均质炉废气由排气筒P1-3排放，连续式均质炉废气由排气筒P1-4排放。板锭设置3套批次式均质炉，废气由排气筒P1-5排放。</w:t>
            </w:r>
          </w:p>
        </w:tc>
        <w:tc>
          <w:tcPr>
            <w:tcW w:w="1757"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辅助工程</w:t>
            </w: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办公</w:t>
            </w:r>
            <w:r>
              <w:rPr>
                <w:rFonts w:hint="eastAsia"/>
              </w:rPr>
              <w:t>综合</w:t>
            </w:r>
            <w:r>
              <w:t>楼</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1幢，</w:t>
            </w:r>
            <w:r>
              <w:t>占地面积</w:t>
            </w:r>
            <w:r>
              <w:rPr>
                <w:rFonts w:hint="eastAsia"/>
              </w:rPr>
              <w:t>460</w:t>
            </w:r>
            <w:r>
              <w:t>m</w:t>
            </w:r>
            <w:r>
              <w:rPr>
                <w:vertAlign w:val="superscript"/>
              </w:rPr>
              <w:t>2</w:t>
            </w:r>
            <w:r>
              <w:t>，框架结构，</w:t>
            </w:r>
            <w:r>
              <w:rPr>
                <w:rFonts w:hint="eastAsia"/>
              </w:rPr>
              <w:t>共</w:t>
            </w:r>
            <w:r>
              <w:t>3层</w:t>
            </w:r>
            <w:r>
              <w:rPr>
                <w:rFonts w:hint="eastAsia"/>
              </w:rPr>
              <w:t>，一楼为食堂</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lang w:val="en-US" w:eastAsia="zh-CN"/>
              </w:rPr>
              <w:t>新建。</w:t>
            </w:r>
            <w:r>
              <w:rPr>
                <w:rFonts w:hint="eastAsia"/>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倒班</w:t>
            </w:r>
            <w:r>
              <w:t>宿舍</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1幢，</w:t>
            </w:r>
            <w:r>
              <w:t>占地面积</w:t>
            </w:r>
            <w:r>
              <w:rPr>
                <w:rFonts w:hint="eastAsia"/>
              </w:rPr>
              <w:t>625.7</w:t>
            </w:r>
            <w:r>
              <w:t>m</w:t>
            </w:r>
            <w:r>
              <w:rPr>
                <w:vertAlign w:val="superscript"/>
              </w:rPr>
              <w:t>2</w:t>
            </w:r>
            <w:r>
              <w:t>，框架结构，</w:t>
            </w:r>
            <w:r>
              <w:rPr>
                <w:rFonts w:hint="eastAsia"/>
              </w:rPr>
              <w:t>共</w:t>
            </w:r>
            <w:r>
              <w:t>3层</w:t>
            </w:r>
            <w:r>
              <w:rPr>
                <w:rFonts w:hint="eastAsia"/>
              </w:rPr>
              <w:t>，主要提供员工住宿</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lang w:val="en-US" w:eastAsia="zh-CN"/>
              </w:rPr>
              <w:t>新建。</w:t>
            </w:r>
            <w:r>
              <w:rPr>
                <w:rFonts w:hint="eastAsia"/>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质检</w:t>
            </w:r>
            <w:r>
              <w:rPr>
                <w:rFonts w:hint="eastAsia"/>
                <w:color w:val="auto"/>
              </w:rPr>
              <w:t>室</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实验室位于生产车间南部，</w:t>
            </w:r>
            <w:r>
              <w:rPr>
                <w:color w:val="auto"/>
              </w:rPr>
              <w:t>占地面积</w:t>
            </w:r>
            <w:r>
              <w:rPr>
                <w:rFonts w:hint="eastAsia"/>
                <w:color w:val="auto"/>
              </w:rPr>
              <w:t>136.4</w:t>
            </w:r>
            <w:r>
              <w:rPr>
                <w:color w:val="auto"/>
              </w:rPr>
              <w:t>m</w:t>
            </w:r>
            <w:r>
              <w:rPr>
                <w:color w:val="auto"/>
                <w:vertAlign w:val="superscript"/>
              </w:rPr>
              <w:t>2</w:t>
            </w:r>
            <w:r>
              <w:rPr>
                <w:rFonts w:hint="eastAsia"/>
                <w:color w:val="auto"/>
              </w:rPr>
              <w:t>。实验室主要做低倍实验。低倍组织分析：主要对产品切片分别通过碱蚀（20%-25%氢氧化钠）或酸蚀（</w:t>
            </w:r>
            <w:r>
              <w:rPr>
                <w:color w:val="auto"/>
              </w:rPr>
              <w:t>HF</w:t>
            </w:r>
            <w:r>
              <w:rPr>
                <w:rFonts w:hint="eastAsia"/>
                <w:color w:val="auto"/>
              </w:rPr>
              <w:t>:</w:t>
            </w:r>
            <w:r>
              <w:rPr>
                <w:color w:val="auto"/>
              </w:rPr>
              <w:t>HNO</w:t>
            </w:r>
            <w:r>
              <w:rPr>
                <w:color w:val="auto"/>
                <w:vertAlign w:val="subscript"/>
              </w:rPr>
              <w:t>3</w:t>
            </w:r>
            <w:r>
              <w:rPr>
                <w:rFonts w:hint="eastAsia"/>
                <w:color w:val="auto"/>
              </w:rPr>
              <w:t>:</w:t>
            </w:r>
            <w:r>
              <w:rPr>
                <w:color w:val="auto"/>
              </w:rPr>
              <w:t>HCl</w:t>
            </w:r>
            <w:r>
              <w:rPr>
                <w:rFonts w:hint="eastAsia"/>
                <w:color w:val="auto"/>
              </w:rPr>
              <w:t>：</w:t>
            </w:r>
            <w:r>
              <w:rPr>
                <w:color w:val="auto"/>
              </w:rPr>
              <w:t>5</w:t>
            </w:r>
            <w:r>
              <w:rPr>
                <w:rFonts w:hint="eastAsia"/>
                <w:color w:val="auto"/>
              </w:rPr>
              <w:t>:</w:t>
            </w:r>
            <w:r>
              <w:rPr>
                <w:color w:val="auto"/>
              </w:rPr>
              <w:t>25</w:t>
            </w:r>
            <w:r>
              <w:rPr>
                <w:rFonts w:hint="eastAsia"/>
                <w:color w:val="auto"/>
              </w:rPr>
              <w:t>:</w:t>
            </w:r>
            <w:r>
              <w:rPr>
                <w:color w:val="auto"/>
              </w:rPr>
              <w:t>75</w:t>
            </w:r>
            <w:r>
              <w:rPr>
                <w:rFonts w:hint="eastAsia"/>
                <w:color w:val="auto"/>
              </w:rPr>
              <w:t>）处理，对产品晶粒度、夹渣、偏析层等相关指标要求进行分析检验。</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氯气</w:t>
            </w:r>
            <w:r>
              <w:rPr>
                <w:rFonts w:hint="eastAsia"/>
                <w:color w:val="auto"/>
              </w:rPr>
              <w:t>站</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1座，</w:t>
            </w:r>
            <w:r>
              <w:rPr>
                <w:rFonts w:hint="eastAsia"/>
                <w:color w:val="auto"/>
              </w:rPr>
              <w:t>位于圆铸锭、板锭生产车间西侧，</w:t>
            </w:r>
            <w:r>
              <w:rPr>
                <w:color w:val="auto"/>
              </w:rPr>
              <w:t>占地面积</w:t>
            </w:r>
            <w:r>
              <w:rPr>
                <w:rFonts w:hint="eastAsia"/>
                <w:color w:val="auto"/>
              </w:rPr>
              <w:t>212</w:t>
            </w:r>
            <w:r>
              <w:rPr>
                <w:color w:val="auto"/>
              </w:rPr>
              <w:t>m</w:t>
            </w:r>
            <w:r>
              <w:rPr>
                <w:color w:val="auto"/>
                <w:vertAlign w:val="superscript"/>
              </w:rPr>
              <w:t>2</w:t>
            </w:r>
            <w:r>
              <w:rPr>
                <w:rFonts w:hint="eastAsia"/>
                <w:color w:val="auto"/>
              </w:rPr>
              <w:t>，</w:t>
            </w:r>
            <w:bookmarkStart w:id="62" w:name="_Hlk50030163"/>
            <w:r>
              <w:rPr>
                <w:rFonts w:hint="eastAsia"/>
                <w:color w:val="auto"/>
              </w:rPr>
              <w:t>仅对氯气进行储存，不涉及氯气的加工</w:t>
            </w:r>
            <w:bookmarkEnd w:id="62"/>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氩气</w:t>
            </w:r>
            <w:r>
              <w:rPr>
                <w:rFonts w:hint="eastAsia"/>
                <w:color w:val="auto"/>
              </w:rPr>
              <w:t>储罐区</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位于圆铸锭、板锭生产车间西侧，</w:t>
            </w:r>
            <w:r>
              <w:rPr>
                <w:color w:val="auto"/>
              </w:rPr>
              <w:t>占地面积</w:t>
            </w:r>
            <w:r>
              <w:rPr>
                <w:rFonts w:hint="eastAsia"/>
                <w:color w:val="auto"/>
              </w:rPr>
              <w:t>100</w:t>
            </w:r>
            <w:r>
              <w:rPr>
                <w:color w:val="auto"/>
              </w:rPr>
              <w:t>m</w:t>
            </w:r>
            <w:r>
              <w:rPr>
                <w:color w:val="auto"/>
                <w:vertAlign w:val="superscript"/>
              </w:rPr>
              <w:t>2</w:t>
            </w:r>
            <w:r>
              <w:rPr>
                <w:rFonts w:hint="eastAsia"/>
                <w:color w:val="auto"/>
              </w:rPr>
              <w:t>，仅对氩气进行储存，不涉及氩气的加工</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空压</w:t>
            </w:r>
            <w:r>
              <w:rPr>
                <w:rFonts w:hint="eastAsia"/>
                <w:color w:val="auto"/>
              </w:rPr>
              <w:t>机房</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位于生产车间南部，</w:t>
            </w:r>
            <w:r>
              <w:rPr>
                <w:color w:val="auto"/>
              </w:rPr>
              <w:t>占地面积</w:t>
            </w:r>
            <w:r>
              <w:rPr>
                <w:rFonts w:hint="eastAsia"/>
                <w:color w:val="auto"/>
              </w:rPr>
              <w:t>463.45</w:t>
            </w:r>
            <w:r>
              <w:rPr>
                <w:color w:val="auto"/>
              </w:rPr>
              <w:t>m</w:t>
            </w:r>
            <w:r>
              <w:rPr>
                <w:color w:val="auto"/>
                <w:vertAlign w:val="superscript"/>
              </w:rPr>
              <w:t>2</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配电室</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位于生产车间南部，</w:t>
            </w:r>
            <w:r>
              <w:rPr>
                <w:color w:val="auto"/>
              </w:rPr>
              <w:t>占地面积</w:t>
            </w:r>
            <w:r>
              <w:rPr>
                <w:rFonts w:hint="eastAsia"/>
                <w:color w:val="auto"/>
              </w:rPr>
              <w:t>525.45</w:t>
            </w:r>
            <w:r>
              <w:rPr>
                <w:color w:val="auto"/>
              </w:rPr>
              <w:t>m</w:t>
            </w:r>
            <w:r>
              <w:rPr>
                <w:color w:val="auto"/>
                <w:vertAlign w:val="superscript"/>
              </w:rPr>
              <w:t>2</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机修间</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位于生产车间南部，</w:t>
            </w:r>
            <w:r>
              <w:rPr>
                <w:color w:val="auto"/>
              </w:rPr>
              <w:t>占地面积</w:t>
            </w:r>
            <w:r>
              <w:rPr>
                <w:rFonts w:hint="eastAsia"/>
                <w:color w:val="auto"/>
              </w:rPr>
              <w:t>488.25</w:t>
            </w:r>
            <w:r>
              <w:rPr>
                <w:color w:val="auto"/>
              </w:rPr>
              <w:t>m</w:t>
            </w:r>
            <w:r>
              <w:rPr>
                <w:color w:val="auto"/>
                <w:vertAlign w:val="superscript"/>
              </w:rPr>
              <w:t>2</w:t>
            </w:r>
            <w:r>
              <w:rPr>
                <w:rFonts w:hint="eastAsia"/>
                <w:color w:val="auto"/>
              </w:rPr>
              <w:t>，</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储运工程</w:t>
            </w: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仓库</w:t>
            </w: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原辅料库</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位于生产车间南部，</w:t>
            </w:r>
            <w:r>
              <w:rPr>
                <w:color w:val="auto"/>
              </w:rPr>
              <w:t>占地面积</w:t>
            </w:r>
            <w:r>
              <w:rPr>
                <w:rFonts w:hint="eastAsia"/>
                <w:color w:val="auto"/>
              </w:rPr>
              <w:t>7944.2</w:t>
            </w:r>
            <w:r>
              <w:rPr>
                <w:color w:val="auto"/>
              </w:rPr>
              <w:t>m</w:t>
            </w:r>
            <w:r>
              <w:rPr>
                <w:color w:val="auto"/>
                <w:vertAlign w:val="superscript"/>
              </w:rPr>
              <w:t>2</w:t>
            </w:r>
            <w:r>
              <w:rPr>
                <w:rFonts w:hint="eastAsia"/>
                <w:color w:val="auto"/>
              </w:rPr>
              <w:t>，用于原辅料的储存。</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成品仓库</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位于生产车间北部，</w:t>
            </w:r>
            <w:r>
              <w:rPr>
                <w:color w:val="auto"/>
              </w:rPr>
              <w:t>占地面积</w:t>
            </w:r>
            <w:r>
              <w:rPr>
                <w:rFonts w:hint="eastAsia"/>
                <w:color w:val="auto"/>
              </w:rPr>
              <w:t>7944.2</w:t>
            </w:r>
            <w:r>
              <w:rPr>
                <w:color w:val="auto"/>
              </w:rPr>
              <w:t>m</w:t>
            </w:r>
            <w:r>
              <w:rPr>
                <w:color w:val="auto"/>
                <w:vertAlign w:val="superscript"/>
              </w:rPr>
              <w:t>2</w:t>
            </w:r>
            <w:r>
              <w:rPr>
                <w:rFonts w:hint="eastAsia"/>
                <w:color w:val="auto"/>
              </w:rPr>
              <w:t>，用于成品的储存。</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公用工程</w:t>
            </w: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供水系统</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由市政供水管网提供</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排水系统</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实行雨污分流制，雨水排入市政雨水管网；</w:t>
            </w:r>
            <w:r>
              <w:rPr>
                <w:rFonts w:hint="eastAsia"/>
                <w:color w:val="auto"/>
              </w:rPr>
              <w:t>初期雨水</w:t>
            </w:r>
            <w:r>
              <w:rPr>
                <w:color w:val="auto"/>
              </w:rPr>
              <w:t>处理达到</w:t>
            </w:r>
            <w:r>
              <w:rPr>
                <w:rFonts w:hint="eastAsia"/>
                <w:color w:val="auto"/>
              </w:rPr>
              <w:t>《城市污水再生利用 城市杂用水水质标准》(GB/TI8920-2002) 中城市绿化及道路清扫以及《城市污水再生利用工业用水水质》（GB/T19923-2005）的相应标准后回用于厂区绿化及道路清扫，剩余部分用于冷却循环系统补充水；冷却循环系统定期排水和生活污水经预处理后通过市政污水管网进入砚山县第一污水处理厂处理</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供电系统</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由当地供电电网接入</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循环水系统</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圆铸锭生产线循环水池1座，配置冷却塔2台</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板锭生产线循环水池1座，配置冷却塔2台</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燃料供应</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项目所用天然气由</w:t>
            </w:r>
            <w:r>
              <w:rPr>
                <w:rFonts w:hint="eastAsia"/>
                <w:color w:val="auto"/>
              </w:rPr>
              <w:t>园区天然气管网提供</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消防系统</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水源来自砚山县供水管网，在厂区设消防水泵和500立方米的消防水池，按规范配备灭火器材若干，可满足项目消防需求</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环保工程</w:t>
            </w: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废水</w:t>
            </w: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生活污水</w:t>
            </w:r>
            <w:r>
              <w:rPr>
                <w:color w:val="auto"/>
              </w:rPr>
              <w:t>化粪池</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2座，每座容积为15m</w:t>
            </w:r>
            <w:r>
              <w:rPr>
                <w:rFonts w:hint="eastAsia"/>
                <w:color w:val="auto"/>
                <w:vertAlign w:val="superscript"/>
              </w:rPr>
              <w:t>3</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食堂污水</w:t>
            </w:r>
            <w:r>
              <w:rPr>
                <w:color w:val="auto"/>
              </w:rPr>
              <w:t>隔油池</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1座，容积为3m</w:t>
            </w:r>
            <w:r>
              <w:rPr>
                <w:rFonts w:hint="eastAsia"/>
                <w:color w:val="auto"/>
                <w:vertAlign w:val="superscript"/>
              </w:rPr>
              <w:t>3</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循环水池</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2座，每座占地面积797.44</w:t>
            </w:r>
            <w:r>
              <w:rPr>
                <w:color w:val="auto"/>
              </w:rPr>
              <w:t>m</w:t>
            </w:r>
            <w:r>
              <w:rPr>
                <w:color w:val="auto"/>
                <w:vertAlign w:val="superscript"/>
              </w:rPr>
              <w:t>2</w:t>
            </w:r>
            <w:r>
              <w:rPr>
                <w:rFonts w:hint="eastAsia"/>
                <w:color w:val="auto"/>
              </w:rPr>
              <w:t>，单个容积为3920m</w:t>
            </w:r>
            <w:r>
              <w:rPr>
                <w:rFonts w:hint="eastAsia"/>
                <w:color w:val="auto"/>
                <w:vertAlign w:val="superscript"/>
              </w:rPr>
              <w:t>3</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污水处理站</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1座，处理板锭循环系统定期排水，处理规模1m</w:t>
            </w:r>
            <w:r>
              <w:rPr>
                <w:rFonts w:hint="eastAsia"/>
                <w:color w:val="auto"/>
                <w:vertAlign w:val="superscript"/>
              </w:rPr>
              <w:t>3</w:t>
            </w:r>
            <w:r>
              <w:rPr>
                <w:rFonts w:hint="eastAsia"/>
                <w:color w:val="auto"/>
              </w:rPr>
              <w:t>/h</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highlight w:val="yellow"/>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事故池</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1座，容积为80m</w:t>
            </w:r>
            <w:r>
              <w:rPr>
                <w:rFonts w:hint="eastAsia"/>
                <w:color w:val="auto"/>
                <w:vertAlign w:val="superscript"/>
              </w:rPr>
              <w:t>3</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一期工程</w:t>
            </w:r>
            <w:r>
              <w:rPr>
                <w:color w:val="auto"/>
              </w:rPr>
              <w:t>初期雨水</w:t>
            </w:r>
            <w:r>
              <w:rPr>
                <w:rFonts w:hint="eastAsia"/>
                <w:color w:val="auto"/>
              </w:rPr>
              <w:t>收集</w:t>
            </w:r>
            <w:r>
              <w:rPr>
                <w:color w:val="auto"/>
              </w:rPr>
              <w:t>池</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1座，容积为640m</w:t>
            </w:r>
            <w:r>
              <w:rPr>
                <w:rFonts w:hint="eastAsia"/>
                <w:color w:val="auto"/>
                <w:vertAlign w:val="superscript"/>
              </w:rPr>
              <w:t>3</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废气治理</w:t>
            </w: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熔保炉天然气燃烧废气、精炼废气、扒渣废气</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采用“石灰粉+布袋除尘器”处理达标后由35m高排气筒排放，共有1套废气处理系统</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铝灰分离废气</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采用“集气罩+</w:t>
            </w:r>
            <w:r>
              <w:rPr>
                <w:color w:val="auto"/>
              </w:rPr>
              <w:t>布袋除尘器</w:t>
            </w:r>
            <w:r>
              <w:rPr>
                <w:rFonts w:hint="eastAsia"/>
                <w:color w:val="auto"/>
              </w:rPr>
              <w:t>”处理达标后由20m高排气筒排放，共有1套废气处理系统</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984" w:type="dxa"/>
            <w:gridSpan w:val="2"/>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均质炉</w:t>
            </w:r>
            <w:r>
              <w:rPr>
                <w:color w:val="auto"/>
              </w:rPr>
              <w:t>天然气燃烧废气</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经由</w:t>
            </w:r>
            <w:r>
              <w:rPr>
                <w:color w:val="auto"/>
              </w:rPr>
              <w:t>2</w:t>
            </w:r>
            <w:r>
              <w:rPr>
                <w:rFonts w:hint="eastAsia"/>
                <w:color w:val="auto"/>
              </w:rPr>
              <w:t>5m高排气筒排放，共有3套废气处理系统</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地下水</w:t>
            </w:r>
          </w:p>
        </w:tc>
        <w:tc>
          <w:tcPr>
            <w:tcW w:w="665"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分区防渗</w:t>
            </w:r>
          </w:p>
        </w:tc>
        <w:tc>
          <w:tcPr>
            <w:tcW w:w="1319"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szCs w:val="21"/>
              </w:rPr>
              <w:t>重点防渗区</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szCs w:val="21"/>
              </w:rPr>
              <w:t>氯气站、污水处理站、循环水池、初期雨水收集池、化粪池、隔油池危废暂存间、铝灰分离车间等区域，按照《环境影响评价技术导则</w:t>
            </w:r>
            <w:r>
              <w:rPr>
                <w:rFonts w:hint="eastAsia"/>
                <w:color w:val="auto"/>
                <w:szCs w:val="21"/>
                <w:lang w:val="en-US" w:eastAsia="zh-CN"/>
              </w:rPr>
              <w:t xml:space="preserve"> </w:t>
            </w:r>
            <w:r>
              <w:rPr>
                <w:rFonts w:hint="eastAsia"/>
                <w:color w:val="auto"/>
                <w:szCs w:val="21"/>
              </w:rPr>
              <w:t>地下水环境》（HJ610-2016）中重点防渗区的防渗要求进行防渗设计，防渗层的防渗性能应等效于厚度≥6m，渗透系数≤1.0×10</w:t>
            </w:r>
            <w:r>
              <w:rPr>
                <w:rFonts w:hint="eastAsia"/>
                <w:color w:val="auto"/>
                <w:szCs w:val="21"/>
                <w:vertAlign w:val="superscript"/>
              </w:rPr>
              <w:t>-7</w:t>
            </w:r>
            <w:r>
              <w:rPr>
                <w:rFonts w:hint="eastAsia"/>
                <w:color w:val="auto"/>
                <w:szCs w:val="21"/>
              </w:rPr>
              <w:t>cm/s的黏土层的防渗性能</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665"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319"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szCs w:val="21"/>
              </w:rPr>
              <w:t>一般防渗区</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szCs w:val="21"/>
              </w:rPr>
              <w:t>原材料库、加工车间、货场、成品仓库、综合站房、一般固废暂存间等区域。按照《环境影响评价技术导则</w:t>
            </w:r>
            <w:r>
              <w:rPr>
                <w:rFonts w:hint="eastAsia"/>
                <w:color w:val="auto"/>
                <w:szCs w:val="21"/>
                <w:lang w:val="en-US" w:eastAsia="zh-CN"/>
              </w:rPr>
              <w:t xml:space="preserve"> </w:t>
            </w:r>
            <w:r>
              <w:rPr>
                <w:rFonts w:hint="eastAsia"/>
                <w:color w:val="auto"/>
                <w:szCs w:val="21"/>
              </w:rPr>
              <w:t>地下水环境》（HJ610-2016）中一般防渗区的防渗要求进行防渗设计，防渗层的防渗性能应等效于厚度≥1.5m，渗透系数≤1.0×10</w:t>
            </w:r>
            <w:r>
              <w:rPr>
                <w:rFonts w:hint="eastAsia"/>
                <w:color w:val="auto"/>
                <w:szCs w:val="21"/>
                <w:vertAlign w:val="superscript"/>
              </w:rPr>
              <w:t>-7</w:t>
            </w:r>
            <w:r>
              <w:rPr>
                <w:rFonts w:hint="eastAsia"/>
                <w:color w:val="auto"/>
                <w:szCs w:val="21"/>
              </w:rPr>
              <w:t>cm/s的黏土层的防渗性能。</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665"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319"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简单防渗区</w:t>
            </w:r>
          </w:p>
        </w:tc>
        <w:tc>
          <w:tcPr>
            <w:tcW w:w="295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szCs w:val="21"/>
              </w:rPr>
              <w:t>办公室、配电室、厂区道路等区域。地面用混凝土硬化。</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噪声治理</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选用低噪声设备，对主要噪声源采取消声、减震、吸声、隔声等措施</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固废治理</w:t>
            </w: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bookmarkStart w:id="63" w:name="_Hlk46188768"/>
            <w:r>
              <w:rPr>
                <w:color w:val="auto"/>
              </w:rPr>
              <w:t>危险废物暂存</w:t>
            </w:r>
            <w:r>
              <w:rPr>
                <w:rFonts w:hint="eastAsia"/>
                <w:color w:val="auto"/>
              </w:rPr>
              <w:t>间</w:t>
            </w:r>
            <w:bookmarkEnd w:id="63"/>
            <w:r>
              <w:rPr>
                <w:rFonts w:hint="eastAsia"/>
                <w:color w:val="auto"/>
              </w:rPr>
              <w:t>1间，占地面积200m</w:t>
            </w:r>
            <w:r>
              <w:rPr>
                <w:rFonts w:hint="eastAsia"/>
                <w:color w:val="auto"/>
                <w:vertAlign w:val="superscript"/>
              </w:rPr>
              <w:t>2</w:t>
            </w:r>
            <w:r>
              <w:rPr>
                <w:rFonts w:hint="eastAsia"/>
                <w:color w:val="auto"/>
              </w:rPr>
              <w:t>，位于铝灰分离车间南侧</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一般固废</w:t>
            </w:r>
            <w:r>
              <w:rPr>
                <w:color w:val="auto"/>
              </w:rPr>
              <w:t>暂存</w:t>
            </w:r>
            <w:r>
              <w:rPr>
                <w:rFonts w:hint="eastAsia"/>
                <w:color w:val="auto"/>
              </w:rPr>
              <w:t>间1间，占地面积100m</w:t>
            </w:r>
            <w:r>
              <w:rPr>
                <w:rFonts w:hint="eastAsia"/>
                <w:color w:val="auto"/>
                <w:vertAlign w:val="superscript"/>
              </w:rPr>
              <w:t>2</w:t>
            </w:r>
            <w:r>
              <w:rPr>
                <w:rFonts w:hint="eastAsia"/>
                <w:color w:val="auto"/>
              </w:rPr>
              <w:t>，位于铝灰分离车间南侧</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新建。</w:t>
            </w:r>
            <w:r>
              <w:rPr>
                <w:rFonts w:hint="eastAsia"/>
                <w:color w:val="auto"/>
              </w:rPr>
              <w:t>一期工程、二期工程共用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4940" w:type="dxa"/>
            <w:gridSpan w:val="3"/>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生活垃圾收集桶15个</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restart"/>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风险防范措施</w:t>
            </w:r>
          </w:p>
        </w:tc>
        <w:tc>
          <w:tcPr>
            <w:tcW w:w="4940" w:type="dxa"/>
            <w:gridSpan w:val="3"/>
            <w:shd w:val="clear" w:color="auto" w:fill="auto"/>
            <w:vAlign w:val="center"/>
          </w:tcPr>
          <w:p>
            <w:pPr>
              <w:pStyle w:val="33"/>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氯气站内设置氯气吸收装置1套</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4940" w:type="dxa"/>
            <w:gridSpan w:val="3"/>
            <w:shd w:val="clear" w:color="auto" w:fill="auto"/>
            <w:vAlign w:val="center"/>
          </w:tcPr>
          <w:p>
            <w:pPr>
              <w:pStyle w:val="33"/>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氯气站内设置50m</w:t>
            </w:r>
            <w:r>
              <w:rPr>
                <w:rFonts w:hint="eastAsia"/>
                <w:color w:val="auto"/>
                <w:vertAlign w:val="superscript"/>
              </w:rPr>
              <w:t>3</w:t>
            </w:r>
            <w:r>
              <w:rPr>
                <w:rFonts w:hint="eastAsia"/>
                <w:color w:val="auto"/>
              </w:rPr>
              <w:t>事故水池（碱液池）1座</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4940" w:type="dxa"/>
            <w:gridSpan w:val="3"/>
            <w:shd w:val="clear" w:color="auto" w:fill="auto"/>
            <w:vAlign w:val="center"/>
          </w:tcPr>
          <w:p>
            <w:pPr>
              <w:pStyle w:val="33"/>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液氯贮罐区周边设0.5m的事故围堰</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2" w:type="dxa"/>
            <w:vMerge w:val="continue"/>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1166"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绿化</w:t>
            </w:r>
          </w:p>
        </w:tc>
        <w:tc>
          <w:tcPr>
            <w:tcW w:w="4940" w:type="dxa"/>
            <w:gridSpan w:val="3"/>
            <w:shd w:val="clear" w:color="auto" w:fill="auto"/>
            <w:vAlign w:val="center"/>
          </w:tcPr>
          <w:p>
            <w:pPr>
              <w:pStyle w:val="33"/>
              <w:keepNext w:val="0"/>
              <w:keepLines w:val="0"/>
              <w:pageBreakBefore w:val="0"/>
              <w:widowControl w:val="0"/>
              <w:kinsoku/>
              <w:wordWrap/>
              <w:overflowPunct/>
              <w:topLinePunct w:val="0"/>
              <w:autoSpaceDE/>
              <w:autoSpaceDN/>
              <w:bidi w:val="0"/>
              <w:adjustRightInd/>
              <w:snapToGrid/>
              <w:textAlignment w:val="auto"/>
              <w:rPr>
                <w:color w:val="auto"/>
              </w:rPr>
            </w:pPr>
            <w:r>
              <w:rPr>
                <w:rFonts w:hint="eastAsia"/>
                <w:color w:val="auto"/>
              </w:rPr>
              <w:t>绿化面积4800m</w:t>
            </w:r>
            <w:r>
              <w:rPr>
                <w:rFonts w:hint="eastAsia"/>
                <w:color w:val="auto"/>
                <w:vertAlign w:val="superscript"/>
              </w:rPr>
              <w:t>2</w:t>
            </w:r>
          </w:p>
        </w:tc>
        <w:tc>
          <w:tcPr>
            <w:tcW w:w="1757" w:type="dxa"/>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bl>
    <w:p>
      <w:pPr>
        <w:pStyle w:val="31"/>
        <w:rPr>
          <w:color w:val="auto"/>
        </w:rPr>
      </w:pPr>
    </w:p>
    <w:p>
      <w:pPr>
        <w:pStyle w:val="7"/>
        <w:rPr>
          <w:color w:val="auto"/>
        </w:rPr>
      </w:pPr>
    </w:p>
    <w:p>
      <w:pPr>
        <w:pStyle w:val="7"/>
        <w:rPr>
          <w:color w:val="auto"/>
        </w:rPr>
      </w:pPr>
    </w:p>
    <w:p>
      <w:pPr>
        <w:pStyle w:val="31"/>
        <w:rPr>
          <w:color w:val="auto"/>
        </w:rPr>
      </w:pPr>
      <w:r>
        <w:rPr>
          <w:color w:val="auto"/>
        </w:rPr>
        <w:t>表</w:t>
      </w:r>
      <w:r>
        <w:rPr>
          <w:rFonts w:hint="eastAsia"/>
          <w:color w:val="auto"/>
        </w:rPr>
        <w:t>3</w:t>
      </w:r>
      <w:r>
        <w:rPr>
          <w:color w:val="auto"/>
        </w:rPr>
        <w:t>.3</w:t>
      </w:r>
      <w:r>
        <w:rPr>
          <w:rFonts w:hint="eastAsia"/>
          <w:color w:val="auto"/>
        </w:rPr>
        <w:t>-2</w:t>
      </w:r>
      <w:r>
        <w:rPr>
          <w:color w:val="auto"/>
        </w:rPr>
        <w:t xml:space="preserve">  </w:t>
      </w:r>
      <w:r>
        <w:rPr>
          <w:rFonts w:hint="eastAsia"/>
          <w:color w:val="auto"/>
        </w:rPr>
        <w:t>二期工程</w:t>
      </w:r>
      <w:r>
        <w:rPr>
          <w:color w:val="auto"/>
        </w:rPr>
        <w:t>组成一览表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266"/>
        <w:gridCol w:w="808"/>
        <w:gridCol w:w="939"/>
        <w:gridCol w:w="3357"/>
        <w:gridCol w:w="1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5"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工程类别</w:t>
            </w: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工程名称</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工程内容</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5"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主体工程</w:t>
            </w:r>
          </w:p>
        </w:tc>
        <w:tc>
          <w:tcPr>
            <w:tcW w:w="743"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二期工程生产车间</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总</w:t>
            </w:r>
            <w:r>
              <w:rPr>
                <w:color w:val="auto"/>
              </w:rPr>
              <w:t>占地面积</w:t>
            </w:r>
            <w:r>
              <w:rPr>
                <w:rFonts w:hint="eastAsia"/>
                <w:color w:val="auto"/>
              </w:rPr>
              <w:t>8865</w:t>
            </w:r>
            <w:r>
              <w:rPr>
                <w:color w:val="auto"/>
              </w:rPr>
              <w:t>m</w:t>
            </w:r>
            <w:r>
              <w:rPr>
                <w:color w:val="auto"/>
                <w:vertAlign w:val="superscript"/>
              </w:rPr>
              <w:t>2</w:t>
            </w:r>
            <w:r>
              <w:rPr>
                <w:color w:val="auto"/>
              </w:rPr>
              <w:t>，建筑面积</w:t>
            </w:r>
            <w:r>
              <w:rPr>
                <w:rFonts w:hint="eastAsia"/>
                <w:color w:val="auto"/>
              </w:rPr>
              <w:t>8865</w:t>
            </w:r>
            <w:r>
              <w:rPr>
                <w:color w:val="auto"/>
              </w:rPr>
              <w:t>m</w:t>
            </w:r>
            <w:r>
              <w:rPr>
                <w:color w:val="auto"/>
                <w:vertAlign w:val="superscript"/>
              </w:rPr>
              <w:t>2</w:t>
            </w:r>
            <w:r>
              <w:rPr>
                <w:color w:val="auto"/>
              </w:rPr>
              <w:t>，钢架结构，混凝土地面，高度13.6m</w:t>
            </w:r>
            <w:r>
              <w:rPr>
                <w:rFonts w:hint="eastAsia"/>
                <w:color w:val="auto"/>
              </w:rPr>
              <w:t>。从南至北依次布置铝灰处理车间、辅助设施、生产区。</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生产区位于生产车间中部及北部，</w:t>
            </w:r>
            <w:r>
              <w:rPr>
                <w:color w:val="auto"/>
              </w:rPr>
              <w:t>设置有</w:t>
            </w:r>
            <w:r>
              <w:rPr>
                <w:rFonts w:hint="eastAsia"/>
                <w:color w:val="auto"/>
              </w:rPr>
              <w:t>熔保</w:t>
            </w:r>
            <w:r>
              <w:rPr>
                <w:color w:val="auto"/>
              </w:rPr>
              <w:t>炉</w:t>
            </w:r>
            <w:r>
              <w:rPr>
                <w:rFonts w:hint="eastAsia"/>
                <w:color w:val="auto"/>
              </w:rPr>
              <w:t>、铸造机等生产设备</w:t>
            </w:r>
            <w:r>
              <w:rPr>
                <w:color w:val="auto"/>
              </w:rPr>
              <w:t>。</w:t>
            </w:r>
            <w:r>
              <w:rPr>
                <w:rFonts w:hint="eastAsia"/>
                <w:color w:val="auto"/>
              </w:rPr>
              <w:t>设置4条生产线，共有6台熔保炉（2</w:t>
            </w:r>
            <w:r>
              <w:rPr>
                <w:color w:val="auto"/>
              </w:rPr>
              <w:t>×4</w:t>
            </w:r>
            <w:r>
              <w:rPr>
                <w:rFonts w:hint="eastAsia"/>
                <w:color w:val="auto"/>
              </w:rPr>
              <w:t>0</w:t>
            </w:r>
            <w:r>
              <w:rPr>
                <w:color w:val="auto"/>
              </w:rPr>
              <w:t>T+</w:t>
            </w:r>
            <w:r>
              <w:rPr>
                <w:rFonts w:hint="eastAsia"/>
                <w:color w:val="auto"/>
              </w:rPr>
              <w:t>4</w:t>
            </w:r>
            <w:r>
              <w:rPr>
                <w:color w:val="auto"/>
              </w:rPr>
              <w:t>×25T</w:t>
            </w:r>
            <w:r>
              <w:rPr>
                <w:rFonts w:hint="eastAsia"/>
                <w:color w:val="auto"/>
              </w:rPr>
              <w:t>），6台熔保炉共用一套废气处理系统，废气由排气筒P2-1排放；</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铝灰分离车间位于生产车间南部，内置铝灰分离机，设置1个排气筒，废气由排气筒P2-2排放</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rFonts w:hint="eastAsia"/>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75"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color w:val="auto"/>
              </w:rPr>
            </w:pPr>
            <w:r>
              <w:rPr>
                <w:color w:val="auto"/>
              </w:rPr>
              <w:t>辅助工程</w:t>
            </w: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质检</w:t>
            </w:r>
            <w:r>
              <w:rPr>
                <w:rFonts w:hint="eastAsia"/>
                <w:color w:val="auto"/>
              </w:rPr>
              <w:t>室</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rPr>
              <w:t>实验室位于生产车间</w:t>
            </w:r>
            <w:r>
              <w:rPr>
                <w:rFonts w:hint="eastAsia"/>
                <w:color w:val="auto"/>
                <w:lang w:val="en-US" w:eastAsia="zh-CN"/>
              </w:rPr>
              <w:t>北</w:t>
            </w:r>
            <w:r>
              <w:rPr>
                <w:rFonts w:hint="eastAsia"/>
                <w:color w:val="auto"/>
              </w:rPr>
              <w:t>部，</w:t>
            </w:r>
            <w:r>
              <w:rPr>
                <w:color w:val="auto"/>
              </w:rPr>
              <w:t>占地面积</w:t>
            </w:r>
            <w:r>
              <w:rPr>
                <w:rFonts w:hint="eastAsia"/>
                <w:color w:val="auto"/>
                <w:lang w:val="en-US" w:eastAsia="zh-CN"/>
              </w:rPr>
              <w:t>30</w:t>
            </w:r>
            <w:r>
              <w:rPr>
                <w:color w:val="auto"/>
              </w:rPr>
              <w:t>m</w:t>
            </w:r>
            <w:r>
              <w:rPr>
                <w:color w:val="auto"/>
                <w:vertAlign w:val="superscript"/>
              </w:rPr>
              <w:t>2</w:t>
            </w:r>
            <w:r>
              <w:rPr>
                <w:rFonts w:hint="eastAsia"/>
                <w:color w:val="auto"/>
              </w:rPr>
              <w:t>。实验室主要做低倍实验。低倍组织分析：主要对产品切片分别通过碱蚀（20%-25%氢氧化钠）或酸蚀（</w:t>
            </w:r>
            <w:r>
              <w:rPr>
                <w:color w:val="auto"/>
              </w:rPr>
              <w:t>HF</w:t>
            </w:r>
            <w:r>
              <w:rPr>
                <w:rFonts w:hint="eastAsia"/>
                <w:color w:val="auto"/>
              </w:rPr>
              <w:t>:</w:t>
            </w:r>
            <w:r>
              <w:rPr>
                <w:color w:val="auto"/>
              </w:rPr>
              <w:t>HNO</w:t>
            </w:r>
            <w:r>
              <w:rPr>
                <w:color w:val="auto"/>
                <w:vertAlign w:val="subscript"/>
              </w:rPr>
              <w:t>3</w:t>
            </w:r>
            <w:r>
              <w:rPr>
                <w:rFonts w:hint="eastAsia"/>
                <w:color w:val="auto"/>
              </w:rPr>
              <w:t>:</w:t>
            </w:r>
            <w:r>
              <w:rPr>
                <w:color w:val="auto"/>
              </w:rPr>
              <w:t>HCl</w:t>
            </w:r>
            <w:r>
              <w:rPr>
                <w:rFonts w:hint="eastAsia"/>
                <w:color w:val="auto"/>
              </w:rPr>
              <w:t>：</w:t>
            </w:r>
            <w:r>
              <w:rPr>
                <w:color w:val="auto"/>
              </w:rPr>
              <w:t>5</w:t>
            </w:r>
            <w:r>
              <w:rPr>
                <w:rFonts w:hint="eastAsia"/>
                <w:color w:val="auto"/>
              </w:rPr>
              <w:t>:</w:t>
            </w:r>
            <w:r>
              <w:rPr>
                <w:color w:val="auto"/>
              </w:rPr>
              <w:t>25</w:t>
            </w:r>
            <w:r>
              <w:rPr>
                <w:rFonts w:hint="eastAsia"/>
                <w:color w:val="auto"/>
              </w:rPr>
              <w:t>:</w:t>
            </w:r>
            <w:r>
              <w:rPr>
                <w:color w:val="auto"/>
              </w:rPr>
              <w:t>75</w:t>
            </w:r>
            <w:r>
              <w:rPr>
                <w:rFonts w:hint="eastAsia"/>
                <w:color w:val="auto"/>
              </w:rPr>
              <w:t>）处理，对产品晶粒度、夹渣、偏析层等相关指标要求进行分析检验。</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color w:val="auto"/>
                <w:kern w:val="2"/>
                <w:sz w:val="21"/>
                <w:szCs w:val="24"/>
                <w:lang w:val="en-US" w:eastAsia="zh-CN" w:bidi="ar-SA"/>
              </w:rPr>
            </w:pPr>
            <w:r>
              <w:rPr>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氮气储罐区</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位于生产车间南部，铝灰分离车间东侧，</w:t>
            </w:r>
            <w:r>
              <w:t>占地面积100m</w:t>
            </w:r>
            <w:r>
              <w:rPr>
                <w:vertAlign w:val="superscript"/>
              </w:rPr>
              <w:t>2</w:t>
            </w:r>
            <w:r>
              <w:rPr>
                <w:rFonts w:hint="eastAsia"/>
              </w:rPr>
              <w:t>，仅对氮气进行储存，不涉及氮气的加工</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液化石油气储罐区</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位于生产车间南部，</w:t>
            </w:r>
            <w:r>
              <w:t>占地面积100m</w:t>
            </w:r>
            <w:r>
              <w:rPr>
                <w:vertAlign w:val="superscript"/>
              </w:rPr>
              <w:t>2</w:t>
            </w:r>
            <w:r>
              <w:rPr>
                <w:rFonts w:hint="eastAsia"/>
              </w:rPr>
              <w:t>，仅对液化石油气进行储存，不涉及液化石油气的加工</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kern w:val="2"/>
                <w:sz w:val="21"/>
                <w:szCs w:val="24"/>
                <w:lang w:val="en-US" w:eastAsia="zh-CN" w:bidi="ar-SA"/>
              </w:rPr>
            </w:pPr>
            <w:r>
              <w:t>办公</w:t>
            </w:r>
            <w:r>
              <w:rPr>
                <w:rFonts w:hint="eastAsia"/>
              </w:rPr>
              <w:t>综合</w:t>
            </w:r>
            <w:r>
              <w:t>楼</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kern w:val="2"/>
                <w:sz w:val="21"/>
                <w:szCs w:val="24"/>
                <w:lang w:val="en-US" w:eastAsia="zh-CN" w:bidi="ar-SA"/>
              </w:rPr>
            </w:pPr>
            <w:r>
              <w:rPr>
                <w:rFonts w:hint="eastAsia"/>
              </w:rPr>
              <w:t>依托一期工程已建设的</w:t>
            </w:r>
            <w:r>
              <w:rPr>
                <w:rFonts w:hint="eastAsia"/>
                <w:lang w:val="en-US" w:eastAsia="zh-CN"/>
              </w:rPr>
              <w:t>办公综合楼</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kern w:val="2"/>
                <w:sz w:val="21"/>
                <w:szCs w:val="24"/>
                <w:lang w:val="en-US" w:eastAsia="zh-CN" w:bidi="ar-SA"/>
              </w:rPr>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kern w:val="2"/>
                <w:sz w:val="21"/>
                <w:szCs w:val="24"/>
                <w:lang w:val="en-US" w:eastAsia="zh-CN" w:bidi="ar-SA"/>
              </w:rPr>
            </w:pPr>
            <w:r>
              <w:rPr>
                <w:rFonts w:hint="eastAsia"/>
              </w:rPr>
              <w:t>倒班</w:t>
            </w:r>
            <w:r>
              <w:t>宿舍</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kern w:val="2"/>
                <w:sz w:val="21"/>
                <w:szCs w:val="24"/>
                <w:lang w:val="en-US" w:eastAsia="zh-CN" w:bidi="ar-SA"/>
              </w:rPr>
            </w:pPr>
            <w:r>
              <w:rPr>
                <w:rFonts w:hint="eastAsia"/>
              </w:rPr>
              <w:t>依托一期工程已建设的</w:t>
            </w:r>
            <w:r>
              <w:rPr>
                <w:rFonts w:hint="eastAsia"/>
                <w:lang w:val="en-US" w:eastAsia="zh-CN"/>
              </w:rPr>
              <w:t>倒班宿舍</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rPr>
                <w:rFonts w:hint="eastAsia" w:ascii="Times New Roman" w:hAnsi="Times New Roman" w:eastAsia="宋体" w:cs="Times New Roman"/>
                <w:kern w:val="2"/>
                <w:sz w:val="21"/>
                <w:szCs w:val="24"/>
                <w:lang w:val="en-US" w:eastAsia="zh-CN" w:bidi="ar-SA"/>
              </w:rPr>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空压</w:t>
            </w:r>
            <w:r>
              <w:rPr>
                <w:rFonts w:hint="eastAsia"/>
              </w:rPr>
              <w:t>机房</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w:t>
            </w:r>
            <w:r>
              <w:t>空压</w:t>
            </w:r>
            <w:r>
              <w:rPr>
                <w:rFonts w:hint="eastAsia"/>
              </w:rPr>
              <w:t>机房</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配电室</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依托一期工程已建设的配电室</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机修间</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依托一期工程已建设的机修间</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公用工程</w:t>
            </w: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供水系统</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由市政供水管网提供</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排水系统</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实行雨污分流制，雨水排入市政雨水管网；</w:t>
            </w:r>
            <w:r>
              <w:rPr>
                <w:rFonts w:hint="eastAsia"/>
              </w:rPr>
              <w:t>初期雨水</w:t>
            </w:r>
            <w:r>
              <w:t>处理达到</w:t>
            </w:r>
            <w:r>
              <w:rPr>
                <w:rFonts w:hint="eastAsia"/>
              </w:rPr>
              <w:t>《城市污水再生利用 城市杂用水水质标准》(GB/TI8920-2002) 中城市绿化及道路清扫以及《城市污水再生利用工业用水水质》（GB/T19923-2005）的相应标准后回用于厂区绿化及道路清扫，剩余部分用于冷却循环系统补充水；冷却循环系统定期排水和生活污水通过市政污水管网进入砚山县第一污水处理厂处理</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供电系统</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由当地供电电网接入</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燃料供应</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项目所用天然气由</w:t>
            </w:r>
            <w:r>
              <w:rPr>
                <w:rFonts w:hint="eastAsia"/>
              </w:rPr>
              <w:t>园区天然气管网提供</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储运工程</w:t>
            </w:r>
          </w:p>
        </w:tc>
        <w:tc>
          <w:tcPr>
            <w:tcW w:w="743"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仓库</w:t>
            </w: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原辅料库</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依托一期工程已建设的原辅料库</w:t>
            </w:r>
          </w:p>
        </w:tc>
        <w:tc>
          <w:tcPr>
            <w:tcW w:w="886"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成品仓库</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依托一期工程已建设的成品仓库</w:t>
            </w:r>
          </w:p>
        </w:tc>
        <w:tc>
          <w:tcPr>
            <w:tcW w:w="886"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环保工程</w:t>
            </w:r>
          </w:p>
        </w:tc>
        <w:tc>
          <w:tcPr>
            <w:tcW w:w="743"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废水</w:t>
            </w:r>
            <w:r>
              <w:rPr>
                <w:rFonts w:hint="eastAsia"/>
              </w:rPr>
              <w:t>处理</w:t>
            </w: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生活污水</w:t>
            </w:r>
            <w:r>
              <w:t>化粪池</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1座，每座容积为15m</w:t>
            </w:r>
            <w:r>
              <w:rPr>
                <w:rFonts w:hint="eastAsia"/>
                <w:vertAlign w:val="superscript"/>
              </w:rPr>
              <w:t>3</w:t>
            </w:r>
          </w:p>
        </w:tc>
        <w:tc>
          <w:tcPr>
            <w:tcW w:w="886" w:type="pct"/>
            <w:vMerge w:val="restart"/>
            <w:tcBorders>
              <w:top w:val="single" w:color="auto" w:sz="4" w:space="0"/>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食堂污水</w:t>
            </w:r>
            <w:r>
              <w:t>隔油池</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1座，容积为3m</w:t>
            </w:r>
            <w:r>
              <w:rPr>
                <w:rFonts w:hint="eastAsia"/>
                <w:vertAlign w:val="superscript"/>
              </w:rPr>
              <w:t>3</w:t>
            </w:r>
          </w:p>
        </w:tc>
        <w:tc>
          <w:tcPr>
            <w:tcW w:w="886"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循环水池</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1座，占地面积190.88</w:t>
            </w:r>
            <w:r>
              <w:t>m</w:t>
            </w:r>
            <w:r>
              <w:rPr>
                <w:vertAlign w:val="superscript"/>
              </w:rPr>
              <w:t>2</w:t>
            </w:r>
            <w:r>
              <w:rPr>
                <w:rFonts w:hint="eastAsia"/>
              </w:rPr>
              <w:t>，单个容积为572.6m</w:t>
            </w:r>
            <w:r>
              <w:rPr>
                <w:rFonts w:hint="eastAsia"/>
                <w:vertAlign w:val="superscript"/>
              </w:rPr>
              <w:t>3</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初期雨水</w:t>
            </w:r>
            <w:r>
              <w:rPr>
                <w:rFonts w:hint="eastAsia"/>
              </w:rPr>
              <w:t>收集</w:t>
            </w:r>
            <w:r>
              <w:t>池</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1座，容积为110m</w:t>
            </w:r>
            <w:r>
              <w:rPr>
                <w:rFonts w:hint="eastAsia"/>
                <w:vertAlign w:val="superscript"/>
              </w:rPr>
              <w:t>3</w:t>
            </w:r>
            <w:r>
              <w:rPr>
                <w:rFonts w:hint="eastAsia"/>
              </w:rPr>
              <w:t>，对初期雨水进行收集，通过沉淀处理后回用于厂区绿化和道路洒水，剩余部分用于冷却循环系统补充水</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废气治理</w:t>
            </w:r>
          </w:p>
        </w:tc>
        <w:tc>
          <w:tcPr>
            <w:tcW w:w="1025" w:type="pct"/>
            <w:gridSpan w:val="2"/>
            <w:tcBorders>
              <w:top w:val="single" w:color="auto" w:sz="4" w:space="0"/>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熔保炉天然气燃烧废气、精炼废气、扒渣废气</w:t>
            </w:r>
          </w:p>
        </w:tc>
        <w:tc>
          <w:tcPr>
            <w:tcW w:w="1969" w:type="pct"/>
            <w:tcBorders>
              <w:top w:val="single" w:color="auto" w:sz="4" w:space="0"/>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采用“布袋除尘器”处理达标后由30m高排气筒排放</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1025" w:type="pct"/>
            <w:gridSpan w:val="2"/>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铝灰分离废气</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采用“集气罩+布袋除尘器”处理达标后由20m高排气筒排放，</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地下水</w:t>
            </w:r>
          </w:p>
        </w:tc>
        <w:tc>
          <w:tcPr>
            <w:tcW w:w="474"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分区防渗</w:t>
            </w:r>
          </w:p>
        </w:tc>
        <w:tc>
          <w:tcPr>
            <w:tcW w:w="551"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szCs w:val="21"/>
              </w:rPr>
              <w:t>重点防渗区</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szCs w:val="21"/>
              </w:rPr>
              <w:t>循环水池、初期雨水收集池、铝灰分离车间等区域，按照《环境影响评价技术导则</w:t>
            </w:r>
            <w:r>
              <w:rPr>
                <w:rFonts w:hint="eastAsia"/>
                <w:szCs w:val="21"/>
                <w:lang w:val="en-US" w:eastAsia="zh-CN"/>
              </w:rPr>
              <w:t xml:space="preserve">  </w:t>
            </w:r>
            <w:r>
              <w:rPr>
                <w:rFonts w:hint="eastAsia"/>
                <w:szCs w:val="21"/>
              </w:rPr>
              <w:t>地下水环境》（HJ610-2016）中重点防渗区的防渗要求进行防渗设计，防渗层的防渗性能应等效于厚度≥6m，渗透系数≤1.0×10</w:t>
            </w:r>
            <w:r>
              <w:rPr>
                <w:rFonts w:hint="eastAsia"/>
                <w:szCs w:val="21"/>
                <w:vertAlign w:val="superscript"/>
              </w:rPr>
              <w:t>-7</w:t>
            </w:r>
            <w:r>
              <w:rPr>
                <w:rFonts w:hint="eastAsia"/>
                <w:szCs w:val="21"/>
              </w:rPr>
              <w:t>cm/s的黏土层的防渗性能</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474"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551"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szCs w:val="21"/>
              </w:rPr>
              <w:t>一般防渗区</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szCs w:val="21"/>
              </w:rPr>
              <w:t>加工车间、货场、成品仓库、综合站房。按照《环境影响评价技术导则</w:t>
            </w:r>
            <w:r>
              <w:rPr>
                <w:rFonts w:hint="eastAsia"/>
                <w:szCs w:val="21"/>
                <w:lang w:val="en-US" w:eastAsia="zh-CN"/>
              </w:rPr>
              <w:t xml:space="preserve">  </w:t>
            </w:r>
            <w:r>
              <w:rPr>
                <w:rFonts w:hint="eastAsia"/>
                <w:szCs w:val="21"/>
              </w:rPr>
              <w:t>地下水环境》（HJ610-2016）中一般防渗区的防渗要求进行防渗设计，防渗层的防渗性能应等效于厚度≥1.5m，渗透系数≤1.0×10</w:t>
            </w:r>
            <w:r>
              <w:rPr>
                <w:rFonts w:hint="eastAsia"/>
                <w:szCs w:val="21"/>
                <w:vertAlign w:val="superscript"/>
              </w:rPr>
              <w:t>-7</w:t>
            </w:r>
            <w:r>
              <w:rPr>
                <w:rFonts w:hint="eastAsia"/>
                <w:szCs w:val="21"/>
              </w:rPr>
              <w:t>cm/s的黏土层的防渗性能。</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474"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551"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简单防渗区</w:t>
            </w:r>
          </w:p>
        </w:tc>
        <w:tc>
          <w:tcPr>
            <w:tcW w:w="1969"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szCs w:val="21"/>
              </w:rPr>
              <w:t>办公室、配电室、厂区道路等区域。地面用混凝土硬化。</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噪声治理</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选用低噪声设备，对主要噪声源采取消声、减震、吸声、隔声等措施</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restar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固废治理</w:t>
            </w: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依托一期工程已建设的危废暂存间</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2995" w:type="pct"/>
            <w:gridSpan w:val="3"/>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依托一期工程已建设的一般固废</w:t>
            </w:r>
            <w:r>
              <w:t>暂存</w:t>
            </w:r>
            <w:r>
              <w:rPr>
                <w:rFonts w:hint="eastAsia"/>
              </w:rPr>
              <w:t>间</w:t>
            </w:r>
          </w:p>
        </w:tc>
        <w:tc>
          <w:tcPr>
            <w:tcW w:w="886" w:type="pct"/>
            <w:tcBorders>
              <w:tl2br w:val="nil"/>
              <w:tr2bl w:val="nil"/>
            </w:tcBorders>
            <w:shd w:val="clear" w:color="auto" w:fill="auto"/>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依托一期工程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Merge w:val="continue"/>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2995" w:type="pct"/>
            <w:gridSpan w:val="3"/>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生活垃圾收集桶9个</w:t>
            </w:r>
          </w:p>
        </w:tc>
        <w:tc>
          <w:tcPr>
            <w:tcW w:w="886" w:type="pct"/>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5" w:type="pct"/>
            <w:vMerge w:val="continue"/>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p>
        </w:tc>
        <w:tc>
          <w:tcPr>
            <w:tcW w:w="743" w:type="pct"/>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rPr>
                <w:rFonts w:hint="eastAsia"/>
              </w:rPr>
              <w:t>绿化</w:t>
            </w:r>
          </w:p>
        </w:tc>
        <w:tc>
          <w:tcPr>
            <w:tcW w:w="2995" w:type="pct"/>
            <w:gridSpan w:val="3"/>
            <w:vAlign w:val="center"/>
          </w:tcPr>
          <w:p>
            <w:pPr>
              <w:pStyle w:val="33"/>
              <w:keepNext w:val="0"/>
              <w:keepLines w:val="0"/>
              <w:pageBreakBefore w:val="0"/>
              <w:widowControl w:val="0"/>
              <w:kinsoku/>
              <w:wordWrap/>
              <w:overflowPunct/>
              <w:topLinePunct w:val="0"/>
              <w:autoSpaceDE/>
              <w:autoSpaceDN/>
              <w:bidi w:val="0"/>
              <w:adjustRightInd/>
              <w:snapToGrid/>
              <w:textAlignment w:val="auto"/>
            </w:pPr>
            <w:r>
              <w:rPr>
                <w:rFonts w:hint="eastAsia"/>
              </w:rPr>
              <w:t>绿化面积900m</w:t>
            </w:r>
            <w:r>
              <w:rPr>
                <w:rFonts w:hint="eastAsia"/>
                <w:vertAlign w:val="superscript"/>
              </w:rPr>
              <w:t>2</w:t>
            </w:r>
          </w:p>
        </w:tc>
        <w:tc>
          <w:tcPr>
            <w:tcW w:w="886" w:type="pct"/>
            <w:vAlign w:val="center"/>
          </w:tcPr>
          <w:p>
            <w:pPr>
              <w:pStyle w:val="32"/>
              <w:keepNext w:val="0"/>
              <w:keepLines w:val="0"/>
              <w:pageBreakBefore w:val="0"/>
              <w:widowControl w:val="0"/>
              <w:kinsoku/>
              <w:wordWrap/>
              <w:overflowPunct/>
              <w:topLinePunct w:val="0"/>
              <w:autoSpaceDE/>
              <w:autoSpaceDN/>
              <w:bidi w:val="0"/>
              <w:adjustRightInd/>
              <w:snapToGrid/>
              <w:spacing w:before="0" w:after="0"/>
              <w:textAlignment w:val="auto"/>
            </w:pPr>
            <w:r>
              <w:t>新建</w:t>
            </w:r>
          </w:p>
        </w:tc>
      </w:tr>
    </w:tbl>
    <w:p>
      <w:pPr>
        <w:pStyle w:val="5"/>
      </w:pPr>
      <w:bookmarkStart w:id="64" w:name="_Toc16309"/>
      <w:r>
        <w:rPr>
          <w:rFonts w:hint="eastAsia"/>
        </w:rPr>
        <w:t>3.4主要原辅材料</w:t>
      </w:r>
      <w:bookmarkEnd w:id="64"/>
    </w:p>
    <w:p>
      <w:pPr>
        <w:pStyle w:val="8"/>
      </w:pPr>
      <w:r>
        <w:rPr>
          <w:rFonts w:hint="eastAsia"/>
        </w:rPr>
        <w:t>3.4.1原辅材料消耗</w:t>
      </w:r>
    </w:p>
    <w:p>
      <w:pPr>
        <w:pStyle w:val="7"/>
        <w:ind w:firstLine="480"/>
      </w:pPr>
      <w:r>
        <w:rPr>
          <w:rFonts w:hint="eastAsia"/>
        </w:rPr>
        <w:t>本项目主要原材料为电解铝液、</w:t>
      </w:r>
      <w:r>
        <w:t>废铝冷料</w:t>
      </w:r>
      <w:r>
        <w:rPr>
          <w:rFonts w:hint="eastAsia"/>
        </w:rPr>
        <w:t>，主要辅助材料为各类合金辅料、速溶硅、精炼剂等。</w:t>
      </w:r>
      <w:r>
        <w:rPr>
          <w:bCs/>
        </w:rPr>
        <w:t>项目所需铝水吸入真空抬包后，通过抬包车直接运入项目所属加工车间</w:t>
      </w:r>
      <w:r>
        <w:rPr>
          <w:rFonts w:hint="eastAsia"/>
        </w:rPr>
        <w:t>，铝液来源稳定，可满足本项目生产需求；其余原辅材料均由汽车运输到厂，项目主要原辅材料消耗情况见下3.4-1、3.4-2。</w:t>
      </w:r>
    </w:p>
    <w:p>
      <w:pPr>
        <w:pStyle w:val="31"/>
      </w:pPr>
      <w:r>
        <w:rPr>
          <w:rFonts w:hint="eastAsia"/>
        </w:rPr>
        <w:t>表3.4-1  一期工程</w:t>
      </w:r>
      <w:r>
        <w:t>主要原</w:t>
      </w:r>
      <w:r>
        <w:rPr>
          <w:rFonts w:hint="eastAsia"/>
        </w:rPr>
        <w:t>辅</w:t>
      </w:r>
      <w:r>
        <w:t>材料用量表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098"/>
        <w:gridCol w:w="1149"/>
        <w:gridCol w:w="868"/>
        <w:gridCol w:w="989"/>
        <w:gridCol w:w="1481"/>
        <w:gridCol w:w="2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序号</w:t>
            </w:r>
          </w:p>
        </w:tc>
        <w:tc>
          <w:tcPr>
            <w:tcW w:w="644" w:type="pct"/>
            <w:vAlign w:val="center"/>
          </w:tcPr>
          <w:p>
            <w:pPr>
              <w:pStyle w:val="33"/>
            </w:pPr>
            <w:r>
              <w:rPr>
                <w:rFonts w:hint="eastAsia"/>
              </w:rPr>
              <w:t>名称</w:t>
            </w:r>
          </w:p>
        </w:tc>
        <w:tc>
          <w:tcPr>
            <w:tcW w:w="674" w:type="pct"/>
            <w:vAlign w:val="center"/>
          </w:tcPr>
          <w:p>
            <w:pPr>
              <w:pStyle w:val="33"/>
            </w:pPr>
            <w:r>
              <w:rPr>
                <w:rFonts w:hint="eastAsia"/>
              </w:rPr>
              <w:t>年消耗量（t/a）</w:t>
            </w:r>
          </w:p>
        </w:tc>
        <w:tc>
          <w:tcPr>
            <w:tcW w:w="509" w:type="pct"/>
            <w:vAlign w:val="center"/>
          </w:tcPr>
          <w:p>
            <w:pPr>
              <w:pStyle w:val="33"/>
            </w:pPr>
            <w:r>
              <w:rPr>
                <w:rFonts w:hint="eastAsia" w:ascii="宋体" w:hAnsi="宋体" w:cs="Arial"/>
                <w:bCs/>
                <w:szCs w:val="21"/>
              </w:rPr>
              <w:t>存储天数（天）</w:t>
            </w:r>
          </w:p>
        </w:tc>
        <w:tc>
          <w:tcPr>
            <w:tcW w:w="580" w:type="pct"/>
            <w:vAlign w:val="center"/>
          </w:tcPr>
          <w:p>
            <w:pPr>
              <w:pStyle w:val="33"/>
            </w:pPr>
            <w:r>
              <w:rPr>
                <w:rFonts w:hint="eastAsia"/>
              </w:rPr>
              <w:t>存储量（t）</w:t>
            </w:r>
          </w:p>
        </w:tc>
        <w:tc>
          <w:tcPr>
            <w:tcW w:w="867" w:type="pct"/>
            <w:noWrap/>
            <w:vAlign w:val="center"/>
          </w:tcPr>
          <w:p>
            <w:pPr>
              <w:pStyle w:val="33"/>
            </w:pPr>
            <w:r>
              <w:rPr>
                <w:szCs w:val="21"/>
              </w:rPr>
              <w:t>储存设施</w:t>
            </w:r>
          </w:p>
        </w:tc>
        <w:tc>
          <w:tcPr>
            <w:tcW w:w="1410" w:type="pct"/>
            <w:noWrap/>
            <w:vAlign w:val="center"/>
          </w:tcPr>
          <w:p>
            <w:pPr>
              <w:pStyle w:val="33"/>
              <w:rPr>
                <w:szCs w:val="21"/>
              </w:rPr>
            </w:pPr>
            <w:r>
              <w:rPr>
                <w:rFonts w:hint="eastAsia"/>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w:t>
            </w:r>
          </w:p>
        </w:tc>
        <w:tc>
          <w:tcPr>
            <w:tcW w:w="644" w:type="pct"/>
            <w:vAlign w:val="center"/>
          </w:tcPr>
          <w:p>
            <w:pPr>
              <w:pStyle w:val="33"/>
            </w:pPr>
            <w:r>
              <w:rPr>
                <w:rFonts w:hint="eastAsia"/>
              </w:rPr>
              <w:t>铝液</w:t>
            </w:r>
          </w:p>
        </w:tc>
        <w:tc>
          <w:tcPr>
            <w:tcW w:w="674" w:type="pct"/>
            <w:vAlign w:val="center"/>
          </w:tcPr>
          <w:p>
            <w:pPr>
              <w:pStyle w:val="33"/>
            </w:pPr>
            <w:r>
              <w:rPr>
                <w:rFonts w:hint="eastAsia"/>
              </w:rPr>
              <w:t>287000</w:t>
            </w:r>
          </w:p>
        </w:tc>
        <w:tc>
          <w:tcPr>
            <w:tcW w:w="509" w:type="pct"/>
            <w:vAlign w:val="center"/>
          </w:tcPr>
          <w:p>
            <w:pPr>
              <w:pStyle w:val="33"/>
            </w:pPr>
            <w:r>
              <w:rPr>
                <w:rFonts w:hint="eastAsia"/>
              </w:rPr>
              <w:t>/</w:t>
            </w:r>
          </w:p>
        </w:tc>
        <w:tc>
          <w:tcPr>
            <w:tcW w:w="580" w:type="pct"/>
            <w:vAlign w:val="center"/>
          </w:tcPr>
          <w:p>
            <w:pPr>
              <w:pStyle w:val="33"/>
            </w:pPr>
            <w:r>
              <w:rPr>
                <w:rFonts w:hint="eastAsia"/>
              </w:rPr>
              <w:t>/</w:t>
            </w:r>
          </w:p>
        </w:tc>
        <w:tc>
          <w:tcPr>
            <w:tcW w:w="867" w:type="pct"/>
            <w:noWrap/>
            <w:vAlign w:val="center"/>
          </w:tcPr>
          <w:p>
            <w:pPr>
              <w:pStyle w:val="33"/>
            </w:pPr>
            <w:r>
              <w:rPr>
                <w:rFonts w:hint="eastAsia"/>
              </w:rPr>
              <w:t>/</w:t>
            </w:r>
          </w:p>
        </w:tc>
        <w:tc>
          <w:tcPr>
            <w:tcW w:w="1410" w:type="pct"/>
            <w:noWrap/>
            <w:vAlign w:val="center"/>
          </w:tcPr>
          <w:p>
            <w:pPr>
              <w:pStyle w:val="33"/>
            </w:pPr>
            <w:r>
              <w:rPr>
                <w:rFonts w:hint="eastAsia"/>
              </w:rPr>
              <w:t>云南宏泰新型材料有限公司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2</w:t>
            </w:r>
          </w:p>
        </w:tc>
        <w:tc>
          <w:tcPr>
            <w:tcW w:w="644" w:type="pct"/>
            <w:vAlign w:val="center"/>
          </w:tcPr>
          <w:p>
            <w:pPr>
              <w:pStyle w:val="33"/>
            </w:pPr>
            <w:r>
              <w:rPr>
                <w:rFonts w:hint="eastAsia"/>
              </w:rPr>
              <w:t>冷料</w:t>
            </w:r>
          </w:p>
        </w:tc>
        <w:tc>
          <w:tcPr>
            <w:tcW w:w="674" w:type="pct"/>
            <w:vAlign w:val="center"/>
          </w:tcPr>
          <w:p>
            <w:pPr>
              <w:pStyle w:val="33"/>
            </w:pPr>
            <w:r>
              <w:rPr>
                <w:rFonts w:hint="eastAsia"/>
              </w:rPr>
              <w:t>32000</w:t>
            </w:r>
          </w:p>
        </w:tc>
        <w:tc>
          <w:tcPr>
            <w:tcW w:w="509" w:type="pct"/>
            <w:vAlign w:val="center"/>
          </w:tcPr>
          <w:p>
            <w:pPr>
              <w:pStyle w:val="33"/>
            </w:pPr>
            <w:r>
              <w:rPr>
                <w:rFonts w:hint="eastAsia"/>
              </w:rPr>
              <w:t>7</w:t>
            </w:r>
          </w:p>
        </w:tc>
        <w:tc>
          <w:tcPr>
            <w:tcW w:w="580" w:type="pct"/>
            <w:vAlign w:val="center"/>
          </w:tcPr>
          <w:p>
            <w:pPr>
              <w:pStyle w:val="33"/>
            </w:pPr>
            <w:r>
              <w:rPr>
                <w:rFonts w:hint="eastAsia"/>
              </w:rPr>
              <w:t>678</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sz w:val="18"/>
                <w:szCs w:val="18"/>
              </w:rPr>
              <w:t>下游铝深加工企业边角料、废铝屑及外部收购废铝料（铝白料，不含塑料等其他材料）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3</w:t>
            </w:r>
          </w:p>
        </w:tc>
        <w:tc>
          <w:tcPr>
            <w:tcW w:w="644" w:type="pct"/>
            <w:vAlign w:val="center"/>
          </w:tcPr>
          <w:p>
            <w:pPr>
              <w:pStyle w:val="33"/>
            </w:pPr>
            <w:r>
              <w:rPr>
                <w:rFonts w:hint="eastAsia"/>
              </w:rPr>
              <w:t>镁锭</w:t>
            </w:r>
          </w:p>
        </w:tc>
        <w:tc>
          <w:tcPr>
            <w:tcW w:w="674" w:type="pct"/>
            <w:vAlign w:val="center"/>
          </w:tcPr>
          <w:p>
            <w:pPr>
              <w:pStyle w:val="33"/>
            </w:pPr>
            <w:r>
              <w:rPr>
                <w:rFonts w:hint="eastAsia"/>
              </w:rPr>
              <w:t>1538.5</w:t>
            </w:r>
          </w:p>
        </w:tc>
        <w:tc>
          <w:tcPr>
            <w:tcW w:w="509" w:type="pct"/>
            <w:vAlign w:val="center"/>
          </w:tcPr>
          <w:p>
            <w:pPr>
              <w:pStyle w:val="33"/>
            </w:pPr>
            <w:r>
              <w:rPr>
                <w:rFonts w:hint="eastAsia"/>
              </w:rPr>
              <w:t>15</w:t>
            </w:r>
          </w:p>
        </w:tc>
        <w:tc>
          <w:tcPr>
            <w:tcW w:w="580" w:type="pct"/>
            <w:vAlign w:val="center"/>
          </w:tcPr>
          <w:p>
            <w:pPr>
              <w:pStyle w:val="33"/>
            </w:pPr>
            <w:r>
              <w:rPr>
                <w:rFonts w:hint="eastAsia"/>
              </w:rPr>
              <w:t>70</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4</w:t>
            </w:r>
          </w:p>
        </w:tc>
        <w:tc>
          <w:tcPr>
            <w:tcW w:w="644" w:type="pct"/>
            <w:vAlign w:val="center"/>
          </w:tcPr>
          <w:p>
            <w:pPr>
              <w:pStyle w:val="33"/>
            </w:pPr>
            <w:r>
              <w:rPr>
                <w:rFonts w:hint="eastAsia"/>
              </w:rPr>
              <w:t>锌锭</w:t>
            </w:r>
          </w:p>
        </w:tc>
        <w:tc>
          <w:tcPr>
            <w:tcW w:w="674" w:type="pct"/>
            <w:vAlign w:val="center"/>
          </w:tcPr>
          <w:p>
            <w:pPr>
              <w:pStyle w:val="33"/>
            </w:pPr>
            <w:r>
              <w:rPr>
                <w:rFonts w:hint="eastAsia"/>
              </w:rPr>
              <w:t>301.68</w:t>
            </w:r>
          </w:p>
        </w:tc>
        <w:tc>
          <w:tcPr>
            <w:tcW w:w="509" w:type="pct"/>
            <w:vAlign w:val="center"/>
          </w:tcPr>
          <w:p>
            <w:pPr>
              <w:pStyle w:val="33"/>
            </w:pPr>
            <w:r>
              <w:rPr>
                <w:rFonts w:hint="eastAsia"/>
              </w:rPr>
              <w:t>30</w:t>
            </w:r>
          </w:p>
        </w:tc>
        <w:tc>
          <w:tcPr>
            <w:tcW w:w="580" w:type="pct"/>
            <w:vAlign w:val="center"/>
          </w:tcPr>
          <w:p>
            <w:pPr>
              <w:pStyle w:val="33"/>
            </w:pPr>
            <w:r>
              <w:rPr>
                <w:rFonts w:hint="eastAsia"/>
              </w:rPr>
              <w:t>27</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5</w:t>
            </w:r>
          </w:p>
        </w:tc>
        <w:tc>
          <w:tcPr>
            <w:tcW w:w="644" w:type="pct"/>
            <w:vAlign w:val="center"/>
          </w:tcPr>
          <w:p>
            <w:pPr>
              <w:pStyle w:val="33"/>
            </w:pPr>
            <w:r>
              <w:rPr>
                <w:rFonts w:hint="eastAsia"/>
              </w:rPr>
              <w:t>铜锭</w:t>
            </w:r>
          </w:p>
        </w:tc>
        <w:tc>
          <w:tcPr>
            <w:tcW w:w="674" w:type="pct"/>
            <w:vAlign w:val="center"/>
          </w:tcPr>
          <w:p>
            <w:pPr>
              <w:pStyle w:val="33"/>
            </w:pPr>
            <w:r>
              <w:rPr>
                <w:rFonts w:hint="eastAsia"/>
              </w:rPr>
              <w:t>251.5</w:t>
            </w:r>
          </w:p>
        </w:tc>
        <w:tc>
          <w:tcPr>
            <w:tcW w:w="509" w:type="pct"/>
            <w:vAlign w:val="center"/>
          </w:tcPr>
          <w:p>
            <w:pPr>
              <w:pStyle w:val="33"/>
            </w:pPr>
            <w:r>
              <w:rPr>
                <w:rFonts w:hint="eastAsia"/>
              </w:rPr>
              <w:t>30</w:t>
            </w:r>
          </w:p>
        </w:tc>
        <w:tc>
          <w:tcPr>
            <w:tcW w:w="580" w:type="pct"/>
            <w:vAlign w:val="center"/>
          </w:tcPr>
          <w:p>
            <w:pPr>
              <w:pStyle w:val="33"/>
            </w:pPr>
            <w:r>
              <w:rPr>
                <w:rFonts w:hint="eastAsia"/>
              </w:rPr>
              <w:t>23</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6</w:t>
            </w:r>
          </w:p>
        </w:tc>
        <w:tc>
          <w:tcPr>
            <w:tcW w:w="644" w:type="pct"/>
            <w:vAlign w:val="center"/>
          </w:tcPr>
          <w:p>
            <w:pPr>
              <w:pStyle w:val="33"/>
            </w:pPr>
            <w:r>
              <w:rPr>
                <w:rFonts w:hint="eastAsia"/>
              </w:rPr>
              <w:t>铁剂</w:t>
            </w:r>
          </w:p>
        </w:tc>
        <w:tc>
          <w:tcPr>
            <w:tcW w:w="674" w:type="pct"/>
            <w:vAlign w:val="center"/>
          </w:tcPr>
          <w:p>
            <w:pPr>
              <w:pStyle w:val="33"/>
            </w:pPr>
            <w:r>
              <w:rPr>
                <w:rFonts w:hint="eastAsia"/>
              </w:rPr>
              <w:t>1877.75</w:t>
            </w:r>
          </w:p>
        </w:tc>
        <w:tc>
          <w:tcPr>
            <w:tcW w:w="509" w:type="pct"/>
            <w:vAlign w:val="center"/>
          </w:tcPr>
          <w:p>
            <w:pPr>
              <w:pStyle w:val="33"/>
            </w:pPr>
            <w:r>
              <w:rPr>
                <w:rFonts w:hint="eastAsia"/>
              </w:rPr>
              <w:t>30</w:t>
            </w:r>
          </w:p>
        </w:tc>
        <w:tc>
          <w:tcPr>
            <w:tcW w:w="580" w:type="pct"/>
            <w:vAlign w:val="center"/>
          </w:tcPr>
          <w:p>
            <w:pPr>
              <w:pStyle w:val="33"/>
            </w:pPr>
            <w:r>
              <w:rPr>
                <w:rFonts w:hint="eastAsia"/>
              </w:rPr>
              <w:t>170</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7</w:t>
            </w:r>
          </w:p>
        </w:tc>
        <w:tc>
          <w:tcPr>
            <w:tcW w:w="644" w:type="pct"/>
            <w:vAlign w:val="center"/>
          </w:tcPr>
          <w:p>
            <w:pPr>
              <w:pStyle w:val="33"/>
            </w:pPr>
            <w:r>
              <w:rPr>
                <w:rFonts w:hint="eastAsia"/>
              </w:rPr>
              <w:t>锰剂</w:t>
            </w:r>
          </w:p>
        </w:tc>
        <w:tc>
          <w:tcPr>
            <w:tcW w:w="674" w:type="pct"/>
            <w:vAlign w:val="center"/>
          </w:tcPr>
          <w:p>
            <w:pPr>
              <w:pStyle w:val="33"/>
            </w:pPr>
            <w:r>
              <w:rPr>
                <w:rFonts w:hint="eastAsia"/>
              </w:rPr>
              <w:t>771.18</w:t>
            </w:r>
          </w:p>
        </w:tc>
        <w:tc>
          <w:tcPr>
            <w:tcW w:w="509" w:type="pct"/>
            <w:vAlign w:val="center"/>
          </w:tcPr>
          <w:p>
            <w:pPr>
              <w:pStyle w:val="33"/>
            </w:pPr>
            <w:r>
              <w:rPr>
                <w:rFonts w:hint="eastAsia"/>
              </w:rPr>
              <w:t>30</w:t>
            </w:r>
          </w:p>
        </w:tc>
        <w:tc>
          <w:tcPr>
            <w:tcW w:w="580" w:type="pct"/>
            <w:vAlign w:val="center"/>
          </w:tcPr>
          <w:p>
            <w:pPr>
              <w:pStyle w:val="33"/>
            </w:pPr>
            <w:r>
              <w:rPr>
                <w:rFonts w:hint="eastAsia"/>
              </w:rPr>
              <w:t>70.1</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8</w:t>
            </w:r>
          </w:p>
        </w:tc>
        <w:tc>
          <w:tcPr>
            <w:tcW w:w="644" w:type="pct"/>
            <w:vAlign w:val="center"/>
          </w:tcPr>
          <w:p>
            <w:pPr>
              <w:pStyle w:val="33"/>
            </w:pPr>
            <w:r>
              <w:rPr>
                <w:rFonts w:hint="eastAsia"/>
              </w:rPr>
              <w:t>钛剂</w:t>
            </w:r>
          </w:p>
        </w:tc>
        <w:tc>
          <w:tcPr>
            <w:tcW w:w="674" w:type="pct"/>
            <w:vAlign w:val="center"/>
          </w:tcPr>
          <w:p>
            <w:pPr>
              <w:pStyle w:val="33"/>
            </w:pPr>
            <w:r>
              <w:rPr>
                <w:rFonts w:hint="eastAsia"/>
              </w:rPr>
              <w:t>16.88</w:t>
            </w:r>
          </w:p>
        </w:tc>
        <w:tc>
          <w:tcPr>
            <w:tcW w:w="509" w:type="pct"/>
            <w:vAlign w:val="center"/>
          </w:tcPr>
          <w:p>
            <w:pPr>
              <w:pStyle w:val="33"/>
            </w:pPr>
            <w:r>
              <w:rPr>
                <w:rFonts w:hint="eastAsia"/>
              </w:rPr>
              <w:t>30</w:t>
            </w:r>
          </w:p>
        </w:tc>
        <w:tc>
          <w:tcPr>
            <w:tcW w:w="580" w:type="pct"/>
            <w:vAlign w:val="center"/>
          </w:tcPr>
          <w:p>
            <w:pPr>
              <w:pStyle w:val="33"/>
            </w:pPr>
            <w:r>
              <w:rPr>
                <w:rFonts w:hint="eastAsia"/>
              </w:rPr>
              <w:t>1</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9</w:t>
            </w:r>
          </w:p>
        </w:tc>
        <w:tc>
          <w:tcPr>
            <w:tcW w:w="644" w:type="pct"/>
            <w:vAlign w:val="center"/>
          </w:tcPr>
          <w:p>
            <w:pPr>
              <w:pStyle w:val="33"/>
            </w:pPr>
            <w:r>
              <w:rPr>
                <w:rFonts w:hint="eastAsia"/>
              </w:rPr>
              <w:t>速溶硅</w:t>
            </w:r>
          </w:p>
        </w:tc>
        <w:tc>
          <w:tcPr>
            <w:tcW w:w="674" w:type="pct"/>
            <w:vAlign w:val="center"/>
          </w:tcPr>
          <w:p>
            <w:pPr>
              <w:pStyle w:val="33"/>
            </w:pPr>
            <w:r>
              <w:rPr>
                <w:rFonts w:hint="eastAsia"/>
              </w:rPr>
              <w:t xml:space="preserve">392.44 </w:t>
            </w:r>
          </w:p>
        </w:tc>
        <w:tc>
          <w:tcPr>
            <w:tcW w:w="509" w:type="pct"/>
            <w:vAlign w:val="center"/>
          </w:tcPr>
          <w:p>
            <w:pPr>
              <w:pStyle w:val="33"/>
            </w:pPr>
            <w:r>
              <w:rPr>
                <w:rFonts w:hint="eastAsia"/>
              </w:rPr>
              <w:t>30</w:t>
            </w:r>
          </w:p>
        </w:tc>
        <w:tc>
          <w:tcPr>
            <w:tcW w:w="580" w:type="pct"/>
            <w:vAlign w:val="center"/>
          </w:tcPr>
          <w:p>
            <w:pPr>
              <w:pStyle w:val="33"/>
            </w:pPr>
            <w:r>
              <w:rPr>
                <w:rFonts w:hint="eastAsia"/>
              </w:rPr>
              <w:t>35</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10</w:t>
            </w:r>
          </w:p>
        </w:tc>
        <w:tc>
          <w:tcPr>
            <w:tcW w:w="644" w:type="pct"/>
            <w:vAlign w:val="center"/>
          </w:tcPr>
          <w:p>
            <w:pPr>
              <w:pStyle w:val="33"/>
            </w:pPr>
            <w:r>
              <w:rPr>
                <w:rFonts w:hint="eastAsia"/>
              </w:rPr>
              <w:t>铝钛硼丝</w:t>
            </w:r>
          </w:p>
        </w:tc>
        <w:tc>
          <w:tcPr>
            <w:tcW w:w="674" w:type="pct"/>
            <w:vAlign w:val="center"/>
          </w:tcPr>
          <w:p>
            <w:pPr>
              <w:pStyle w:val="33"/>
            </w:pPr>
            <w:r>
              <w:rPr>
                <w:rFonts w:hint="eastAsia"/>
              </w:rPr>
              <w:t>724.75</w:t>
            </w:r>
          </w:p>
        </w:tc>
        <w:tc>
          <w:tcPr>
            <w:tcW w:w="509" w:type="pct"/>
            <w:vAlign w:val="center"/>
          </w:tcPr>
          <w:p>
            <w:pPr>
              <w:pStyle w:val="33"/>
            </w:pPr>
            <w:r>
              <w:rPr>
                <w:rFonts w:hint="eastAsia"/>
              </w:rPr>
              <w:t>30</w:t>
            </w:r>
          </w:p>
        </w:tc>
        <w:tc>
          <w:tcPr>
            <w:tcW w:w="580" w:type="pct"/>
            <w:vAlign w:val="center"/>
          </w:tcPr>
          <w:p>
            <w:pPr>
              <w:pStyle w:val="33"/>
            </w:pPr>
            <w:r>
              <w:rPr>
                <w:rFonts w:hint="eastAsia"/>
              </w:rPr>
              <w:t>65</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11</w:t>
            </w:r>
          </w:p>
        </w:tc>
        <w:tc>
          <w:tcPr>
            <w:tcW w:w="644" w:type="pct"/>
            <w:vAlign w:val="center"/>
          </w:tcPr>
          <w:p>
            <w:pPr>
              <w:pStyle w:val="33"/>
            </w:pPr>
            <w:r>
              <w:rPr>
                <w:rFonts w:hint="eastAsia"/>
              </w:rPr>
              <w:t>铝锰合金</w:t>
            </w:r>
          </w:p>
        </w:tc>
        <w:tc>
          <w:tcPr>
            <w:tcW w:w="674" w:type="pct"/>
            <w:vAlign w:val="center"/>
          </w:tcPr>
          <w:p>
            <w:pPr>
              <w:pStyle w:val="33"/>
            </w:pPr>
            <w:r>
              <w:rPr>
                <w:rFonts w:hint="eastAsia"/>
              </w:rPr>
              <w:t>124.13</w:t>
            </w:r>
          </w:p>
        </w:tc>
        <w:tc>
          <w:tcPr>
            <w:tcW w:w="509" w:type="pct"/>
            <w:vAlign w:val="center"/>
          </w:tcPr>
          <w:p>
            <w:pPr>
              <w:pStyle w:val="33"/>
            </w:pPr>
            <w:r>
              <w:rPr>
                <w:rFonts w:hint="eastAsia"/>
              </w:rPr>
              <w:t>30</w:t>
            </w:r>
          </w:p>
        </w:tc>
        <w:tc>
          <w:tcPr>
            <w:tcW w:w="580" w:type="pct"/>
            <w:vAlign w:val="center"/>
          </w:tcPr>
          <w:p>
            <w:pPr>
              <w:pStyle w:val="33"/>
            </w:pPr>
            <w:r>
              <w:rPr>
                <w:rFonts w:hint="eastAsia"/>
              </w:rPr>
              <w:t>11</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12</w:t>
            </w:r>
          </w:p>
        </w:tc>
        <w:tc>
          <w:tcPr>
            <w:tcW w:w="644" w:type="pct"/>
            <w:vAlign w:val="center"/>
          </w:tcPr>
          <w:p>
            <w:pPr>
              <w:pStyle w:val="33"/>
            </w:pPr>
            <w:r>
              <w:rPr>
                <w:rFonts w:hint="eastAsia"/>
              </w:rPr>
              <w:t>铝铜合金</w:t>
            </w:r>
          </w:p>
        </w:tc>
        <w:tc>
          <w:tcPr>
            <w:tcW w:w="674" w:type="pct"/>
            <w:vAlign w:val="center"/>
          </w:tcPr>
          <w:p>
            <w:pPr>
              <w:pStyle w:val="33"/>
            </w:pPr>
            <w:r>
              <w:rPr>
                <w:rFonts w:hint="eastAsia"/>
              </w:rPr>
              <w:t>83.73</w:t>
            </w:r>
          </w:p>
        </w:tc>
        <w:tc>
          <w:tcPr>
            <w:tcW w:w="509" w:type="pct"/>
            <w:vAlign w:val="center"/>
          </w:tcPr>
          <w:p>
            <w:pPr>
              <w:pStyle w:val="33"/>
            </w:pPr>
            <w:r>
              <w:rPr>
                <w:rFonts w:hint="eastAsia"/>
              </w:rPr>
              <w:t>30</w:t>
            </w:r>
          </w:p>
        </w:tc>
        <w:tc>
          <w:tcPr>
            <w:tcW w:w="580" w:type="pct"/>
            <w:vAlign w:val="center"/>
          </w:tcPr>
          <w:p>
            <w:pPr>
              <w:pStyle w:val="33"/>
            </w:pPr>
            <w:r>
              <w:rPr>
                <w:rFonts w:hint="eastAsia"/>
              </w:rPr>
              <w:t>7</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13</w:t>
            </w:r>
          </w:p>
        </w:tc>
        <w:tc>
          <w:tcPr>
            <w:tcW w:w="644" w:type="pct"/>
            <w:vAlign w:val="center"/>
          </w:tcPr>
          <w:p>
            <w:pPr>
              <w:pStyle w:val="33"/>
            </w:pPr>
            <w:r>
              <w:rPr>
                <w:rFonts w:hint="eastAsia"/>
              </w:rPr>
              <w:t>铝钛合金</w:t>
            </w:r>
          </w:p>
        </w:tc>
        <w:tc>
          <w:tcPr>
            <w:tcW w:w="674" w:type="pct"/>
            <w:vAlign w:val="center"/>
          </w:tcPr>
          <w:p>
            <w:pPr>
              <w:pStyle w:val="33"/>
            </w:pPr>
            <w:r>
              <w:rPr>
                <w:rFonts w:hint="eastAsia"/>
              </w:rPr>
              <w:t>60.08</w:t>
            </w:r>
          </w:p>
        </w:tc>
        <w:tc>
          <w:tcPr>
            <w:tcW w:w="509" w:type="pct"/>
            <w:vAlign w:val="center"/>
          </w:tcPr>
          <w:p>
            <w:pPr>
              <w:pStyle w:val="33"/>
            </w:pPr>
            <w:r>
              <w:rPr>
                <w:rFonts w:hint="eastAsia"/>
              </w:rPr>
              <w:t>30</w:t>
            </w:r>
          </w:p>
        </w:tc>
        <w:tc>
          <w:tcPr>
            <w:tcW w:w="580" w:type="pct"/>
            <w:vAlign w:val="center"/>
          </w:tcPr>
          <w:p>
            <w:pPr>
              <w:pStyle w:val="33"/>
            </w:pPr>
            <w:r>
              <w:rPr>
                <w:rFonts w:hint="eastAsia"/>
              </w:rPr>
              <w:t>5</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14</w:t>
            </w:r>
          </w:p>
        </w:tc>
        <w:tc>
          <w:tcPr>
            <w:tcW w:w="644" w:type="pct"/>
            <w:vAlign w:val="center"/>
          </w:tcPr>
          <w:p>
            <w:pPr>
              <w:pStyle w:val="33"/>
            </w:pPr>
            <w:r>
              <w:rPr>
                <w:rFonts w:hint="eastAsia"/>
              </w:rPr>
              <w:t>铝铁合金</w:t>
            </w:r>
          </w:p>
        </w:tc>
        <w:tc>
          <w:tcPr>
            <w:tcW w:w="674" w:type="pct"/>
            <w:vAlign w:val="center"/>
          </w:tcPr>
          <w:p>
            <w:pPr>
              <w:pStyle w:val="33"/>
            </w:pPr>
            <w:r>
              <w:rPr>
                <w:rFonts w:hint="eastAsia"/>
              </w:rPr>
              <w:t>131.2</w:t>
            </w:r>
          </w:p>
        </w:tc>
        <w:tc>
          <w:tcPr>
            <w:tcW w:w="509" w:type="pct"/>
            <w:vAlign w:val="center"/>
          </w:tcPr>
          <w:p>
            <w:pPr>
              <w:pStyle w:val="33"/>
            </w:pPr>
            <w:r>
              <w:rPr>
                <w:rFonts w:hint="eastAsia"/>
              </w:rPr>
              <w:t>30</w:t>
            </w:r>
          </w:p>
        </w:tc>
        <w:tc>
          <w:tcPr>
            <w:tcW w:w="580" w:type="pct"/>
            <w:vAlign w:val="center"/>
          </w:tcPr>
          <w:p>
            <w:pPr>
              <w:pStyle w:val="33"/>
            </w:pPr>
            <w:r>
              <w:rPr>
                <w:rFonts w:hint="eastAsia"/>
              </w:rPr>
              <w:t>12</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15</w:t>
            </w:r>
          </w:p>
        </w:tc>
        <w:tc>
          <w:tcPr>
            <w:tcW w:w="644" w:type="pct"/>
            <w:vAlign w:val="center"/>
          </w:tcPr>
          <w:p>
            <w:pPr>
              <w:pStyle w:val="33"/>
            </w:pPr>
            <w:r>
              <w:rPr>
                <w:rFonts w:hint="eastAsia"/>
              </w:rPr>
              <w:t>铝硼合金</w:t>
            </w:r>
          </w:p>
        </w:tc>
        <w:tc>
          <w:tcPr>
            <w:tcW w:w="674" w:type="pct"/>
            <w:vAlign w:val="center"/>
          </w:tcPr>
          <w:p>
            <w:pPr>
              <w:pStyle w:val="33"/>
            </w:pPr>
            <w:r>
              <w:rPr>
                <w:rFonts w:hint="eastAsia"/>
              </w:rPr>
              <w:t>7.55</w:t>
            </w:r>
          </w:p>
        </w:tc>
        <w:tc>
          <w:tcPr>
            <w:tcW w:w="509" w:type="pct"/>
            <w:vAlign w:val="center"/>
          </w:tcPr>
          <w:p>
            <w:pPr>
              <w:pStyle w:val="33"/>
            </w:pPr>
            <w:r>
              <w:rPr>
                <w:rFonts w:hint="eastAsia"/>
              </w:rPr>
              <w:t>30</w:t>
            </w:r>
          </w:p>
        </w:tc>
        <w:tc>
          <w:tcPr>
            <w:tcW w:w="580" w:type="pct"/>
            <w:vAlign w:val="center"/>
          </w:tcPr>
          <w:p>
            <w:pPr>
              <w:pStyle w:val="33"/>
            </w:pPr>
            <w:r>
              <w:rPr>
                <w:rFonts w:hint="eastAsia"/>
              </w:rPr>
              <w:t>0.68</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16</w:t>
            </w:r>
          </w:p>
        </w:tc>
        <w:tc>
          <w:tcPr>
            <w:tcW w:w="644" w:type="pct"/>
            <w:vAlign w:val="center"/>
          </w:tcPr>
          <w:p>
            <w:pPr>
              <w:pStyle w:val="33"/>
            </w:pPr>
            <w:r>
              <w:rPr>
                <w:rFonts w:hint="eastAsia"/>
              </w:rPr>
              <w:t>铝钒合金</w:t>
            </w:r>
          </w:p>
        </w:tc>
        <w:tc>
          <w:tcPr>
            <w:tcW w:w="674" w:type="pct"/>
            <w:vAlign w:val="center"/>
          </w:tcPr>
          <w:p>
            <w:pPr>
              <w:pStyle w:val="33"/>
            </w:pPr>
            <w:r>
              <w:rPr>
                <w:rFonts w:hint="eastAsia"/>
              </w:rPr>
              <w:t>0.15</w:t>
            </w:r>
          </w:p>
        </w:tc>
        <w:tc>
          <w:tcPr>
            <w:tcW w:w="509" w:type="pct"/>
            <w:vAlign w:val="center"/>
          </w:tcPr>
          <w:p>
            <w:pPr>
              <w:pStyle w:val="33"/>
            </w:pPr>
            <w:r>
              <w:rPr>
                <w:rFonts w:hint="eastAsia"/>
              </w:rPr>
              <w:t>30</w:t>
            </w:r>
          </w:p>
        </w:tc>
        <w:tc>
          <w:tcPr>
            <w:tcW w:w="580" w:type="pct"/>
            <w:vAlign w:val="center"/>
          </w:tcPr>
          <w:p>
            <w:pPr>
              <w:pStyle w:val="33"/>
            </w:pPr>
            <w:r>
              <w:rPr>
                <w:rFonts w:hint="eastAsia"/>
              </w:rPr>
              <w:t>0.01</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17</w:t>
            </w:r>
          </w:p>
        </w:tc>
        <w:tc>
          <w:tcPr>
            <w:tcW w:w="644" w:type="pct"/>
            <w:vAlign w:val="center"/>
          </w:tcPr>
          <w:p>
            <w:pPr>
              <w:pStyle w:val="33"/>
            </w:pPr>
            <w:r>
              <w:rPr>
                <w:rFonts w:hint="eastAsia"/>
              </w:rPr>
              <w:t>铝锶合金</w:t>
            </w:r>
          </w:p>
        </w:tc>
        <w:tc>
          <w:tcPr>
            <w:tcW w:w="674" w:type="pct"/>
            <w:vAlign w:val="center"/>
          </w:tcPr>
          <w:p>
            <w:pPr>
              <w:pStyle w:val="33"/>
            </w:pPr>
            <w:r>
              <w:rPr>
                <w:rFonts w:hint="eastAsia"/>
              </w:rPr>
              <w:t>63.57</w:t>
            </w:r>
          </w:p>
        </w:tc>
        <w:tc>
          <w:tcPr>
            <w:tcW w:w="509" w:type="pct"/>
            <w:vAlign w:val="center"/>
          </w:tcPr>
          <w:p>
            <w:pPr>
              <w:pStyle w:val="33"/>
            </w:pPr>
            <w:r>
              <w:rPr>
                <w:rFonts w:hint="eastAsia"/>
              </w:rPr>
              <w:t>30</w:t>
            </w:r>
          </w:p>
        </w:tc>
        <w:tc>
          <w:tcPr>
            <w:tcW w:w="580" w:type="pct"/>
            <w:vAlign w:val="center"/>
          </w:tcPr>
          <w:p>
            <w:pPr>
              <w:pStyle w:val="33"/>
            </w:pPr>
            <w:r>
              <w:rPr>
                <w:rFonts w:hint="eastAsia"/>
              </w:rPr>
              <w:t>5</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18</w:t>
            </w:r>
          </w:p>
        </w:tc>
        <w:tc>
          <w:tcPr>
            <w:tcW w:w="644" w:type="pct"/>
            <w:vAlign w:val="center"/>
          </w:tcPr>
          <w:p>
            <w:pPr>
              <w:pStyle w:val="33"/>
            </w:pPr>
            <w:r>
              <w:rPr>
                <w:rFonts w:hint="eastAsia"/>
              </w:rPr>
              <w:t>铝锆合金</w:t>
            </w:r>
          </w:p>
        </w:tc>
        <w:tc>
          <w:tcPr>
            <w:tcW w:w="674" w:type="pct"/>
            <w:vAlign w:val="center"/>
          </w:tcPr>
          <w:p>
            <w:pPr>
              <w:pStyle w:val="33"/>
            </w:pPr>
            <w:r>
              <w:rPr>
                <w:rFonts w:hint="eastAsia"/>
              </w:rPr>
              <w:t>7.47</w:t>
            </w:r>
          </w:p>
        </w:tc>
        <w:tc>
          <w:tcPr>
            <w:tcW w:w="509" w:type="pct"/>
            <w:vAlign w:val="center"/>
          </w:tcPr>
          <w:p>
            <w:pPr>
              <w:pStyle w:val="33"/>
            </w:pPr>
            <w:r>
              <w:rPr>
                <w:rFonts w:hint="eastAsia"/>
              </w:rPr>
              <w:t>30</w:t>
            </w:r>
          </w:p>
        </w:tc>
        <w:tc>
          <w:tcPr>
            <w:tcW w:w="580" w:type="pct"/>
            <w:vAlign w:val="center"/>
          </w:tcPr>
          <w:p>
            <w:pPr>
              <w:pStyle w:val="33"/>
            </w:pPr>
            <w:r>
              <w:rPr>
                <w:rFonts w:hint="eastAsia"/>
              </w:rPr>
              <w:t>0.7</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19</w:t>
            </w:r>
          </w:p>
        </w:tc>
        <w:tc>
          <w:tcPr>
            <w:tcW w:w="644" w:type="pct"/>
            <w:vAlign w:val="center"/>
          </w:tcPr>
          <w:p>
            <w:pPr>
              <w:pStyle w:val="33"/>
            </w:pPr>
            <w:r>
              <w:rPr>
                <w:rFonts w:hint="eastAsia"/>
              </w:rPr>
              <w:t>铝硅合金</w:t>
            </w:r>
          </w:p>
        </w:tc>
        <w:tc>
          <w:tcPr>
            <w:tcW w:w="674" w:type="pct"/>
            <w:vAlign w:val="center"/>
          </w:tcPr>
          <w:p>
            <w:pPr>
              <w:pStyle w:val="33"/>
            </w:pPr>
            <w:r>
              <w:rPr>
                <w:rFonts w:hint="eastAsia"/>
              </w:rPr>
              <w:t>406.25</w:t>
            </w:r>
          </w:p>
        </w:tc>
        <w:tc>
          <w:tcPr>
            <w:tcW w:w="509" w:type="pct"/>
            <w:vAlign w:val="center"/>
          </w:tcPr>
          <w:p>
            <w:pPr>
              <w:pStyle w:val="33"/>
            </w:pPr>
            <w:r>
              <w:rPr>
                <w:rFonts w:hint="eastAsia"/>
              </w:rPr>
              <w:t>30</w:t>
            </w:r>
          </w:p>
        </w:tc>
        <w:tc>
          <w:tcPr>
            <w:tcW w:w="580" w:type="pct"/>
            <w:vAlign w:val="center"/>
          </w:tcPr>
          <w:p>
            <w:pPr>
              <w:pStyle w:val="33"/>
            </w:pPr>
            <w:r>
              <w:rPr>
                <w:rFonts w:hint="eastAsia"/>
              </w:rPr>
              <w:t>36</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20</w:t>
            </w:r>
          </w:p>
        </w:tc>
        <w:tc>
          <w:tcPr>
            <w:tcW w:w="644" w:type="pct"/>
            <w:vAlign w:val="center"/>
          </w:tcPr>
          <w:p>
            <w:pPr>
              <w:pStyle w:val="33"/>
            </w:pPr>
            <w:r>
              <w:rPr>
                <w:rFonts w:hint="eastAsia"/>
              </w:rPr>
              <w:t>精炼剂</w:t>
            </w:r>
          </w:p>
        </w:tc>
        <w:tc>
          <w:tcPr>
            <w:tcW w:w="674" w:type="pct"/>
            <w:vAlign w:val="center"/>
          </w:tcPr>
          <w:p>
            <w:pPr>
              <w:pStyle w:val="33"/>
            </w:pPr>
            <w:r>
              <w:rPr>
                <w:rFonts w:hint="eastAsia"/>
              </w:rPr>
              <w:t>32</w:t>
            </w:r>
          </w:p>
        </w:tc>
        <w:tc>
          <w:tcPr>
            <w:tcW w:w="509" w:type="pct"/>
            <w:vAlign w:val="center"/>
          </w:tcPr>
          <w:p>
            <w:pPr>
              <w:pStyle w:val="33"/>
            </w:pPr>
            <w:r>
              <w:rPr>
                <w:rFonts w:hint="eastAsia"/>
              </w:rPr>
              <w:t>30</w:t>
            </w:r>
          </w:p>
        </w:tc>
        <w:tc>
          <w:tcPr>
            <w:tcW w:w="580" w:type="pct"/>
            <w:vAlign w:val="center"/>
          </w:tcPr>
          <w:p>
            <w:pPr>
              <w:pStyle w:val="33"/>
            </w:pPr>
            <w:r>
              <w:rPr>
                <w:rFonts w:hint="eastAsia"/>
              </w:rPr>
              <w:t>2.9</w:t>
            </w:r>
          </w:p>
        </w:tc>
        <w:tc>
          <w:tcPr>
            <w:tcW w:w="867" w:type="pct"/>
            <w:noWrap/>
            <w:vAlign w:val="center"/>
          </w:tcPr>
          <w:p>
            <w:pPr>
              <w:pStyle w:val="33"/>
            </w:pPr>
            <w:r>
              <w:rPr>
                <w:rFonts w:hint="eastAsia"/>
              </w:rPr>
              <w:t>仓库</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21</w:t>
            </w:r>
          </w:p>
        </w:tc>
        <w:tc>
          <w:tcPr>
            <w:tcW w:w="644" w:type="pct"/>
            <w:vAlign w:val="center"/>
          </w:tcPr>
          <w:p>
            <w:pPr>
              <w:pStyle w:val="33"/>
            </w:pPr>
            <w:r>
              <w:rPr>
                <w:rFonts w:hint="eastAsia"/>
              </w:rPr>
              <w:t>氯气</w:t>
            </w:r>
          </w:p>
        </w:tc>
        <w:tc>
          <w:tcPr>
            <w:tcW w:w="674" w:type="pct"/>
            <w:vAlign w:val="center"/>
          </w:tcPr>
          <w:p>
            <w:pPr>
              <w:pStyle w:val="33"/>
            </w:pPr>
            <w:r>
              <w:rPr>
                <w:rFonts w:hint="eastAsia"/>
              </w:rPr>
              <w:t>8</w:t>
            </w:r>
          </w:p>
        </w:tc>
        <w:tc>
          <w:tcPr>
            <w:tcW w:w="509" w:type="pct"/>
            <w:vAlign w:val="center"/>
          </w:tcPr>
          <w:p>
            <w:pPr>
              <w:pStyle w:val="32"/>
              <w:spacing w:before="0" w:after="0"/>
            </w:pPr>
            <w:r>
              <w:rPr>
                <w:rFonts w:hint="eastAsia"/>
              </w:rPr>
              <w:t>/</w:t>
            </w:r>
          </w:p>
        </w:tc>
        <w:tc>
          <w:tcPr>
            <w:tcW w:w="580" w:type="pct"/>
            <w:vAlign w:val="center"/>
          </w:tcPr>
          <w:p>
            <w:pPr>
              <w:pStyle w:val="32"/>
              <w:spacing w:before="0" w:after="0"/>
            </w:pPr>
            <w:r>
              <w:rPr>
                <w:rFonts w:hint="eastAsia"/>
              </w:rPr>
              <w:t>0.5</w:t>
            </w:r>
          </w:p>
        </w:tc>
        <w:tc>
          <w:tcPr>
            <w:tcW w:w="867" w:type="pct"/>
            <w:noWrap/>
            <w:vAlign w:val="center"/>
          </w:tcPr>
          <w:p>
            <w:pPr>
              <w:pStyle w:val="32"/>
              <w:spacing w:before="0" w:after="0"/>
            </w:pPr>
            <w:r>
              <w:rPr>
                <w:rFonts w:hint="eastAsia"/>
              </w:rPr>
              <w:t>氯气站，钢瓶储存</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22</w:t>
            </w:r>
          </w:p>
        </w:tc>
        <w:tc>
          <w:tcPr>
            <w:tcW w:w="644" w:type="pct"/>
            <w:vAlign w:val="center"/>
          </w:tcPr>
          <w:p>
            <w:pPr>
              <w:pStyle w:val="33"/>
            </w:pPr>
            <w:r>
              <w:rPr>
                <w:rFonts w:hint="eastAsia"/>
              </w:rPr>
              <w:t>氩气</w:t>
            </w:r>
          </w:p>
        </w:tc>
        <w:tc>
          <w:tcPr>
            <w:tcW w:w="674" w:type="pct"/>
            <w:vAlign w:val="center"/>
          </w:tcPr>
          <w:p>
            <w:pPr>
              <w:pStyle w:val="33"/>
            </w:pPr>
            <w:r>
              <w:rPr>
                <w:rFonts w:hint="eastAsia"/>
              </w:rPr>
              <w:t>310</w:t>
            </w:r>
          </w:p>
        </w:tc>
        <w:tc>
          <w:tcPr>
            <w:tcW w:w="509" w:type="pct"/>
            <w:vAlign w:val="center"/>
          </w:tcPr>
          <w:p>
            <w:pPr>
              <w:pStyle w:val="32"/>
              <w:spacing w:before="0" w:after="0"/>
            </w:pPr>
            <w:r>
              <w:rPr>
                <w:rFonts w:hint="eastAsia"/>
              </w:rPr>
              <w:t>/</w:t>
            </w:r>
          </w:p>
        </w:tc>
        <w:tc>
          <w:tcPr>
            <w:tcW w:w="580" w:type="pct"/>
            <w:vAlign w:val="center"/>
          </w:tcPr>
          <w:p>
            <w:pPr>
              <w:pStyle w:val="32"/>
              <w:spacing w:before="0" w:after="0"/>
            </w:pPr>
            <w:r>
              <w:rPr>
                <w:rFonts w:hint="eastAsia"/>
              </w:rPr>
              <w:t>5</w:t>
            </w:r>
          </w:p>
        </w:tc>
        <w:tc>
          <w:tcPr>
            <w:tcW w:w="867" w:type="pct"/>
            <w:noWrap/>
            <w:vAlign w:val="center"/>
          </w:tcPr>
          <w:p>
            <w:pPr>
              <w:pStyle w:val="32"/>
              <w:spacing w:before="0" w:after="0"/>
            </w:pPr>
            <w:r>
              <w:rPr>
                <w:rFonts w:hint="eastAsia"/>
              </w:rPr>
              <w:t>氩气站，钢瓶储存</w:t>
            </w:r>
          </w:p>
        </w:tc>
        <w:tc>
          <w:tcPr>
            <w:tcW w:w="1410"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rPr>
                <w:color w:val="auto"/>
              </w:rPr>
            </w:pPr>
            <w:r>
              <w:rPr>
                <w:rFonts w:hint="eastAsia"/>
                <w:color w:val="auto"/>
              </w:rPr>
              <w:t>23</w:t>
            </w:r>
          </w:p>
        </w:tc>
        <w:tc>
          <w:tcPr>
            <w:tcW w:w="644" w:type="pct"/>
            <w:vAlign w:val="center"/>
          </w:tcPr>
          <w:p>
            <w:pPr>
              <w:pStyle w:val="33"/>
              <w:rPr>
                <w:color w:val="auto"/>
              </w:rPr>
            </w:pPr>
            <w:r>
              <w:rPr>
                <w:rFonts w:hint="eastAsia"/>
                <w:color w:val="auto"/>
              </w:rPr>
              <w:t>过滤板</w:t>
            </w:r>
          </w:p>
        </w:tc>
        <w:tc>
          <w:tcPr>
            <w:tcW w:w="674" w:type="pct"/>
            <w:vAlign w:val="center"/>
          </w:tcPr>
          <w:p>
            <w:pPr>
              <w:pStyle w:val="33"/>
              <w:rPr>
                <w:color w:val="auto"/>
              </w:rPr>
            </w:pPr>
            <w:r>
              <w:rPr>
                <w:rFonts w:hint="eastAsia"/>
                <w:color w:val="auto"/>
              </w:rPr>
              <w:t>3.2</w:t>
            </w:r>
          </w:p>
        </w:tc>
        <w:tc>
          <w:tcPr>
            <w:tcW w:w="509" w:type="pct"/>
            <w:vAlign w:val="center"/>
          </w:tcPr>
          <w:p>
            <w:pPr>
              <w:pStyle w:val="32"/>
              <w:spacing w:before="0" w:after="0"/>
              <w:rPr>
                <w:color w:val="auto"/>
              </w:rPr>
            </w:pPr>
            <w:r>
              <w:rPr>
                <w:rFonts w:hint="eastAsia"/>
                <w:color w:val="auto"/>
              </w:rPr>
              <w:t>/</w:t>
            </w:r>
          </w:p>
        </w:tc>
        <w:tc>
          <w:tcPr>
            <w:tcW w:w="580" w:type="pct"/>
            <w:vAlign w:val="center"/>
          </w:tcPr>
          <w:p>
            <w:pPr>
              <w:pStyle w:val="32"/>
              <w:spacing w:before="0" w:after="0"/>
              <w:rPr>
                <w:color w:val="auto"/>
              </w:rPr>
            </w:pPr>
            <w:r>
              <w:rPr>
                <w:rFonts w:hint="eastAsia"/>
                <w:color w:val="auto"/>
              </w:rPr>
              <w:t>1.5</w:t>
            </w:r>
          </w:p>
        </w:tc>
        <w:tc>
          <w:tcPr>
            <w:tcW w:w="867" w:type="pct"/>
            <w:noWrap/>
            <w:vAlign w:val="center"/>
          </w:tcPr>
          <w:p>
            <w:pPr>
              <w:pStyle w:val="32"/>
              <w:spacing w:before="0" w:after="0"/>
              <w:rPr>
                <w:color w:val="auto"/>
              </w:rPr>
            </w:pPr>
            <w:r>
              <w:rPr>
                <w:rFonts w:hint="eastAsia"/>
                <w:color w:val="auto"/>
              </w:rPr>
              <w:t>仓库</w:t>
            </w:r>
          </w:p>
        </w:tc>
        <w:tc>
          <w:tcPr>
            <w:tcW w:w="1410" w:type="pct"/>
            <w:noWrap/>
            <w:vAlign w:val="center"/>
          </w:tcPr>
          <w:p>
            <w:pPr>
              <w:pStyle w:val="32"/>
              <w:spacing w:before="0" w:after="0"/>
              <w:rPr>
                <w:color w:val="auto"/>
              </w:rPr>
            </w:pPr>
            <w:r>
              <w:rPr>
                <w:rFonts w:hint="eastAsia"/>
                <w:color w:val="auto"/>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tcPr>
          <w:p>
            <w:pPr>
              <w:pStyle w:val="33"/>
              <w:rPr>
                <w:color w:val="auto"/>
              </w:rPr>
            </w:pPr>
            <w:r>
              <w:rPr>
                <w:rFonts w:hint="eastAsia"/>
                <w:color w:val="auto"/>
              </w:rPr>
              <w:t>24</w:t>
            </w:r>
          </w:p>
        </w:tc>
        <w:tc>
          <w:tcPr>
            <w:tcW w:w="644" w:type="pct"/>
          </w:tcPr>
          <w:p>
            <w:pPr>
              <w:pStyle w:val="33"/>
              <w:rPr>
                <w:color w:val="auto"/>
              </w:rPr>
            </w:pPr>
            <w:r>
              <w:rPr>
                <w:rFonts w:hint="eastAsia"/>
                <w:color w:val="auto"/>
              </w:rPr>
              <w:t>片碱</w:t>
            </w:r>
          </w:p>
        </w:tc>
        <w:tc>
          <w:tcPr>
            <w:tcW w:w="674" w:type="pct"/>
          </w:tcPr>
          <w:p>
            <w:pPr>
              <w:pStyle w:val="33"/>
              <w:rPr>
                <w:color w:val="auto"/>
              </w:rPr>
            </w:pPr>
            <w:r>
              <w:rPr>
                <w:rFonts w:hint="eastAsia"/>
                <w:color w:val="auto"/>
              </w:rPr>
              <w:t>1</w:t>
            </w:r>
          </w:p>
        </w:tc>
        <w:tc>
          <w:tcPr>
            <w:tcW w:w="509" w:type="pct"/>
            <w:vAlign w:val="center"/>
          </w:tcPr>
          <w:p>
            <w:pPr>
              <w:pStyle w:val="32"/>
              <w:spacing w:before="0" w:after="0"/>
              <w:rPr>
                <w:color w:val="auto"/>
              </w:rPr>
            </w:pPr>
            <w:r>
              <w:rPr>
                <w:rFonts w:hint="eastAsia"/>
                <w:color w:val="auto"/>
              </w:rPr>
              <w:t>/</w:t>
            </w:r>
          </w:p>
        </w:tc>
        <w:tc>
          <w:tcPr>
            <w:tcW w:w="580" w:type="pct"/>
            <w:vAlign w:val="center"/>
          </w:tcPr>
          <w:p>
            <w:pPr>
              <w:pStyle w:val="33"/>
              <w:rPr>
                <w:color w:val="auto"/>
              </w:rPr>
            </w:pPr>
            <w:r>
              <w:rPr>
                <w:rFonts w:hint="eastAsia"/>
                <w:color w:val="auto"/>
              </w:rPr>
              <w:t>30kg</w:t>
            </w:r>
          </w:p>
        </w:tc>
        <w:tc>
          <w:tcPr>
            <w:tcW w:w="867" w:type="pct"/>
            <w:vMerge w:val="restart"/>
            <w:noWrap/>
            <w:vAlign w:val="center"/>
          </w:tcPr>
          <w:p>
            <w:pPr>
              <w:pStyle w:val="32"/>
              <w:spacing w:before="0" w:after="0"/>
              <w:rPr>
                <w:color w:val="auto"/>
              </w:rPr>
            </w:pPr>
            <w:r>
              <w:rPr>
                <w:rFonts w:hint="eastAsia"/>
                <w:color w:val="auto"/>
                <w:lang w:val="en-US" w:eastAsia="zh-CN"/>
              </w:rPr>
              <w:t>质检</w:t>
            </w:r>
            <w:r>
              <w:rPr>
                <w:rFonts w:hint="eastAsia"/>
                <w:color w:val="auto"/>
              </w:rPr>
              <w:t>室内储罐储存，用于低倍实验</w:t>
            </w:r>
          </w:p>
        </w:tc>
        <w:tc>
          <w:tcPr>
            <w:tcW w:w="1410" w:type="pct"/>
            <w:noWrap/>
            <w:vAlign w:val="center"/>
          </w:tcPr>
          <w:p>
            <w:pPr>
              <w:pStyle w:val="32"/>
              <w:spacing w:before="0" w:after="0"/>
              <w:rPr>
                <w:color w:val="auto"/>
              </w:rPr>
            </w:pPr>
            <w:r>
              <w:rPr>
                <w:rFonts w:hint="eastAsia"/>
                <w:color w:val="auto"/>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rPr>
                <w:color w:val="auto"/>
              </w:rPr>
            </w:pPr>
            <w:r>
              <w:rPr>
                <w:rFonts w:hint="eastAsia"/>
                <w:color w:val="auto"/>
              </w:rPr>
              <w:t>25</w:t>
            </w:r>
          </w:p>
        </w:tc>
        <w:tc>
          <w:tcPr>
            <w:tcW w:w="644" w:type="pct"/>
            <w:vAlign w:val="center"/>
          </w:tcPr>
          <w:p>
            <w:pPr>
              <w:pStyle w:val="33"/>
              <w:rPr>
                <w:color w:val="auto"/>
              </w:rPr>
            </w:pPr>
            <w:r>
              <w:rPr>
                <w:rFonts w:hint="eastAsia"/>
                <w:color w:val="auto"/>
              </w:rPr>
              <w:t>盐酸</w:t>
            </w:r>
          </w:p>
        </w:tc>
        <w:tc>
          <w:tcPr>
            <w:tcW w:w="674" w:type="pct"/>
            <w:vAlign w:val="center"/>
          </w:tcPr>
          <w:p>
            <w:pPr>
              <w:pStyle w:val="33"/>
              <w:rPr>
                <w:color w:val="auto"/>
              </w:rPr>
            </w:pPr>
            <w:r>
              <w:rPr>
                <w:rFonts w:hint="eastAsia"/>
                <w:color w:val="auto"/>
              </w:rPr>
              <w:t>0.17</w:t>
            </w:r>
          </w:p>
        </w:tc>
        <w:tc>
          <w:tcPr>
            <w:tcW w:w="509" w:type="pct"/>
            <w:vAlign w:val="center"/>
          </w:tcPr>
          <w:p>
            <w:pPr>
              <w:pStyle w:val="32"/>
              <w:spacing w:before="0" w:after="0"/>
              <w:rPr>
                <w:color w:val="auto"/>
              </w:rPr>
            </w:pPr>
            <w:r>
              <w:rPr>
                <w:rFonts w:hint="eastAsia"/>
                <w:color w:val="auto"/>
              </w:rPr>
              <w:t>/</w:t>
            </w:r>
          </w:p>
        </w:tc>
        <w:tc>
          <w:tcPr>
            <w:tcW w:w="580" w:type="pct"/>
            <w:vAlign w:val="center"/>
          </w:tcPr>
          <w:p>
            <w:pPr>
              <w:pStyle w:val="33"/>
              <w:rPr>
                <w:color w:val="auto"/>
              </w:rPr>
            </w:pPr>
            <w:r>
              <w:rPr>
                <w:rFonts w:hint="eastAsia"/>
                <w:color w:val="auto"/>
              </w:rPr>
              <w:t>20kg</w:t>
            </w:r>
          </w:p>
        </w:tc>
        <w:tc>
          <w:tcPr>
            <w:tcW w:w="867" w:type="pct"/>
            <w:vMerge w:val="continue"/>
            <w:noWrap/>
            <w:vAlign w:val="center"/>
          </w:tcPr>
          <w:p>
            <w:pPr>
              <w:pStyle w:val="32"/>
              <w:spacing w:before="0" w:after="0"/>
              <w:rPr>
                <w:color w:val="auto"/>
              </w:rPr>
            </w:pPr>
          </w:p>
        </w:tc>
        <w:tc>
          <w:tcPr>
            <w:tcW w:w="1410" w:type="pct"/>
            <w:noWrap/>
            <w:vAlign w:val="center"/>
          </w:tcPr>
          <w:p>
            <w:pPr>
              <w:pStyle w:val="32"/>
              <w:spacing w:before="0" w:after="0"/>
              <w:rPr>
                <w:color w:val="auto"/>
              </w:rPr>
            </w:pPr>
            <w:r>
              <w:rPr>
                <w:rFonts w:hint="eastAsia"/>
                <w:color w:val="auto"/>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rPr>
                <w:color w:val="auto"/>
              </w:rPr>
            </w:pPr>
            <w:r>
              <w:rPr>
                <w:rFonts w:hint="eastAsia"/>
                <w:color w:val="auto"/>
              </w:rPr>
              <w:t>26</w:t>
            </w:r>
          </w:p>
        </w:tc>
        <w:tc>
          <w:tcPr>
            <w:tcW w:w="644" w:type="pct"/>
            <w:vAlign w:val="center"/>
          </w:tcPr>
          <w:p>
            <w:pPr>
              <w:pStyle w:val="33"/>
              <w:rPr>
                <w:color w:val="auto"/>
              </w:rPr>
            </w:pPr>
            <w:r>
              <w:rPr>
                <w:rFonts w:hint="eastAsia"/>
                <w:color w:val="auto"/>
              </w:rPr>
              <w:t>硝酸</w:t>
            </w:r>
          </w:p>
        </w:tc>
        <w:tc>
          <w:tcPr>
            <w:tcW w:w="674" w:type="pct"/>
            <w:vAlign w:val="center"/>
          </w:tcPr>
          <w:p>
            <w:pPr>
              <w:pStyle w:val="33"/>
              <w:rPr>
                <w:color w:val="auto"/>
              </w:rPr>
            </w:pPr>
            <w:r>
              <w:rPr>
                <w:rFonts w:hint="eastAsia"/>
                <w:color w:val="auto"/>
              </w:rPr>
              <w:t>0.094</w:t>
            </w:r>
          </w:p>
        </w:tc>
        <w:tc>
          <w:tcPr>
            <w:tcW w:w="509" w:type="pct"/>
            <w:vAlign w:val="center"/>
          </w:tcPr>
          <w:p>
            <w:pPr>
              <w:pStyle w:val="32"/>
              <w:spacing w:before="0" w:after="0"/>
              <w:rPr>
                <w:color w:val="auto"/>
              </w:rPr>
            </w:pPr>
            <w:r>
              <w:rPr>
                <w:rFonts w:hint="eastAsia"/>
                <w:color w:val="auto"/>
              </w:rPr>
              <w:t>/</w:t>
            </w:r>
          </w:p>
        </w:tc>
        <w:tc>
          <w:tcPr>
            <w:tcW w:w="580" w:type="pct"/>
            <w:vAlign w:val="center"/>
          </w:tcPr>
          <w:p>
            <w:pPr>
              <w:pStyle w:val="33"/>
              <w:rPr>
                <w:color w:val="auto"/>
              </w:rPr>
            </w:pPr>
            <w:r>
              <w:rPr>
                <w:rFonts w:hint="eastAsia"/>
                <w:color w:val="auto"/>
              </w:rPr>
              <w:t>2.1kg</w:t>
            </w:r>
          </w:p>
        </w:tc>
        <w:tc>
          <w:tcPr>
            <w:tcW w:w="867" w:type="pct"/>
            <w:vMerge w:val="continue"/>
            <w:noWrap/>
            <w:vAlign w:val="center"/>
          </w:tcPr>
          <w:p>
            <w:pPr>
              <w:pStyle w:val="32"/>
              <w:spacing w:before="0" w:after="0"/>
              <w:rPr>
                <w:color w:val="auto"/>
              </w:rPr>
            </w:pPr>
          </w:p>
        </w:tc>
        <w:tc>
          <w:tcPr>
            <w:tcW w:w="1410" w:type="pct"/>
            <w:noWrap/>
            <w:vAlign w:val="center"/>
          </w:tcPr>
          <w:p>
            <w:pPr>
              <w:pStyle w:val="32"/>
              <w:spacing w:before="0" w:after="0"/>
              <w:rPr>
                <w:color w:val="auto"/>
              </w:rPr>
            </w:pPr>
            <w:r>
              <w:rPr>
                <w:rFonts w:hint="eastAsia"/>
                <w:color w:val="auto"/>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rPr>
                <w:color w:val="auto"/>
              </w:rPr>
            </w:pPr>
            <w:r>
              <w:rPr>
                <w:rFonts w:hint="eastAsia"/>
                <w:color w:val="auto"/>
              </w:rPr>
              <w:t>27</w:t>
            </w:r>
          </w:p>
        </w:tc>
        <w:tc>
          <w:tcPr>
            <w:tcW w:w="644" w:type="pct"/>
            <w:vAlign w:val="center"/>
          </w:tcPr>
          <w:p>
            <w:pPr>
              <w:pStyle w:val="33"/>
              <w:rPr>
                <w:color w:val="auto"/>
              </w:rPr>
            </w:pPr>
            <w:r>
              <w:rPr>
                <w:rFonts w:hint="eastAsia"/>
                <w:color w:val="auto"/>
              </w:rPr>
              <w:t>氢氟酸</w:t>
            </w:r>
          </w:p>
        </w:tc>
        <w:tc>
          <w:tcPr>
            <w:tcW w:w="674" w:type="pct"/>
            <w:vAlign w:val="center"/>
          </w:tcPr>
          <w:p>
            <w:pPr>
              <w:pStyle w:val="33"/>
              <w:rPr>
                <w:color w:val="auto"/>
              </w:rPr>
            </w:pPr>
            <w:r>
              <w:rPr>
                <w:rFonts w:hint="eastAsia"/>
                <w:color w:val="auto"/>
              </w:rPr>
              <w:t>0.018</w:t>
            </w:r>
          </w:p>
        </w:tc>
        <w:tc>
          <w:tcPr>
            <w:tcW w:w="509" w:type="pct"/>
            <w:vAlign w:val="center"/>
          </w:tcPr>
          <w:p>
            <w:pPr>
              <w:pStyle w:val="33"/>
              <w:rPr>
                <w:color w:val="auto"/>
              </w:rPr>
            </w:pPr>
            <w:r>
              <w:rPr>
                <w:rFonts w:hint="eastAsia"/>
                <w:color w:val="auto"/>
              </w:rPr>
              <w:t>/</w:t>
            </w:r>
          </w:p>
        </w:tc>
        <w:tc>
          <w:tcPr>
            <w:tcW w:w="580" w:type="pct"/>
            <w:vAlign w:val="center"/>
          </w:tcPr>
          <w:p>
            <w:pPr>
              <w:pStyle w:val="33"/>
              <w:rPr>
                <w:color w:val="auto"/>
              </w:rPr>
            </w:pPr>
            <w:r>
              <w:rPr>
                <w:rFonts w:hint="eastAsia"/>
                <w:color w:val="auto"/>
              </w:rPr>
              <w:t>11kg</w:t>
            </w:r>
          </w:p>
        </w:tc>
        <w:tc>
          <w:tcPr>
            <w:tcW w:w="867" w:type="pct"/>
            <w:vMerge w:val="continue"/>
            <w:noWrap/>
            <w:vAlign w:val="center"/>
          </w:tcPr>
          <w:p>
            <w:pPr>
              <w:pStyle w:val="32"/>
              <w:spacing w:before="0" w:after="0"/>
              <w:rPr>
                <w:color w:val="auto"/>
              </w:rPr>
            </w:pPr>
          </w:p>
        </w:tc>
        <w:tc>
          <w:tcPr>
            <w:tcW w:w="1410" w:type="pct"/>
            <w:noWrap/>
            <w:vAlign w:val="center"/>
          </w:tcPr>
          <w:p>
            <w:pPr>
              <w:pStyle w:val="32"/>
              <w:spacing w:before="0" w:after="0"/>
              <w:rPr>
                <w:color w:val="auto"/>
              </w:rPr>
            </w:pPr>
            <w:r>
              <w:rPr>
                <w:rFonts w:hint="eastAsia"/>
                <w:color w:val="auto"/>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rPr>
                <w:color w:val="auto"/>
              </w:rPr>
            </w:pPr>
            <w:r>
              <w:rPr>
                <w:rFonts w:hint="eastAsia"/>
                <w:color w:val="auto"/>
              </w:rPr>
              <w:t>28</w:t>
            </w:r>
          </w:p>
        </w:tc>
        <w:tc>
          <w:tcPr>
            <w:tcW w:w="644" w:type="pct"/>
            <w:vAlign w:val="center"/>
          </w:tcPr>
          <w:p>
            <w:pPr>
              <w:pStyle w:val="33"/>
              <w:rPr>
                <w:color w:val="auto"/>
              </w:rPr>
            </w:pPr>
            <w:r>
              <w:rPr>
                <w:color w:val="auto"/>
              </w:rPr>
              <w:t>水</w:t>
            </w:r>
          </w:p>
        </w:tc>
        <w:tc>
          <w:tcPr>
            <w:tcW w:w="2632" w:type="pct"/>
            <w:gridSpan w:val="4"/>
            <w:vAlign w:val="center"/>
          </w:tcPr>
          <w:p>
            <w:pPr>
              <w:pStyle w:val="33"/>
              <w:rPr>
                <w:color w:val="auto"/>
              </w:rPr>
            </w:pPr>
            <w:r>
              <w:rPr>
                <w:rFonts w:hint="eastAsia"/>
                <w:color w:val="auto"/>
              </w:rPr>
              <w:t>4976.5</w:t>
            </w:r>
            <w:r>
              <w:rPr>
                <w:color w:val="auto"/>
                <w:szCs w:val="21"/>
              </w:rPr>
              <w:t>m</w:t>
            </w:r>
            <w:r>
              <w:rPr>
                <w:color w:val="auto"/>
                <w:szCs w:val="21"/>
                <w:vertAlign w:val="superscript"/>
              </w:rPr>
              <w:t>3</w:t>
            </w:r>
            <w:r>
              <w:rPr>
                <w:color w:val="auto"/>
                <w:szCs w:val="21"/>
              </w:rPr>
              <w:t>/a</w:t>
            </w:r>
          </w:p>
        </w:tc>
        <w:tc>
          <w:tcPr>
            <w:tcW w:w="1410" w:type="pct"/>
            <w:noWrap/>
            <w:vAlign w:val="center"/>
          </w:tcPr>
          <w:p>
            <w:pPr>
              <w:pStyle w:val="32"/>
              <w:spacing w:before="0" w:after="0"/>
              <w:rPr>
                <w:color w:val="auto"/>
              </w:rPr>
            </w:pPr>
            <w:r>
              <w:rPr>
                <w:color w:val="auto"/>
                <w:szCs w:val="21"/>
              </w:rPr>
              <w:t>市政自来水管网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29</w:t>
            </w:r>
          </w:p>
        </w:tc>
        <w:tc>
          <w:tcPr>
            <w:tcW w:w="644" w:type="pct"/>
            <w:vAlign w:val="center"/>
          </w:tcPr>
          <w:p>
            <w:pPr>
              <w:pStyle w:val="33"/>
            </w:pPr>
            <w:r>
              <w:t>电</w:t>
            </w:r>
          </w:p>
        </w:tc>
        <w:tc>
          <w:tcPr>
            <w:tcW w:w="2632" w:type="pct"/>
            <w:gridSpan w:val="4"/>
            <w:vAlign w:val="center"/>
          </w:tcPr>
          <w:p>
            <w:pPr>
              <w:pStyle w:val="32"/>
              <w:spacing w:before="0" w:after="0"/>
            </w:pPr>
            <w:r>
              <w:rPr>
                <w:rFonts w:hint="eastAsia"/>
              </w:rPr>
              <w:t>378万KWh</w:t>
            </w:r>
          </w:p>
        </w:tc>
        <w:tc>
          <w:tcPr>
            <w:tcW w:w="1410" w:type="pct"/>
            <w:noWrap/>
            <w:vAlign w:val="center"/>
          </w:tcPr>
          <w:p>
            <w:pPr>
              <w:pStyle w:val="32"/>
              <w:spacing w:before="0" w:after="0"/>
            </w:pPr>
            <w:r>
              <w:rPr>
                <w:szCs w:val="21"/>
              </w:rPr>
              <w:t>云南电网有限责任公司文山供电局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12" w:type="pct"/>
            <w:vAlign w:val="center"/>
          </w:tcPr>
          <w:p>
            <w:pPr>
              <w:pStyle w:val="33"/>
            </w:pPr>
            <w:r>
              <w:rPr>
                <w:rFonts w:hint="eastAsia"/>
              </w:rPr>
              <w:t>30</w:t>
            </w:r>
          </w:p>
        </w:tc>
        <w:tc>
          <w:tcPr>
            <w:tcW w:w="644" w:type="pct"/>
            <w:vAlign w:val="center"/>
          </w:tcPr>
          <w:p>
            <w:pPr>
              <w:pStyle w:val="33"/>
            </w:pPr>
            <w:r>
              <w:t>天然气</w:t>
            </w:r>
          </w:p>
        </w:tc>
        <w:tc>
          <w:tcPr>
            <w:tcW w:w="2632" w:type="pct"/>
            <w:gridSpan w:val="4"/>
            <w:vAlign w:val="center"/>
          </w:tcPr>
          <w:p>
            <w:pPr>
              <w:pStyle w:val="32"/>
              <w:spacing w:before="0" w:after="0"/>
            </w:pPr>
            <w:r>
              <w:rPr>
                <w:rFonts w:hint="eastAsia"/>
              </w:rPr>
              <w:t>3232万m</w:t>
            </w:r>
            <w:r>
              <w:rPr>
                <w:rFonts w:hint="eastAsia"/>
                <w:vertAlign w:val="superscript"/>
              </w:rPr>
              <w:t>3</w:t>
            </w:r>
            <w:r>
              <w:rPr>
                <w:rFonts w:hint="eastAsia"/>
              </w:rPr>
              <w:t>/a</w:t>
            </w:r>
          </w:p>
        </w:tc>
        <w:tc>
          <w:tcPr>
            <w:tcW w:w="1410" w:type="pct"/>
            <w:noWrap/>
            <w:vAlign w:val="center"/>
          </w:tcPr>
          <w:p>
            <w:pPr>
              <w:pStyle w:val="32"/>
              <w:spacing w:before="0" w:after="0"/>
            </w:pPr>
            <w:r>
              <w:rPr>
                <w:rFonts w:hint="eastAsia"/>
                <w:szCs w:val="21"/>
              </w:rPr>
              <w:t>园区天然气管网提供</w:t>
            </w:r>
          </w:p>
        </w:tc>
      </w:tr>
    </w:tbl>
    <w:p>
      <w:pPr>
        <w:pStyle w:val="7"/>
        <w:ind w:firstLine="480"/>
      </w:pPr>
    </w:p>
    <w:p>
      <w:pPr>
        <w:pStyle w:val="31"/>
        <w:rPr>
          <w:rFonts w:hint="eastAsia"/>
        </w:rPr>
      </w:pPr>
    </w:p>
    <w:p>
      <w:pPr>
        <w:pStyle w:val="31"/>
      </w:pPr>
      <w:r>
        <w:rPr>
          <w:rFonts w:hint="eastAsia"/>
        </w:rPr>
        <w:t>表3.4-2  二期工程</w:t>
      </w:r>
      <w:r>
        <w:t>主要原</w:t>
      </w:r>
      <w:r>
        <w:rPr>
          <w:rFonts w:hint="eastAsia"/>
        </w:rPr>
        <w:t>辅</w:t>
      </w:r>
      <w:r>
        <w:t>材料用量表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181"/>
        <w:gridCol w:w="980"/>
        <w:gridCol w:w="951"/>
        <w:gridCol w:w="830"/>
        <w:gridCol w:w="1620"/>
        <w:gridCol w:w="2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3"/>
            </w:pPr>
            <w:r>
              <w:rPr>
                <w:rFonts w:hint="eastAsia"/>
              </w:rPr>
              <w:t>序号</w:t>
            </w:r>
          </w:p>
        </w:tc>
        <w:tc>
          <w:tcPr>
            <w:tcW w:w="693" w:type="pct"/>
            <w:vAlign w:val="center"/>
          </w:tcPr>
          <w:p>
            <w:pPr>
              <w:pStyle w:val="33"/>
            </w:pPr>
            <w:r>
              <w:rPr>
                <w:rFonts w:hint="eastAsia"/>
              </w:rPr>
              <w:t>名称</w:t>
            </w:r>
          </w:p>
        </w:tc>
        <w:tc>
          <w:tcPr>
            <w:tcW w:w="575" w:type="pct"/>
            <w:vAlign w:val="center"/>
          </w:tcPr>
          <w:p>
            <w:pPr>
              <w:pStyle w:val="33"/>
            </w:pPr>
            <w:r>
              <w:rPr>
                <w:rFonts w:hint="eastAsia"/>
              </w:rPr>
              <w:t>年消耗量（t/a）</w:t>
            </w:r>
          </w:p>
        </w:tc>
        <w:tc>
          <w:tcPr>
            <w:tcW w:w="558" w:type="pct"/>
            <w:vAlign w:val="center"/>
          </w:tcPr>
          <w:p>
            <w:pPr>
              <w:pStyle w:val="33"/>
            </w:pPr>
            <w:r>
              <w:rPr>
                <w:rFonts w:hint="eastAsia" w:ascii="宋体" w:hAnsi="宋体" w:cs="Arial"/>
                <w:bCs/>
                <w:szCs w:val="21"/>
              </w:rPr>
              <w:t>存储天数（天）</w:t>
            </w:r>
          </w:p>
        </w:tc>
        <w:tc>
          <w:tcPr>
            <w:tcW w:w="487" w:type="pct"/>
            <w:vAlign w:val="center"/>
          </w:tcPr>
          <w:p>
            <w:pPr>
              <w:pStyle w:val="33"/>
            </w:pPr>
            <w:r>
              <w:rPr>
                <w:rFonts w:hint="eastAsia"/>
              </w:rPr>
              <w:t>存储量（t）</w:t>
            </w:r>
          </w:p>
        </w:tc>
        <w:tc>
          <w:tcPr>
            <w:tcW w:w="950" w:type="pct"/>
            <w:noWrap/>
            <w:vAlign w:val="center"/>
          </w:tcPr>
          <w:p>
            <w:pPr>
              <w:pStyle w:val="33"/>
            </w:pPr>
            <w:r>
              <w:rPr>
                <w:szCs w:val="21"/>
              </w:rPr>
              <w:t>储存设施</w:t>
            </w:r>
          </w:p>
        </w:tc>
        <w:tc>
          <w:tcPr>
            <w:tcW w:w="1484" w:type="pct"/>
            <w:noWrap/>
            <w:vAlign w:val="center"/>
          </w:tcPr>
          <w:p>
            <w:pPr>
              <w:pStyle w:val="33"/>
              <w:rPr>
                <w:szCs w:val="21"/>
              </w:rPr>
            </w:pPr>
            <w:r>
              <w:rPr>
                <w:rFonts w:hint="eastAsia"/>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w:t>
            </w:r>
          </w:p>
        </w:tc>
        <w:tc>
          <w:tcPr>
            <w:tcW w:w="693" w:type="pct"/>
            <w:vAlign w:val="center"/>
          </w:tcPr>
          <w:p>
            <w:pPr>
              <w:pStyle w:val="33"/>
            </w:pPr>
            <w:r>
              <w:rPr>
                <w:rFonts w:hint="eastAsia"/>
              </w:rPr>
              <w:t>原铝液</w:t>
            </w:r>
          </w:p>
        </w:tc>
        <w:tc>
          <w:tcPr>
            <w:tcW w:w="575" w:type="pct"/>
            <w:vAlign w:val="center"/>
          </w:tcPr>
          <w:p>
            <w:pPr>
              <w:pStyle w:val="33"/>
            </w:pPr>
            <w:r>
              <w:rPr>
                <w:rFonts w:hint="eastAsia"/>
              </w:rPr>
              <w:t>54180</w:t>
            </w:r>
          </w:p>
        </w:tc>
        <w:tc>
          <w:tcPr>
            <w:tcW w:w="558" w:type="pct"/>
            <w:vAlign w:val="center"/>
          </w:tcPr>
          <w:p>
            <w:pPr>
              <w:pStyle w:val="33"/>
            </w:pPr>
            <w:r>
              <w:rPr>
                <w:rFonts w:hint="eastAsia"/>
              </w:rPr>
              <w:t>/</w:t>
            </w:r>
          </w:p>
        </w:tc>
        <w:tc>
          <w:tcPr>
            <w:tcW w:w="487" w:type="pct"/>
            <w:vAlign w:val="center"/>
          </w:tcPr>
          <w:p>
            <w:pPr>
              <w:pStyle w:val="33"/>
            </w:pPr>
            <w:r>
              <w:rPr>
                <w:rFonts w:hint="eastAsia"/>
              </w:rPr>
              <w:t>/</w:t>
            </w:r>
          </w:p>
        </w:tc>
        <w:tc>
          <w:tcPr>
            <w:tcW w:w="950" w:type="pct"/>
            <w:noWrap/>
            <w:vAlign w:val="center"/>
          </w:tcPr>
          <w:p>
            <w:pPr>
              <w:pStyle w:val="33"/>
            </w:pPr>
            <w:r>
              <w:rPr>
                <w:rFonts w:hint="eastAsia"/>
              </w:rPr>
              <w:t>/</w:t>
            </w:r>
          </w:p>
        </w:tc>
        <w:tc>
          <w:tcPr>
            <w:tcW w:w="1484" w:type="pct"/>
            <w:noWrap/>
            <w:vAlign w:val="center"/>
          </w:tcPr>
          <w:p>
            <w:pPr>
              <w:pStyle w:val="33"/>
            </w:pPr>
            <w:r>
              <w:rPr>
                <w:rFonts w:hint="eastAsia"/>
              </w:rPr>
              <w:t>云南宏泰新型材料有限公司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2</w:t>
            </w:r>
          </w:p>
        </w:tc>
        <w:tc>
          <w:tcPr>
            <w:tcW w:w="693" w:type="pct"/>
            <w:vAlign w:val="center"/>
          </w:tcPr>
          <w:p>
            <w:pPr>
              <w:pStyle w:val="33"/>
            </w:pPr>
            <w:r>
              <w:rPr>
                <w:rFonts w:hint="eastAsia"/>
              </w:rPr>
              <w:t>冷料</w:t>
            </w:r>
          </w:p>
        </w:tc>
        <w:tc>
          <w:tcPr>
            <w:tcW w:w="575" w:type="pct"/>
            <w:vAlign w:val="center"/>
          </w:tcPr>
          <w:p>
            <w:pPr>
              <w:pStyle w:val="33"/>
            </w:pPr>
            <w:r>
              <w:rPr>
                <w:rFonts w:hint="eastAsia"/>
              </w:rPr>
              <w:t>6000</w:t>
            </w:r>
          </w:p>
        </w:tc>
        <w:tc>
          <w:tcPr>
            <w:tcW w:w="558" w:type="pct"/>
            <w:vAlign w:val="center"/>
          </w:tcPr>
          <w:p>
            <w:pPr>
              <w:pStyle w:val="33"/>
            </w:pPr>
            <w:r>
              <w:t>7</w:t>
            </w:r>
          </w:p>
        </w:tc>
        <w:tc>
          <w:tcPr>
            <w:tcW w:w="487" w:type="pct"/>
            <w:vAlign w:val="center"/>
          </w:tcPr>
          <w:p>
            <w:pPr>
              <w:pStyle w:val="33"/>
            </w:pPr>
            <w:r>
              <w:rPr>
                <w:rFonts w:hint="eastAsia"/>
              </w:rPr>
              <w:t>127.3</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sz w:val="18"/>
                <w:szCs w:val="18"/>
              </w:rPr>
              <w:t>下游铝深加工企业边角料、废铝屑及外部收购废铝料（铝白料，不含塑料等其他材料）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3</w:t>
            </w:r>
          </w:p>
        </w:tc>
        <w:tc>
          <w:tcPr>
            <w:tcW w:w="693" w:type="pct"/>
            <w:vAlign w:val="center"/>
          </w:tcPr>
          <w:p>
            <w:pPr>
              <w:pStyle w:val="33"/>
            </w:pPr>
            <w:r>
              <w:rPr>
                <w:rFonts w:hint="eastAsia"/>
              </w:rPr>
              <w:t>镁锭</w:t>
            </w:r>
          </w:p>
        </w:tc>
        <w:tc>
          <w:tcPr>
            <w:tcW w:w="575" w:type="pct"/>
            <w:vAlign w:val="center"/>
          </w:tcPr>
          <w:p>
            <w:pPr>
              <w:pStyle w:val="33"/>
            </w:pPr>
            <w:r>
              <w:rPr>
                <w:rFonts w:hint="eastAsia"/>
              </w:rPr>
              <w:t>0.94</w:t>
            </w:r>
          </w:p>
        </w:tc>
        <w:tc>
          <w:tcPr>
            <w:tcW w:w="558" w:type="pct"/>
            <w:vAlign w:val="center"/>
          </w:tcPr>
          <w:p>
            <w:pPr>
              <w:pStyle w:val="33"/>
            </w:pPr>
            <w:r>
              <w:t>30</w:t>
            </w:r>
          </w:p>
        </w:tc>
        <w:tc>
          <w:tcPr>
            <w:tcW w:w="487" w:type="pct"/>
            <w:vAlign w:val="center"/>
          </w:tcPr>
          <w:p>
            <w:pPr>
              <w:pStyle w:val="33"/>
            </w:pPr>
            <w:r>
              <w:rPr>
                <w:rFonts w:hint="eastAsia"/>
              </w:rPr>
              <w:t>0.085</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4</w:t>
            </w:r>
          </w:p>
        </w:tc>
        <w:tc>
          <w:tcPr>
            <w:tcW w:w="693" w:type="pct"/>
            <w:vAlign w:val="center"/>
          </w:tcPr>
          <w:p>
            <w:pPr>
              <w:pStyle w:val="33"/>
            </w:pPr>
            <w:r>
              <w:rPr>
                <w:rFonts w:hint="eastAsia"/>
              </w:rPr>
              <w:t>锌锭</w:t>
            </w:r>
          </w:p>
        </w:tc>
        <w:tc>
          <w:tcPr>
            <w:tcW w:w="575" w:type="pct"/>
            <w:vAlign w:val="center"/>
          </w:tcPr>
          <w:p>
            <w:pPr>
              <w:pStyle w:val="33"/>
            </w:pPr>
            <w:r>
              <w:rPr>
                <w:rFonts w:hint="eastAsia"/>
              </w:rPr>
              <w:t>0.031</w:t>
            </w:r>
          </w:p>
        </w:tc>
        <w:tc>
          <w:tcPr>
            <w:tcW w:w="558" w:type="pct"/>
            <w:vAlign w:val="center"/>
          </w:tcPr>
          <w:p>
            <w:pPr>
              <w:pStyle w:val="33"/>
            </w:pPr>
            <w:r>
              <w:rPr>
                <w:rFonts w:hint="eastAsia"/>
              </w:rPr>
              <w:t>60</w:t>
            </w:r>
          </w:p>
        </w:tc>
        <w:tc>
          <w:tcPr>
            <w:tcW w:w="487" w:type="pct"/>
            <w:vAlign w:val="center"/>
          </w:tcPr>
          <w:p>
            <w:pPr>
              <w:pStyle w:val="33"/>
            </w:pPr>
            <w:r>
              <w:rPr>
                <w:rFonts w:hint="eastAsia"/>
              </w:rPr>
              <w:t>0.006</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5</w:t>
            </w:r>
          </w:p>
        </w:tc>
        <w:tc>
          <w:tcPr>
            <w:tcW w:w="693" w:type="pct"/>
            <w:vAlign w:val="center"/>
          </w:tcPr>
          <w:p>
            <w:pPr>
              <w:pStyle w:val="33"/>
            </w:pPr>
            <w:r>
              <w:rPr>
                <w:rFonts w:hint="eastAsia"/>
              </w:rPr>
              <w:t>铁剂</w:t>
            </w:r>
          </w:p>
        </w:tc>
        <w:tc>
          <w:tcPr>
            <w:tcW w:w="575" w:type="pct"/>
            <w:vAlign w:val="center"/>
          </w:tcPr>
          <w:p>
            <w:pPr>
              <w:pStyle w:val="33"/>
            </w:pPr>
            <w:r>
              <w:rPr>
                <w:rFonts w:hint="eastAsia"/>
              </w:rPr>
              <w:t>347.28</w:t>
            </w:r>
          </w:p>
        </w:tc>
        <w:tc>
          <w:tcPr>
            <w:tcW w:w="558" w:type="pct"/>
            <w:vAlign w:val="center"/>
          </w:tcPr>
          <w:p>
            <w:pPr>
              <w:pStyle w:val="33"/>
            </w:pPr>
            <w:r>
              <w:t>15</w:t>
            </w:r>
          </w:p>
        </w:tc>
        <w:tc>
          <w:tcPr>
            <w:tcW w:w="487" w:type="pct"/>
            <w:vAlign w:val="center"/>
          </w:tcPr>
          <w:p>
            <w:pPr>
              <w:pStyle w:val="33"/>
            </w:pPr>
            <w:r>
              <w:rPr>
                <w:rFonts w:hint="eastAsia"/>
              </w:rPr>
              <w:t>15.7</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6</w:t>
            </w:r>
          </w:p>
        </w:tc>
        <w:tc>
          <w:tcPr>
            <w:tcW w:w="693" w:type="pct"/>
            <w:vAlign w:val="center"/>
          </w:tcPr>
          <w:p>
            <w:pPr>
              <w:pStyle w:val="33"/>
            </w:pPr>
            <w:r>
              <w:rPr>
                <w:rFonts w:hint="eastAsia"/>
              </w:rPr>
              <w:t>锰剂</w:t>
            </w:r>
          </w:p>
        </w:tc>
        <w:tc>
          <w:tcPr>
            <w:tcW w:w="575" w:type="pct"/>
            <w:vAlign w:val="center"/>
          </w:tcPr>
          <w:p>
            <w:pPr>
              <w:pStyle w:val="33"/>
            </w:pPr>
            <w:r>
              <w:rPr>
                <w:rFonts w:hint="eastAsia"/>
              </w:rPr>
              <w:t>240.84</w:t>
            </w:r>
          </w:p>
        </w:tc>
        <w:tc>
          <w:tcPr>
            <w:tcW w:w="558" w:type="pct"/>
            <w:vAlign w:val="center"/>
          </w:tcPr>
          <w:p>
            <w:pPr>
              <w:pStyle w:val="33"/>
            </w:pPr>
            <w:r>
              <w:t>15</w:t>
            </w:r>
          </w:p>
        </w:tc>
        <w:tc>
          <w:tcPr>
            <w:tcW w:w="487" w:type="pct"/>
            <w:vAlign w:val="center"/>
          </w:tcPr>
          <w:p>
            <w:pPr>
              <w:pStyle w:val="33"/>
            </w:pPr>
            <w:r>
              <w:rPr>
                <w:rFonts w:hint="eastAsia"/>
              </w:rPr>
              <w:t>10.9</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7</w:t>
            </w:r>
          </w:p>
        </w:tc>
        <w:tc>
          <w:tcPr>
            <w:tcW w:w="693" w:type="pct"/>
            <w:vAlign w:val="center"/>
          </w:tcPr>
          <w:p>
            <w:pPr>
              <w:pStyle w:val="33"/>
            </w:pPr>
            <w:r>
              <w:rPr>
                <w:rFonts w:hint="eastAsia"/>
              </w:rPr>
              <w:t>钛剂</w:t>
            </w:r>
          </w:p>
        </w:tc>
        <w:tc>
          <w:tcPr>
            <w:tcW w:w="575" w:type="pct"/>
            <w:vAlign w:val="center"/>
          </w:tcPr>
          <w:p>
            <w:pPr>
              <w:pStyle w:val="33"/>
            </w:pPr>
            <w:r>
              <w:rPr>
                <w:rFonts w:hint="eastAsia"/>
              </w:rPr>
              <w:t>5.51</w:t>
            </w:r>
          </w:p>
        </w:tc>
        <w:tc>
          <w:tcPr>
            <w:tcW w:w="558" w:type="pct"/>
            <w:vAlign w:val="center"/>
          </w:tcPr>
          <w:p>
            <w:pPr>
              <w:pStyle w:val="33"/>
            </w:pPr>
            <w:r>
              <w:t>30</w:t>
            </w:r>
          </w:p>
        </w:tc>
        <w:tc>
          <w:tcPr>
            <w:tcW w:w="487" w:type="pct"/>
            <w:vAlign w:val="center"/>
          </w:tcPr>
          <w:p>
            <w:pPr>
              <w:pStyle w:val="33"/>
            </w:pPr>
            <w:r>
              <w:rPr>
                <w:rFonts w:hint="eastAsia"/>
              </w:rPr>
              <w:t>0.50</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8</w:t>
            </w:r>
          </w:p>
        </w:tc>
        <w:tc>
          <w:tcPr>
            <w:tcW w:w="693" w:type="pct"/>
            <w:vAlign w:val="center"/>
          </w:tcPr>
          <w:p>
            <w:pPr>
              <w:pStyle w:val="33"/>
            </w:pPr>
            <w:r>
              <w:rPr>
                <w:rFonts w:hint="eastAsia"/>
              </w:rPr>
              <w:t>速溶硅</w:t>
            </w:r>
          </w:p>
        </w:tc>
        <w:tc>
          <w:tcPr>
            <w:tcW w:w="575" w:type="pct"/>
            <w:vAlign w:val="center"/>
          </w:tcPr>
          <w:p>
            <w:pPr>
              <w:pStyle w:val="33"/>
            </w:pPr>
            <w:r>
              <w:rPr>
                <w:rFonts w:hint="eastAsia"/>
              </w:rPr>
              <w:t>86.96</w:t>
            </w:r>
          </w:p>
        </w:tc>
        <w:tc>
          <w:tcPr>
            <w:tcW w:w="558" w:type="pct"/>
            <w:vAlign w:val="center"/>
          </w:tcPr>
          <w:p>
            <w:pPr>
              <w:pStyle w:val="33"/>
            </w:pPr>
            <w:r>
              <w:t>30</w:t>
            </w:r>
          </w:p>
        </w:tc>
        <w:tc>
          <w:tcPr>
            <w:tcW w:w="487" w:type="pct"/>
            <w:vAlign w:val="center"/>
          </w:tcPr>
          <w:p>
            <w:pPr>
              <w:pStyle w:val="33"/>
            </w:pPr>
            <w:r>
              <w:rPr>
                <w:rFonts w:hint="eastAsia"/>
              </w:rPr>
              <w:t>7.9</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9</w:t>
            </w:r>
          </w:p>
        </w:tc>
        <w:tc>
          <w:tcPr>
            <w:tcW w:w="693" w:type="pct"/>
            <w:vAlign w:val="center"/>
          </w:tcPr>
          <w:p>
            <w:pPr>
              <w:pStyle w:val="33"/>
            </w:pPr>
            <w:r>
              <w:rPr>
                <w:rFonts w:hint="eastAsia"/>
              </w:rPr>
              <w:t>铝钛硼丝</w:t>
            </w:r>
          </w:p>
        </w:tc>
        <w:tc>
          <w:tcPr>
            <w:tcW w:w="575" w:type="pct"/>
            <w:vAlign w:val="center"/>
          </w:tcPr>
          <w:p>
            <w:pPr>
              <w:pStyle w:val="32"/>
            </w:pPr>
            <w:r>
              <w:rPr>
                <w:rFonts w:hint="eastAsia"/>
              </w:rPr>
              <w:t>143.52</w:t>
            </w:r>
          </w:p>
        </w:tc>
        <w:tc>
          <w:tcPr>
            <w:tcW w:w="558" w:type="pct"/>
            <w:vAlign w:val="center"/>
          </w:tcPr>
          <w:p>
            <w:pPr>
              <w:pStyle w:val="33"/>
            </w:pPr>
            <w:r>
              <w:t>30</w:t>
            </w:r>
          </w:p>
        </w:tc>
        <w:tc>
          <w:tcPr>
            <w:tcW w:w="487" w:type="pct"/>
            <w:vAlign w:val="center"/>
          </w:tcPr>
          <w:p>
            <w:pPr>
              <w:pStyle w:val="33"/>
            </w:pPr>
            <w:r>
              <w:rPr>
                <w:rFonts w:hint="eastAsia"/>
              </w:rPr>
              <w:t>13.04</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10</w:t>
            </w:r>
          </w:p>
        </w:tc>
        <w:tc>
          <w:tcPr>
            <w:tcW w:w="693" w:type="pct"/>
            <w:vAlign w:val="center"/>
          </w:tcPr>
          <w:p>
            <w:pPr>
              <w:pStyle w:val="33"/>
            </w:pPr>
            <w:r>
              <w:rPr>
                <w:rFonts w:hint="eastAsia"/>
              </w:rPr>
              <w:t>铝锰合金</w:t>
            </w:r>
          </w:p>
        </w:tc>
        <w:tc>
          <w:tcPr>
            <w:tcW w:w="575" w:type="pct"/>
            <w:vAlign w:val="center"/>
          </w:tcPr>
          <w:p>
            <w:pPr>
              <w:pStyle w:val="32"/>
            </w:pPr>
            <w:r>
              <w:rPr>
                <w:rFonts w:hint="eastAsia"/>
              </w:rPr>
              <w:t>0.348</w:t>
            </w:r>
          </w:p>
        </w:tc>
        <w:tc>
          <w:tcPr>
            <w:tcW w:w="558" w:type="pct"/>
            <w:vAlign w:val="center"/>
          </w:tcPr>
          <w:p>
            <w:pPr>
              <w:pStyle w:val="33"/>
            </w:pPr>
            <w:r>
              <w:rPr>
                <w:rFonts w:hint="eastAsia"/>
              </w:rPr>
              <w:t>30</w:t>
            </w:r>
          </w:p>
        </w:tc>
        <w:tc>
          <w:tcPr>
            <w:tcW w:w="487" w:type="pct"/>
            <w:vAlign w:val="center"/>
          </w:tcPr>
          <w:p>
            <w:pPr>
              <w:pStyle w:val="33"/>
            </w:pPr>
            <w:r>
              <w:rPr>
                <w:rFonts w:hint="eastAsia"/>
              </w:rPr>
              <w:t>0.032</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11</w:t>
            </w:r>
          </w:p>
        </w:tc>
        <w:tc>
          <w:tcPr>
            <w:tcW w:w="693" w:type="pct"/>
            <w:vAlign w:val="center"/>
          </w:tcPr>
          <w:p>
            <w:pPr>
              <w:pStyle w:val="33"/>
            </w:pPr>
            <w:r>
              <w:rPr>
                <w:rFonts w:hint="eastAsia"/>
              </w:rPr>
              <w:t>铝硅合金</w:t>
            </w:r>
          </w:p>
        </w:tc>
        <w:tc>
          <w:tcPr>
            <w:tcW w:w="575" w:type="pct"/>
            <w:vAlign w:val="center"/>
          </w:tcPr>
          <w:p>
            <w:pPr>
              <w:pStyle w:val="32"/>
            </w:pPr>
            <w:r>
              <w:rPr>
                <w:rFonts w:hint="eastAsia"/>
              </w:rPr>
              <w:t>0.219</w:t>
            </w:r>
          </w:p>
        </w:tc>
        <w:tc>
          <w:tcPr>
            <w:tcW w:w="558" w:type="pct"/>
            <w:vAlign w:val="center"/>
          </w:tcPr>
          <w:p>
            <w:pPr>
              <w:pStyle w:val="33"/>
            </w:pPr>
            <w:r>
              <w:rPr>
                <w:rFonts w:hint="eastAsia"/>
              </w:rPr>
              <w:t>30</w:t>
            </w:r>
          </w:p>
        </w:tc>
        <w:tc>
          <w:tcPr>
            <w:tcW w:w="487" w:type="pct"/>
            <w:vAlign w:val="center"/>
          </w:tcPr>
          <w:p>
            <w:pPr>
              <w:pStyle w:val="33"/>
            </w:pPr>
            <w:r>
              <w:rPr>
                <w:rFonts w:hint="eastAsia"/>
              </w:rPr>
              <w:t>0.02</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12</w:t>
            </w:r>
          </w:p>
        </w:tc>
        <w:tc>
          <w:tcPr>
            <w:tcW w:w="693" w:type="pct"/>
            <w:vAlign w:val="center"/>
          </w:tcPr>
          <w:p>
            <w:pPr>
              <w:pStyle w:val="33"/>
            </w:pPr>
            <w:r>
              <w:rPr>
                <w:rFonts w:hint="eastAsia"/>
              </w:rPr>
              <w:t>铝钛合金</w:t>
            </w:r>
          </w:p>
        </w:tc>
        <w:tc>
          <w:tcPr>
            <w:tcW w:w="575" w:type="pct"/>
            <w:vAlign w:val="center"/>
          </w:tcPr>
          <w:p>
            <w:pPr>
              <w:pStyle w:val="32"/>
            </w:pPr>
            <w:r>
              <w:rPr>
                <w:rFonts w:hint="eastAsia"/>
              </w:rPr>
              <w:t>8.87</w:t>
            </w:r>
          </w:p>
        </w:tc>
        <w:tc>
          <w:tcPr>
            <w:tcW w:w="558" w:type="pct"/>
            <w:vAlign w:val="center"/>
          </w:tcPr>
          <w:p>
            <w:pPr>
              <w:pStyle w:val="33"/>
            </w:pPr>
            <w:r>
              <w:rPr>
                <w:rFonts w:hint="eastAsia"/>
              </w:rPr>
              <w:t>30</w:t>
            </w:r>
          </w:p>
        </w:tc>
        <w:tc>
          <w:tcPr>
            <w:tcW w:w="487" w:type="pct"/>
            <w:vAlign w:val="center"/>
          </w:tcPr>
          <w:p>
            <w:pPr>
              <w:pStyle w:val="33"/>
            </w:pPr>
            <w:r>
              <w:rPr>
                <w:rFonts w:hint="eastAsia"/>
              </w:rPr>
              <w:t>0.8</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13</w:t>
            </w:r>
          </w:p>
        </w:tc>
        <w:tc>
          <w:tcPr>
            <w:tcW w:w="693" w:type="pct"/>
            <w:vAlign w:val="center"/>
          </w:tcPr>
          <w:p>
            <w:pPr>
              <w:pStyle w:val="33"/>
            </w:pPr>
            <w:r>
              <w:rPr>
                <w:rFonts w:hint="eastAsia"/>
              </w:rPr>
              <w:t>铝铁合金</w:t>
            </w:r>
          </w:p>
        </w:tc>
        <w:tc>
          <w:tcPr>
            <w:tcW w:w="575" w:type="pct"/>
            <w:vAlign w:val="center"/>
          </w:tcPr>
          <w:p>
            <w:pPr>
              <w:pStyle w:val="32"/>
            </w:pPr>
            <w:r>
              <w:rPr>
                <w:rFonts w:hint="eastAsia"/>
              </w:rPr>
              <w:t>0.96</w:t>
            </w:r>
          </w:p>
        </w:tc>
        <w:tc>
          <w:tcPr>
            <w:tcW w:w="558" w:type="pct"/>
            <w:vAlign w:val="center"/>
          </w:tcPr>
          <w:p>
            <w:pPr>
              <w:pStyle w:val="33"/>
            </w:pPr>
            <w:r>
              <w:rPr>
                <w:rFonts w:hint="eastAsia"/>
              </w:rPr>
              <w:t>30</w:t>
            </w:r>
          </w:p>
        </w:tc>
        <w:tc>
          <w:tcPr>
            <w:tcW w:w="487" w:type="pct"/>
            <w:vAlign w:val="center"/>
          </w:tcPr>
          <w:p>
            <w:pPr>
              <w:pStyle w:val="33"/>
            </w:pPr>
            <w:r>
              <w:rPr>
                <w:rFonts w:hint="eastAsia"/>
              </w:rPr>
              <w:t>0.09</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14</w:t>
            </w:r>
          </w:p>
        </w:tc>
        <w:tc>
          <w:tcPr>
            <w:tcW w:w="693" w:type="pct"/>
            <w:vAlign w:val="center"/>
          </w:tcPr>
          <w:p>
            <w:pPr>
              <w:pStyle w:val="33"/>
            </w:pPr>
            <w:r>
              <w:rPr>
                <w:rFonts w:hint="eastAsia"/>
              </w:rPr>
              <w:t>精炼剂</w:t>
            </w:r>
          </w:p>
        </w:tc>
        <w:tc>
          <w:tcPr>
            <w:tcW w:w="575" w:type="pct"/>
            <w:vAlign w:val="center"/>
          </w:tcPr>
          <w:p>
            <w:pPr>
              <w:pStyle w:val="32"/>
            </w:pPr>
            <w:r>
              <w:rPr>
                <w:rFonts w:hint="eastAsia"/>
              </w:rPr>
              <w:t>6</w:t>
            </w:r>
          </w:p>
        </w:tc>
        <w:tc>
          <w:tcPr>
            <w:tcW w:w="558" w:type="pct"/>
            <w:vAlign w:val="center"/>
          </w:tcPr>
          <w:p>
            <w:pPr>
              <w:pStyle w:val="33"/>
            </w:pPr>
            <w:r>
              <w:rPr>
                <w:rFonts w:hint="eastAsia"/>
              </w:rPr>
              <w:t>30</w:t>
            </w:r>
          </w:p>
        </w:tc>
        <w:tc>
          <w:tcPr>
            <w:tcW w:w="487" w:type="pct"/>
            <w:vAlign w:val="center"/>
          </w:tcPr>
          <w:p>
            <w:pPr>
              <w:pStyle w:val="33"/>
            </w:pPr>
            <w:r>
              <w:rPr>
                <w:rFonts w:hint="eastAsia"/>
              </w:rPr>
              <w:t>0.54</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15</w:t>
            </w:r>
          </w:p>
        </w:tc>
        <w:tc>
          <w:tcPr>
            <w:tcW w:w="693" w:type="pct"/>
            <w:vAlign w:val="center"/>
          </w:tcPr>
          <w:p>
            <w:pPr>
              <w:pStyle w:val="32"/>
              <w:spacing w:before="0" w:after="0"/>
            </w:pPr>
            <w:r>
              <w:rPr>
                <w:rFonts w:hint="eastAsia"/>
              </w:rPr>
              <w:t>过滤板</w:t>
            </w:r>
          </w:p>
        </w:tc>
        <w:tc>
          <w:tcPr>
            <w:tcW w:w="575" w:type="pct"/>
            <w:vAlign w:val="center"/>
          </w:tcPr>
          <w:p>
            <w:pPr>
              <w:pStyle w:val="32"/>
            </w:pPr>
            <w:r>
              <w:rPr>
                <w:rFonts w:hint="eastAsia"/>
              </w:rPr>
              <w:t>1</w:t>
            </w:r>
          </w:p>
        </w:tc>
        <w:tc>
          <w:tcPr>
            <w:tcW w:w="558" w:type="pct"/>
            <w:vAlign w:val="center"/>
          </w:tcPr>
          <w:p>
            <w:pPr>
              <w:pStyle w:val="32"/>
              <w:spacing w:before="0" w:after="0"/>
            </w:pPr>
            <w:r>
              <w:rPr>
                <w:rFonts w:hint="eastAsia"/>
              </w:rPr>
              <w:t>/</w:t>
            </w:r>
          </w:p>
        </w:tc>
        <w:tc>
          <w:tcPr>
            <w:tcW w:w="487" w:type="pct"/>
            <w:vAlign w:val="center"/>
          </w:tcPr>
          <w:p>
            <w:pPr>
              <w:pStyle w:val="32"/>
              <w:spacing w:before="0" w:after="0"/>
            </w:pPr>
            <w:r>
              <w:rPr>
                <w:rFonts w:hint="eastAsia"/>
              </w:rPr>
              <w:t>0.5</w:t>
            </w:r>
          </w:p>
        </w:tc>
        <w:tc>
          <w:tcPr>
            <w:tcW w:w="950" w:type="pct"/>
            <w:noWrap/>
            <w:vAlign w:val="center"/>
          </w:tcPr>
          <w:p>
            <w:pPr>
              <w:pStyle w:val="33"/>
            </w:pPr>
            <w:r>
              <w:rPr>
                <w:rFonts w:hint="eastAsia"/>
              </w:rPr>
              <w:t>仓库</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16</w:t>
            </w:r>
          </w:p>
        </w:tc>
        <w:tc>
          <w:tcPr>
            <w:tcW w:w="693" w:type="pct"/>
            <w:vAlign w:val="center"/>
          </w:tcPr>
          <w:p>
            <w:pPr>
              <w:pStyle w:val="32"/>
              <w:spacing w:before="0" w:after="0"/>
            </w:pPr>
            <w:r>
              <w:rPr>
                <w:rFonts w:hint="eastAsia"/>
              </w:rPr>
              <w:t>氮气</w:t>
            </w:r>
          </w:p>
        </w:tc>
        <w:tc>
          <w:tcPr>
            <w:tcW w:w="575" w:type="pct"/>
            <w:vAlign w:val="center"/>
          </w:tcPr>
          <w:p>
            <w:pPr>
              <w:pStyle w:val="32"/>
            </w:pPr>
            <w:r>
              <w:rPr>
                <w:rFonts w:hint="eastAsia"/>
              </w:rPr>
              <w:t>200</w:t>
            </w:r>
          </w:p>
        </w:tc>
        <w:tc>
          <w:tcPr>
            <w:tcW w:w="558" w:type="pct"/>
            <w:vAlign w:val="center"/>
          </w:tcPr>
          <w:p>
            <w:pPr>
              <w:pStyle w:val="32"/>
              <w:spacing w:before="0" w:after="0"/>
            </w:pPr>
            <w:r>
              <w:rPr>
                <w:rFonts w:hint="eastAsia"/>
              </w:rPr>
              <w:t>/</w:t>
            </w:r>
          </w:p>
        </w:tc>
        <w:tc>
          <w:tcPr>
            <w:tcW w:w="487" w:type="pct"/>
            <w:vAlign w:val="center"/>
          </w:tcPr>
          <w:p>
            <w:pPr>
              <w:pStyle w:val="32"/>
              <w:spacing w:before="0" w:after="0"/>
            </w:pPr>
            <w:r>
              <w:rPr>
                <w:rFonts w:hint="eastAsia"/>
              </w:rPr>
              <w:t>13</w:t>
            </w:r>
          </w:p>
        </w:tc>
        <w:tc>
          <w:tcPr>
            <w:tcW w:w="950" w:type="pct"/>
            <w:noWrap/>
            <w:vAlign w:val="center"/>
          </w:tcPr>
          <w:p>
            <w:pPr>
              <w:pStyle w:val="32"/>
              <w:spacing w:before="0" w:after="0"/>
            </w:pPr>
            <w:r>
              <w:rPr>
                <w:rFonts w:hint="eastAsia"/>
              </w:rPr>
              <w:t>氮气储罐</w:t>
            </w:r>
          </w:p>
        </w:tc>
        <w:tc>
          <w:tcPr>
            <w:tcW w:w="1484" w:type="pct"/>
            <w:noWrap/>
            <w:vAlign w:val="center"/>
          </w:tcPr>
          <w:p>
            <w:pPr>
              <w:pStyle w:val="33"/>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17</w:t>
            </w:r>
          </w:p>
        </w:tc>
        <w:tc>
          <w:tcPr>
            <w:tcW w:w="693" w:type="pct"/>
            <w:vAlign w:val="center"/>
          </w:tcPr>
          <w:p>
            <w:pPr>
              <w:pStyle w:val="32"/>
              <w:spacing w:before="0" w:after="0"/>
            </w:pPr>
            <w:r>
              <w:rPr>
                <w:rFonts w:hint="eastAsia"/>
              </w:rPr>
              <w:t>液化石油气</w:t>
            </w:r>
          </w:p>
        </w:tc>
        <w:tc>
          <w:tcPr>
            <w:tcW w:w="575" w:type="pct"/>
            <w:vAlign w:val="center"/>
          </w:tcPr>
          <w:p>
            <w:pPr>
              <w:pStyle w:val="32"/>
              <w:spacing w:before="0" w:after="0"/>
            </w:pPr>
            <w:r>
              <w:rPr>
                <w:rFonts w:hint="eastAsia"/>
              </w:rPr>
              <w:t>30</w:t>
            </w:r>
          </w:p>
        </w:tc>
        <w:tc>
          <w:tcPr>
            <w:tcW w:w="558" w:type="pct"/>
            <w:vAlign w:val="center"/>
          </w:tcPr>
          <w:p>
            <w:pPr>
              <w:pStyle w:val="32"/>
              <w:spacing w:before="0" w:after="0"/>
            </w:pPr>
            <w:r>
              <w:rPr>
                <w:rFonts w:hint="eastAsia"/>
              </w:rPr>
              <w:t>/</w:t>
            </w:r>
          </w:p>
        </w:tc>
        <w:tc>
          <w:tcPr>
            <w:tcW w:w="487" w:type="pct"/>
            <w:vAlign w:val="center"/>
          </w:tcPr>
          <w:p>
            <w:pPr>
              <w:pStyle w:val="32"/>
              <w:spacing w:before="0" w:after="0"/>
            </w:pPr>
            <w:r>
              <w:rPr>
                <w:rFonts w:hint="eastAsia"/>
              </w:rPr>
              <w:t>1</w:t>
            </w:r>
          </w:p>
        </w:tc>
        <w:tc>
          <w:tcPr>
            <w:tcW w:w="950" w:type="pct"/>
            <w:noWrap/>
            <w:vAlign w:val="center"/>
          </w:tcPr>
          <w:p>
            <w:pPr>
              <w:pStyle w:val="32"/>
              <w:spacing w:before="0" w:after="0"/>
            </w:pPr>
            <w:r>
              <w:rPr>
                <w:rFonts w:hint="eastAsia"/>
              </w:rPr>
              <w:t>液化石油气储存区，钢瓶储存</w:t>
            </w:r>
          </w:p>
        </w:tc>
        <w:tc>
          <w:tcPr>
            <w:tcW w:w="1484" w:type="pct"/>
            <w:noWrap/>
            <w:vAlign w:val="center"/>
          </w:tcPr>
          <w:p>
            <w:pPr>
              <w:pStyle w:val="32"/>
              <w:spacing w:before="0" w:after="0"/>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top"/>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24</w:t>
            </w:r>
          </w:p>
        </w:tc>
        <w:tc>
          <w:tcPr>
            <w:tcW w:w="693" w:type="pct"/>
            <w:vAlign w:val="top"/>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片碱</w:t>
            </w:r>
          </w:p>
        </w:tc>
        <w:tc>
          <w:tcPr>
            <w:tcW w:w="575" w:type="pct"/>
            <w:vAlign w:val="top"/>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0.25</w:t>
            </w:r>
          </w:p>
        </w:tc>
        <w:tc>
          <w:tcPr>
            <w:tcW w:w="558" w:type="pct"/>
            <w:vAlign w:val="center"/>
          </w:tcPr>
          <w:p>
            <w:pPr>
              <w:pStyle w:val="32"/>
              <w:spacing w:before="0" w:after="0"/>
              <w:rPr>
                <w:rFonts w:hint="eastAsia" w:ascii="Times New Roman" w:hAnsi="Times New Roman" w:eastAsia="宋体" w:cs="Times New Roman"/>
                <w:color w:val="auto"/>
                <w:kern w:val="2"/>
                <w:sz w:val="21"/>
                <w:szCs w:val="24"/>
                <w:lang w:val="en-US" w:eastAsia="zh-CN" w:bidi="ar-SA"/>
              </w:rPr>
            </w:pPr>
            <w:r>
              <w:rPr>
                <w:rFonts w:hint="eastAsia"/>
                <w:color w:val="auto"/>
              </w:rPr>
              <w:t>/</w:t>
            </w:r>
          </w:p>
        </w:tc>
        <w:tc>
          <w:tcPr>
            <w:tcW w:w="487"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7.5</w:t>
            </w:r>
            <w:r>
              <w:rPr>
                <w:rFonts w:hint="eastAsia"/>
                <w:color w:val="auto"/>
              </w:rPr>
              <w:t>kg</w:t>
            </w:r>
          </w:p>
        </w:tc>
        <w:tc>
          <w:tcPr>
            <w:tcW w:w="950" w:type="pct"/>
            <w:vMerge w:val="restart"/>
            <w:vAlign w:val="center"/>
          </w:tcPr>
          <w:p>
            <w:pPr>
              <w:pStyle w:val="32"/>
              <w:spacing w:before="0" w:after="0"/>
              <w:rPr>
                <w:rFonts w:hint="eastAsia"/>
                <w:color w:val="auto"/>
              </w:rPr>
            </w:pPr>
            <w:r>
              <w:rPr>
                <w:rFonts w:hint="eastAsia"/>
                <w:color w:val="auto"/>
                <w:lang w:val="en-US" w:eastAsia="zh-CN"/>
              </w:rPr>
              <w:t>质检</w:t>
            </w:r>
            <w:r>
              <w:rPr>
                <w:rFonts w:hint="eastAsia"/>
                <w:color w:val="auto"/>
              </w:rPr>
              <w:t>室内储罐储存，用于低倍实验</w:t>
            </w:r>
          </w:p>
        </w:tc>
        <w:tc>
          <w:tcPr>
            <w:tcW w:w="1484" w:type="pct"/>
            <w:noWrap/>
            <w:vAlign w:val="center"/>
          </w:tcPr>
          <w:p>
            <w:pPr>
              <w:pStyle w:val="32"/>
              <w:spacing w:before="0" w:after="0"/>
              <w:rPr>
                <w:rFonts w:ascii="Times New Roman" w:hAnsi="Times New Roman" w:eastAsia="宋体" w:cs="Times New Roman"/>
                <w:kern w:val="2"/>
                <w:sz w:val="21"/>
                <w:szCs w:val="24"/>
                <w:lang w:val="en-US" w:eastAsia="zh-CN" w:bidi="ar-SA"/>
              </w:rPr>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25</w:t>
            </w:r>
          </w:p>
        </w:tc>
        <w:tc>
          <w:tcPr>
            <w:tcW w:w="693"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盐酸</w:t>
            </w:r>
          </w:p>
        </w:tc>
        <w:tc>
          <w:tcPr>
            <w:tcW w:w="575" w:type="pct"/>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0.043</w:t>
            </w:r>
          </w:p>
        </w:tc>
        <w:tc>
          <w:tcPr>
            <w:tcW w:w="558" w:type="pct"/>
            <w:vAlign w:val="center"/>
          </w:tcPr>
          <w:p>
            <w:pPr>
              <w:pStyle w:val="32"/>
              <w:spacing w:before="0" w:after="0"/>
              <w:rPr>
                <w:rFonts w:hint="eastAsia" w:ascii="Times New Roman" w:hAnsi="Times New Roman" w:eastAsia="宋体" w:cs="Times New Roman"/>
                <w:color w:val="auto"/>
                <w:kern w:val="2"/>
                <w:sz w:val="21"/>
                <w:szCs w:val="24"/>
                <w:lang w:val="en-US" w:eastAsia="zh-CN" w:bidi="ar-SA"/>
              </w:rPr>
            </w:pPr>
            <w:r>
              <w:rPr>
                <w:rFonts w:hint="eastAsia"/>
                <w:color w:val="auto"/>
              </w:rPr>
              <w:t>/</w:t>
            </w:r>
          </w:p>
        </w:tc>
        <w:tc>
          <w:tcPr>
            <w:tcW w:w="487"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5</w:t>
            </w:r>
            <w:r>
              <w:rPr>
                <w:rFonts w:hint="eastAsia"/>
                <w:color w:val="auto"/>
              </w:rPr>
              <w:t>kg</w:t>
            </w:r>
          </w:p>
        </w:tc>
        <w:tc>
          <w:tcPr>
            <w:tcW w:w="950" w:type="pct"/>
            <w:vMerge w:val="continue"/>
            <w:vAlign w:val="center"/>
          </w:tcPr>
          <w:p>
            <w:pPr>
              <w:pStyle w:val="32"/>
              <w:spacing w:before="0" w:after="0"/>
              <w:rPr>
                <w:rFonts w:hint="eastAsia"/>
              </w:rPr>
            </w:pPr>
          </w:p>
        </w:tc>
        <w:tc>
          <w:tcPr>
            <w:tcW w:w="1484" w:type="pct"/>
            <w:noWrap/>
            <w:vAlign w:val="center"/>
          </w:tcPr>
          <w:p>
            <w:pPr>
              <w:pStyle w:val="32"/>
              <w:spacing w:before="0" w:after="0"/>
              <w:rPr>
                <w:rFonts w:ascii="Times New Roman" w:hAnsi="Times New Roman" w:eastAsia="宋体" w:cs="Times New Roman"/>
                <w:kern w:val="2"/>
                <w:sz w:val="21"/>
                <w:szCs w:val="24"/>
                <w:lang w:val="en-US" w:eastAsia="zh-CN" w:bidi="ar-SA"/>
              </w:rPr>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26</w:t>
            </w:r>
          </w:p>
        </w:tc>
        <w:tc>
          <w:tcPr>
            <w:tcW w:w="693"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硝酸</w:t>
            </w:r>
          </w:p>
        </w:tc>
        <w:tc>
          <w:tcPr>
            <w:tcW w:w="575" w:type="pct"/>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rPr>
              <w:t>0.0</w:t>
            </w:r>
            <w:r>
              <w:rPr>
                <w:rFonts w:hint="eastAsia"/>
                <w:color w:val="auto"/>
                <w:lang w:val="en-US" w:eastAsia="zh-CN"/>
              </w:rPr>
              <w:t>24</w:t>
            </w:r>
          </w:p>
        </w:tc>
        <w:tc>
          <w:tcPr>
            <w:tcW w:w="558" w:type="pct"/>
            <w:vAlign w:val="center"/>
          </w:tcPr>
          <w:p>
            <w:pPr>
              <w:pStyle w:val="32"/>
              <w:spacing w:before="0" w:after="0"/>
              <w:rPr>
                <w:rFonts w:hint="eastAsia" w:ascii="Times New Roman" w:hAnsi="Times New Roman" w:eastAsia="宋体" w:cs="Times New Roman"/>
                <w:color w:val="auto"/>
                <w:kern w:val="2"/>
                <w:sz w:val="21"/>
                <w:szCs w:val="24"/>
                <w:lang w:val="en-US" w:eastAsia="zh-CN" w:bidi="ar-SA"/>
              </w:rPr>
            </w:pPr>
            <w:r>
              <w:rPr>
                <w:rFonts w:hint="eastAsia"/>
                <w:color w:val="auto"/>
              </w:rPr>
              <w:t>/</w:t>
            </w:r>
          </w:p>
        </w:tc>
        <w:tc>
          <w:tcPr>
            <w:tcW w:w="487"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0.5</w:t>
            </w:r>
            <w:r>
              <w:rPr>
                <w:rFonts w:hint="eastAsia"/>
                <w:color w:val="auto"/>
              </w:rPr>
              <w:t>kg</w:t>
            </w:r>
          </w:p>
        </w:tc>
        <w:tc>
          <w:tcPr>
            <w:tcW w:w="950" w:type="pct"/>
            <w:vMerge w:val="continue"/>
            <w:vAlign w:val="center"/>
          </w:tcPr>
          <w:p>
            <w:pPr>
              <w:pStyle w:val="32"/>
              <w:spacing w:before="0" w:after="0"/>
              <w:rPr>
                <w:rFonts w:hint="eastAsia"/>
              </w:rPr>
            </w:pPr>
          </w:p>
        </w:tc>
        <w:tc>
          <w:tcPr>
            <w:tcW w:w="1484" w:type="pct"/>
            <w:noWrap/>
            <w:vAlign w:val="center"/>
          </w:tcPr>
          <w:p>
            <w:pPr>
              <w:pStyle w:val="32"/>
              <w:spacing w:before="0" w:after="0"/>
              <w:rPr>
                <w:rFonts w:ascii="Times New Roman" w:hAnsi="Times New Roman" w:eastAsia="宋体" w:cs="Times New Roman"/>
                <w:kern w:val="2"/>
                <w:sz w:val="21"/>
                <w:szCs w:val="24"/>
                <w:lang w:val="en-US" w:eastAsia="zh-CN" w:bidi="ar-SA"/>
              </w:rPr>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27</w:t>
            </w:r>
          </w:p>
        </w:tc>
        <w:tc>
          <w:tcPr>
            <w:tcW w:w="693"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氢氟酸</w:t>
            </w:r>
          </w:p>
        </w:tc>
        <w:tc>
          <w:tcPr>
            <w:tcW w:w="575" w:type="pct"/>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rPr>
              <w:t>0.0</w:t>
            </w:r>
            <w:r>
              <w:rPr>
                <w:rFonts w:hint="eastAsia"/>
                <w:color w:val="auto"/>
                <w:lang w:val="en-US" w:eastAsia="zh-CN"/>
              </w:rPr>
              <w:t>05</w:t>
            </w:r>
          </w:p>
        </w:tc>
        <w:tc>
          <w:tcPr>
            <w:tcW w:w="558"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w:t>
            </w:r>
          </w:p>
        </w:tc>
        <w:tc>
          <w:tcPr>
            <w:tcW w:w="487"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3</w:t>
            </w:r>
            <w:r>
              <w:rPr>
                <w:rFonts w:hint="eastAsia"/>
                <w:color w:val="auto"/>
              </w:rPr>
              <w:t>kg</w:t>
            </w:r>
          </w:p>
        </w:tc>
        <w:tc>
          <w:tcPr>
            <w:tcW w:w="950" w:type="pct"/>
            <w:vMerge w:val="continue"/>
            <w:vAlign w:val="center"/>
          </w:tcPr>
          <w:p>
            <w:pPr>
              <w:pStyle w:val="32"/>
              <w:spacing w:before="0" w:after="0"/>
              <w:rPr>
                <w:rFonts w:hint="eastAsia"/>
              </w:rPr>
            </w:pPr>
          </w:p>
        </w:tc>
        <w:tc>
          <w:tcPr>
            <w:tcW w:w="1484" w:type="pct"/>
            <w:noWrap/>
            <w:vAlign w:val="center"/>
          </w:tcPr>
          <w:p>
            <w:pPr>
              <w:pStyle w:val="32"/>
              <w:spacing w:before="0" w:after="0"/>
              <w:rPr>
                <w:rFonts w:ascii="Times New Roman" w:hAnsi="Times New Roman" w:eastAsia="宋体" w:cs="Times New Roman"/>
                <w:kern w:val="2"/>
                <w:sz w:val="21"/>
                <w:szCs w:val="24"/>
                <w:lang w:val="en-US" w:eastAsia="zh-CN" w:bidi="ar-SA"/>
              </w:rPr>
            </w:pPr>
            <w:r>
              <w:rPr>
                <w:rFonts w:hint="eastAsia"/>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18</w:t>
            </w:r>
          </w:p>
        </w:tc>
        <w:tc>
          <w:tcPr>
            <w:tcW w:w="693" w:type="pct"/>
            <w:vAlign w:val="center"/>
          </w:tcPr>
          <w:p>
            <w:pPr>
              <w:pStyle w:val="32"/>
              <w:spacing w:before="0" w:after="0"/>
            </w:pPr>
            <w:r>
              <w:rPr>
                <w:rFonts w:hint="eastAsia"/>
              </w:rPr>
              <w:t>水</w:t>
            </w:r>
          </w:p>
        </w:tc>
        <w:tc>
          <w:tcPr>
            <w:tcW w:w="2571" w:type="pct"/>
            <w:gridSpan w:val="4"/>
            <w:vAlign w:val="center"/>
          </w:tcPr>
          <w:p>
            <w:pPr>
              <w:pStyle w:val="32"/>
              <w:spacing w:before="0" w:after="0"/>
            </w:pPr>
            <w:r>
              <w:rPr>
                <w:rFonts w:hint="eastAsia"/>
              </w:rPr>
              <w:t>4318</w:t>
            </w:r>
            <w:r>
              <w:rPr>
                <w:szCs w:val="21"/>
              </w:rPr>
              <w:t>m</w:t>
            </w:r>
            <w:r>
              <w:rPr>
                <w:szCs w:val="21"/>
                <w:vertAlign w:val="superscript"/>
              </w:rPr>
              <w:t>3</w:t>
            </w:r>
            <w:r>
              <w:rPr>
                <w:szCs w:val="21"/>
              </w:rPr>
              <w:t>/a</w:t>
            </w:r>
          </w:p>
        </w:tc>
        <w:tc>
          <w:tcPr>
            <w:tcW w:w="1484" w:type="pct"/>
            <w:noWrap/>
            <w:vAlign w:val="center"/>
          </w:tcPr>
          <w:p>
            <w:pPr>
              <w:pStyle w:val="32"/>
              <w:spacing w:before="0" w:after="0"/>
            </w:pPr>
            <w:r>
              <w:rPr>
                <w:szCs w:val="21"/>
              </w:rPr>
              <w:t>市政自来水管网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19</w:t>
            </w:r>
          </w:p>
        </w:tc>
        <w:tc>
          <w:tcPr>
            <w:tcW w:w="693" w:type="pct"/>
            <w:vAlign w:val="center"/>
          </w:tcPr>
          <w:p>
            <w:pPr>
              <w:pStyle w:val="32"/>
              <w:spacing w:before="0" w:after="0"/>
            </w:pPr>
            <w:r>
              <w:rPr>
                <w:rFonts w:hint="eastAsia"/>
              </w:rPr>
              <w:t>电</w:t>
            </w:r>
          </w:p>
        </w:tc>
        <w:tc>
          <w:tcPr>
            <w:tcW w:w="2571" w:type="pct"/>
            <w:gridSpan w:val="4"/>
            <w:vAlign w:val="center"/>
          </w:tcPr>
          <w:p>
            <w:pPr>
              <w:pStyle w:val="32"/>
              <w:spacing w:before="0" w:after="0"/>
            </w:pPr>
            <w:r>
              <w:rPr>
                <w:rFonts w:hint="eastAsia"/>
              </w:rPr>
              <w:t>70万</w:t>
            </w:r>
            <w:r>
              <w:rPr>
                <w:szCs w:val="21"/>
              </w:rPr>
              <w:t>KWh</w:t>
            </w:r>
          </w:p>
        </w:tc>
        <w:tc>
          <w:tcPr>
            <w:tcW w:w="1484" w:type="pct"/>
            <w:noWrap/>
            <w:vAlign w:val="center"/>
          </w:tcPr>
          <w:p>
            <w:pPr>
              <w:pStyle w:val="32"/>
              <w:spacing w:before="0" w:after="0"/>
            </w:pPr>
            <w:r>
              <w:rPr>
                <w:szCs w:val="21"/>
              </w:rPr>
              <w:t>云南电网有限责任公司文山供电局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0" w:type="pct"/>
            <w:vAlign w:val="center"/>
          </w:tcPr>
          <w:p>
            <w:pPr>
              <w:pStyle w:val="32"/>
            </w:pPr>
            <w:r>
              <w:rPr>
                <w:rFonts w:hint="eastAsia"/>
              </w:rPr>
              <w:t>20</w:t>
            </w:r>
          </w:p>
        </w:tc>
        <w:tc>
          <w:tcPr>
            <w:tcW w:w="693" w:type="pct"/>
            <w:vAlign w:val="center"/>
          </w:tcPr>
          <w:p>
            <w:pPr>
              <w:pStyle w:val="32"/>
              <w:spacing w:before="0" w:after="0"/>
            </w:pPr>
            <w:r>
              <w:t>天然气</w:t>
            </w:r>
          </w:p>
        </w:tc>
        <w:tc>
          <w:tcPr>
            <w:tcW w:w="2571" w:type="pct"/>
            <w:gridSpan w:val="4"/>
            <w:vAlign w:val="center"/>
          </w:tcPr>
          <w:p>
            <w:pPr>
              <w:pStyle w:val="32"/>
              <w:spacing w:before="0" w:after="0"/>
            </w:pPr>
            <w:r>
              <w:rPr>
                <w:rFonts w:hint="eastAsia"/>
              </w:rPr>
              <w:t>570万m</w:t>
            </w:r>
            <w:r>
              <w:rPr>
                <w:rFonts w:hint="eastAsia"/>
                <w:vertAlign w:val="superscript"/>
              </w:rPr>
              <w:t>3</w:t>
            </w:r>
            <w:r>
              <w:rPr>
                <w:rFonts w:hint="eastAsia"/>
              </w:rPr>
              <w:t>/a</w:t>
            </w:r>
          </w:p>
        </w:tc>
        <w:tc>
          <w:tcPr>
            <w:tcW w:w="1484" w:type="pct"/>
            <w:noWrap/>
            <w:vAlign w:val="center"/>
          </w:tcPr>
          <w:p>
            <w:pPr>
              <w:pStyle w:val="32"/>
              <w:spacing w:before="0" w:after="0"/>
            </w:pPr>
            <w:r>
              <w:rPr>
                <w:rFonts w:hint="eastAsia"/>
                <w:szCs w:val="21"/>
              </w:rPr>
              <w:t>园区天然气管网提供</w:t>
            </w:r>
          </w:p>
        </w:tc>
      </w:tr>
    </w:tbl>
    <w:p>
      <w:pPr>
        <w:pStyle w:val="8"/>
      </w:pPr>
      <w:r>
        <w:rPr>
          <w:rFonts w:hint="eastAsia"/>
        </w:rPr>
        <w:t>3.4.2原辅材料性质</w:t>
      </w:r>
    </w:p>
    <w:p>
      <w:pPr>
        <w:spacing w:line="360" w:lineRule="auto"/>
        <w:ind w:firstLine="482"/>
      </w:pPr>
      <w:r>
        <w:rPr>
          <w:rFonts w:hint="eastAsia"/>
        </w:rPr>
        <w:t>根据建设单位提供资料，</w:t>
      </w:r>
      <w:r>
        <w:t>项目用主要原辅料成分见表</w:t>
      </w:r>
      <w:r>
        <w:rPr>
          <w:rFonts w:hint="eastAsia"/>
        </w:rPr>
        <w:t>3.4-3~3.4-11</w:t>
      </w:r>
      <w:r>
        <w:t>。</w:t>
      </w:r>
    </w:p>
    <w:p>
      <w:pPr>
        <w:pStyle w:val="41"/>
      </w:pPr>
      <w:bookmarkStart w:id="65" w:name="_Hlk44063880"/>
      <w:r>
        <w:t>表</w:t>
      </w:r>
      <w:r>
        <w:rPr>
          <w:rFonts w:hint="eastAsia"/>
        </w:rPr>
        <w:t>3.4</w:t>
      </w:r>
      <w:r>
        <w:t xml:space="preserve">-3 </w:t>
      </w:r>
      <w:r>
        <w:rPr>
          <w:rFonts w:hint="eastAsia"/>
        </w:rPr>
        <w:t xml:space="preserve"> </w:t>
      </w:r>
      <w:r>
        <w:t>项目用铝</w:t>
      </w:r>
      <w:r>
        <w:rPr>
          <w:rFonts w:hint="eastAsia"/>
        </w:rPr>
        <w:t>液</w:t>
      </w:r>
      <w:r>
        <w:t>成分分析表</w:t>
      </w:r>
    </w:p>
    <w:tbl>
      <w:tblPr>
        <w:tblStyle w:val="27"/>
        <w:tblW w:w="48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07"/>
        <w:gridCol w:w="849"/>
        <w:gridCol w:w="849"/>
        <w:gridCol w:w="849"/>
        <w:gridCol w:w="850"/>
        <w:gridCol w:w="850"/>
        <w:gridCol w:w="852"/>
        <w:gridCol w:w="852"/>
        <w:gridCol w:w="852"/>
        <w:gridCol w:w="82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424" w:type="pct"/>
            <w:vAlign w:val="center"/>
          </w:tcPr>
          <w:p>
            <w:pPr>
              <w:pStyle w:val="33"/>
            </w:pPr>
            <w:r>
              <w:t>成分</w:t>
            </w:r>
          </w:p>
        </w:tc>
        <w:tc>
          <w:tcPr>
            <w:tcW w:w="509" w:type="pct"/>
            <w:vAlign w:val="center"/>
          </w:tcPr>
          <w:p>
            <w:pPr>
              <w:pStyle w:val="33"/>
            </w:pPr>
            <w:r>
              <w:t>Si</w:t>
            </w:r>
          </w:p>
        </w:tc>
        <w:tc>
          <w:tcPr>
            <w:tcW w:w="509" w:type="pct"/>
            <w:vAlign w:val="center"/>
          </w:tcPr>
          <w:p>
            <w:pPr>
              <w:pStyle w:val="33"/>
            </w:pPr>
            <w:r>
              <w:t>Mg</w:t>
            </w:r>
          </w:p>
        </w:tc>
        <w:tc>
          <w:tcPr>
            <w:tcW w:w="509" w:type="pct"/>
            <w:vAlign w:val="center"/>
          </w:tcPr>
          <w:p>
            <w:pPr>
              <w:pStyle w:val="33"/>
            </w:pPr>
            <w:r>
              <w:t>Fe</w:t>
            </w:r>
          </w:p>
        </w:tc>
        <w:tc>
          <w:tcPr>
            <w:tcW w:w="509" w:type="pct"/>
            <w:vAlign w:val="center"/>
          </w:tcPr>
          <w:p>
            <w:pPr>
              <w:pStyle w:val="33"/>
            </w:pPr>
            <w:r>
              <w:t>Cu</w:t>
            </w:r>
          </w:p>
        </w:tc>
        <w:tc>
          <w:tcPr>
            <w:tcW w:w="509" w:type="pct"/>
            <w:vAlign w:val="center"/>
          </w:tcPr>
          <w:p>
            <w:pPr>
              <w:pStyle w:val="33"/>
            </w:pPr>
            <w:r>
              <w:t>Mn</w:t>
            </w:r>
          </w:p>
        </w:tc>
        <w:tc>
          <w:tcPr>
            <w:tcW w:w="510" w:type="pct"/>
            <w:vAlign w:val="center"/>
          </w:tcPr>
          <w:p>
            <w:pPr>
              <w:pStyle w:val="33"/>
            </w:pPr>
            <w:r>
              <w:t>Zn</w:t>
            </w:r>
          </w:p>
        </w:tc>
        <w:tc>
          <w:tcPr>
            <w:tcW w:w="510" w:type="pct"/>
            <w:vAlign w:val="center"/>
          </w:tcPr>
          <w:p>
            <w:pPr>
              <w:pStyle w:val="33"/>
            </w:pPr>
            <w:r>
              <w:t>Ti</w:t>
            </w:r>
          </w:p>
        </w:tc>
        <w:tc>
          <w:tcPr>
            <w:tcW w:w="510" w:type="pct"/>
            <w:vAlign w:val="center"/>
          </w:tcPr>
          <w:p>
            <w:pPr>
              <w:pStyle w:val="33"/>
            </w:pPr>
            <w:r>
              <w:t>Cr</w:t>
            </w:r>
          </w:p>
        </w:tc>
        <w:tc>
          <w:tcPr>
            <w:tcW w:w="494" w:type="pct"/>
            <w:vAlign w:val="center"/>
          </w:tcPr>
          <w:p>
            <w:pPr>
              <w:pStyle w:val="33"/>
            </w:pPr>
            <w:r>
              <w:t>Al</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24" w:type="pct"/>
            <w:vAlign w:val="center"/>
          </w:tcPr>
          <w:p>
            <w:pPr>
              <w:pStyle w:val="33"/>
            </w:pPr>
            <w:r>
              <w:t>含量（%）</w:t>
            </w:r>
          </w:p>
        </w:tc>
        <w:tc>
          <w:tcPr>
            <w:tcW w:w="509" w:type="pct"/>
            <w:vAlign w:val="center"/>
          </w:tcPr>
          <w:p>
            <w:pPr>
              <w:pStyle w:val="33"/>
            </w:pPr>
            <w:r>
              <w:t>0.05283</w:t>
            </w:r>
          </w:p>
        </w:tc>
        <w:tc>
          <w:tcPr>
            <w:tcW w:w="509" w:type="pct"/>
            <w:vAlign w:val="center"/>
          </w:tcPr>
          <w:p>
            <w:pPr>
              <w:pStyle w:val="33"/>
            </w:pPr>
            <w:r>
              <w:t>0.01792</w:t>
            </w:r>
          </w:p>
        </w:tc>
        <w:tc>
          <w:tcPr>
            <w:tcW w:w="509" w:type="pct"/>
            <w:vAlign w:val="center"/>
          </w:tcPr>
          <w:p>
            <w:pPr>
              <w:pStyle w:val="33"/>
            </w:pPr>
            <w:r>
              <w:t>0.10366</w:t>
            </w:r>
          </w:p>
        </w:tc>
        <w:tc>
          <w:tcPr>
            <w:tcW w:w="509" w:type="pct"/>
            <w:vAlign w:val="center"/>
          </w:tcPr>
          <w:p>
            <w:pPr>
              <w:pStyle w:val="33"/>
            </w:pPr>
            <w:r>
              <w:t>0.00103</w:t>
            </w:r>
          </w:p>
        </w:tc>
        <w:tc>
          <w:tcPr>
            <w:tcW w:w="509" w:type="pct"/>
            <w:vAlign w:val="center"/>
          </w:tcPr>
          <w:p>
            <w:pPr>
              <w:pStyle w:val="33"/>
            </w:pPr>
            <w:r>
              <w:t>0.00075</w:t>
            </w:r>
          </w:p>
        </w:tc>
        <w:tc>
          <w:tcPr>
            <w:tcW w:w="510" w:type="pct"/>
            <w:vAlign w:val="center"/>
          </w:tcPr>
          <w:p>
            <w:pPr>
              <w:pStyle w:val="33"/>
            </w:pPr>
            <w:r>
              <w:t>0.00256</w:t>
            </w:r>
          </w:p>
        </w:tc>
        <w:tc>
          <w:tcPr>
            <w:tcW w:w="510" w:type="pct"/>
            <w:vAlign w:val="center"/>
          </w:tcPr>
          <w:p>
            <w:pPr>
              <w:pStyle w:val="33"/>
            </w:pPr>
            <w:r>
              <w:t>0.01422</w:t>
            </w:r>
          </w:p>
        </w:tc>
        <w:tc>
          <w:tcPr>
            <w:tcW w:w="510" w:type="pct"/>
            <w:vAlign w:val="center"/>
          </w:tcPr>
          <w:p>
            <w:pPr>
              <w:pStyle w:val="33"/>
            </w:pPr>
            <w:r>
              <w:t>0.00017</w:t>
            </w:r>
          </w:p>
        </w:tc>
        <w:tc>
          <w:tcPr>
            <w:tcW w:w="494" w:type="pct"/>
            <w:vAlign w:val="center"/>
          </w:tcPr>
          <w:p>
            <w:pPr>
              <w:pStyle w:val="33"/>
            </w:pPr>
            <w:r>
              <w:t>99.80686</w:t>
            </w:r>
          </w:p>
        </w:tc>
      </w:tr>
    </w:tbl>
    <w:p>
      <w:pPr>
        <w:pStyle w:val="31"/>
        <w:bidi w:val="0"/>
      </w:pPr>
      <w:r>
        <w:t>表</w:t>
      </w:r>
      <w:r>
        <w:rPr>
          <w:rFonts w:hint="eastAsia"/>
        </w:rPr>
        <w:t>3.4</w:t>
      </w:r>
      <w:r>
        <w:t xml:space="preserve">-4 </w:t>
      </w:r>
      <w:r>
        <w:rPr>
          <w:rFonts w:hint="eastAsia"/>
        </w:rPr>
        <w:t xml:space="preserve"> </w:t>
      </w:r>
      <w:r>
        <w:t>项目用镁锭成分分析表</w:t>
      </w:r>
    </w:p>
    <w:tbl>
      <w:tblPr>
        <w:tblStyle w:val="2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08"/>
        <w:gridCol w:w="852"/>
        <w:gridCol w:w="852"/>
        <w:gridCol w:w="1015"/>
        <w:gridCol w:w="1045"/>
        <w:gridCol w:w="1045"/>
        <w:gridCol w:w="1045"/>
        <w:gridCol w:w="115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87" w:type="pct"/>
            <w:vAlign w:val="center"/>
          </w:tcPr>
          <w:p>
            <w:pPr>
              <w:pStyle w:val="32"/>
            </w:pPr>
            <w:r>
              <w:t>成分</w:t>
            </w:r>
          </w:p>
        </w:tc>
        <w:tc>
          <w:tcPr>
            <w:tcW w:w="512" w:type="pct"/>
            <w:vAlign w:val="center"/>
          </w:tcPr>
          <w:p>
            <w:pPr>
              <w:pStyle w:val="32"/>
            </w:pPr>
            <w:r>
              <w:t>Mg</w:t>
            </w:r>
          </w:p>
        </w:tc>
        <w:tc>
          <w:tcPr>
            <w:tcW w:w="512" w:type="pct"/>
            <w:vAlign w:val="center"/>
          </w:tcPr>
          <w:p>
            <w:pPr>
              <w:pStyle w:val="32"/>
            </w:pPr>
            <w:r>
              <w:t>Si</w:t>
            </w:r>
          </w:p>
        </w:tc>
        <w:tc>
          <w:tcPr>
            <w:tcW w:w="610" w:type="pct"/>
            <w:vAlign w:val="center"/>
          </w:tcPr>
          <w:p>
            <w:pPr>
              <w:pStyle w:val="32"/>
            </w:pPr>
            <w:r>
              <w:t>Al</w:t>
            </w:r>
          </w:p>
        </w:tc>
        <w:tc>
          <w:tcPr>
            <w:tcW w:w="628" w:type="pct"/>
            <w:vAlign w:val="center"/>
          </w:tcPr>
          <w:p>
            <w:pPr>
              <w:pStyle w:val="32"/>
            </w:pPr>
            <w:r>
              <w:t>Mn</w:t>
            </w:r>
          </w:p>
        </w:tc>
        <w:tc>
          <w:tcPr>
            <w:tcW w:w="628" w:type="pct"/>
            <w:vAlign w:val="center"/>
          </w:tcPr>
          <w:p>
            <w:pPr>
              <w:pStyle w:val="32"/>
            </w:pPr>
            <w:r>
              <w:t>Cu</w:t>
            </w:r>
          </w:p>
        </w:tc>
        <w:tc>
          <w:tcPr>
            <w:tcW w:w="628" w:type="pct"/>
            <w:vAlign w:val="center"/>
          </w:tcPr>
          <w:p>
            <w:pPr>
              <w:pStyle w:val="32"/>
            </w:pPr>
            <w:r>
              <w:t>Fe</w:t>
            </w:r>
          </w:p>
        </w:tc>
        <w:tc>
          <w:tcPr>
            <w:tcW w:w="691" w:type="pct"/>
            <w:vAlign w:val="center"/>
          </w:tcPr>
          <w:p>
            <w:pPr>
              <w:pStyle w:val="32"/>
            </w:pPr>
            <w:r>
              <w:t>Ni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787" w:type="pct"/>
            <w:vAlign w:val="center"/>
          </w:tcPr>
          <w:p>
            <w:pPr>
              <w:pStyle w:val="32"/>
            </w:pPr>
            <w:r>
              <w:t>含量（%）</w:t>
            </w:r>
          </w:p>
        </w:tc>
        <w:tc>
          <w:tcPr>
            <w:tcW w:w="512" w:type="pct"/>
            <w:vAlign w:val="center"/>
          </w:tcPr>
          <w:p>
            <w:pPr>
              <w:pStyle w:val="32"/>
            </w:pPr>
            <w:r>
              <w:t>99.95</w:t>
            </w:r>
          </w:p>
        </w:tc>
        <w:tc>
          <w:tcPr>
            <w:tcW w:w="512" w:type="pct"/>
            <w:vAlign w:val="center"/>
          </w:tcPr>
          <w:p>
            <w:pPr>
              <w:pStyle w:val="32"/>
            </w:pPr>
            <w:r>
              <w:t>0.032</w:t>
            </w:r>
          </w:p>
        </w:tc>
        <w:tc>
          <w:tcPr>
            <w:tcW w:w="610" w:type="pct"/>
            <w:vAlign w:val="center"/>
          </w:tcPr>
          <w:p>
            <w:pPr>
              <w:pStyle w:val="32"/>
            </w:pPr>
            <w:r>
              <w:t>0.0111</w:t>
            </w:r>
          </w:p>
        </w:tc>
        <w:tc>
          <w:tcPr>
            <w:tcW w:w="628" w:type="pct"/>
            <w:vAlign w:val="center"/>
          </w:tcPr>
          <w:p>
            <w:pPr>
              <w:pStyle w:val="32"/>
            </w:pPr>
            <w:r>
              <w:t>0.0136</w:t>
            </w:r>
          </w:p>
        </w:tc>
        <w:tc>
          <w:tcPr>
            <w:tcW w:w="628" w:type="pct"/>
            <w:vAlign w:val="center"/>
          </w:tcPr>
          <w:p>
            <w:pPr>
              <w:pStyle w:val="32"/>
            </w:pPr>
            <w:r>
              <w:t>0.0018</w:t>
            </w:r>
          </w:p>
        </w:tc>
        <w:tc>
          <w:tcPr>
            <w:tcW w:w="628" w:type="pct"/>
            <w:vAlign w:val="center"/>
          </w:tcPr>
          <w:p>
            <w:pPr>
              <w:pStyle w:val="32"/>
            </w:pPr>
            <w:r>
              <w:t>0.00</w:t>
            </w:r>
            <w:r>
              <w:rPr>
                <w:rFonts w:hint="eastAsia"/>
              </w:rPr>
              <w:t>5</w:t>
            </w:r>
            <w:r>
              <w:t>0</w:t>
            </w:r>
          </w:p>
        </w:tc>
        <w:tc>
          <w:tcPr>
            <w:tcW w:w="691" w:type="pct"/>
            <w:vAlign w:val="center"/>
          </w:tcPr>
          <w:p>
            <w:pPr>
              <w:pStyle w:val="32"/>
            </w:pPr>
            <w:r>
              <w:t>0.0003</w:t>
            </w:r>
          </w:p>
        </w:tc>
      </w:tr>
    </w:tbl>
    <w:p>
      <w:pPr>
        <w:pStyle w:val="31"/>
      </w:pPr>
      <w:r>
        <w:t>表</w:t>
      </w:r>
      <w:r>
        <w:rPr>
          <w:rFonts w:hint="eastAsia"/>
        </w:rPr>
        <w:t>3.4</w:t>
      </w:r>
      <w:r>
        <w:t xml:space="preserve">-5 </w:t>
      </w:r>
      <w:r>
        <w:rPr>
          <w:rFonts w:hint="eastAsia"/>
        </w:rPr>
        <w:t xml:space="preserve"> </w:t>
      </w:r>
      <w:r>
        <w:t>项目用铜锭成分分析表</w:t>
      </w:r>
    </w:p>
    <w:tbl>
      <w:tblPr>
        <w:tblStyle w:val="2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94"/>
        <w:gridCol w:w="859"/>
        <w:gridCol w:w="1032"/>
        <w:gridCol w:w="1046"/>
        <w:gridCol w:w="1046"/>
        <w:gridCol w:w="1044"/>
        <w:gridCol w:w="1044"/>
        <w:gridCol w:w="104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18" w:type="pct"/>
            <w:vAlign w:val="center"/>
          </w:tcPr>
          <w:p>
            <w:pPr>
              <w:pStyle w:val="32"/>
            </w:pPr>
            <w:r>
              <w:t>成分</w:t>
            </w:r>
          </w:p>
        </w:tc>
        <w:tc>
          <w:tcPr>
            <w:tcW w:w="517" w:type="pct"/>
            <w:vAlign w:val="center"/>
          </w:tcPr>
          <w:p>
            <w:pPr>
              <w:pStyle w:val="32"/>
            </w:pPr>
            <w:r>
              <w:t>Cu</w:t>
            </w:r>
          </w:p>
        </w:tc>
        <w:tc>
          <w:tcPr>
            <w:tcW w:w="621" w:type="pct"/>
            <w:vAlign w:val="center"/>
          </w:tcPr>
          <w:p>
            <w:pPr>
              <w:pStyle w:val="32"/>
            </w:pPr>
            <w:r>
              <w:t>Si</w:t>
            </w:r>
          </w:p>
        </w:tc>
        <w:tc>
          <w:tcPr>
            <w:tcW w:w="629" w:type="pct"/>
            <w:vAlign w:val="center"/>
          </w:tcPr>
          <w:p>
            <w:pPr>
              <w:pStyle w:val="32"/>
            </w:pPr>
            <w:r>
              <w:t>Al</w:t>
            </w:r>
          </w:p>
        </w:tc>
        <w:tc>
          <w:tcPr>
            <w:tcW w:w="629" w:type="pct"/>
            <w:vAlign w:val="center"/>
          </w:tcPr>
          <w:p>
            <w:pPr>
              <w:pStyle w:val="32"/>
            </w:pPr>
            <w:r>
              <w:t>Mn</w:t>
            </w:r>
          </w:p>
        </w:tc>
        <w:tc>
          <w:tcPr>
            <w:tcW w:w="628" w:type="pct"/>
            <w:vAlign w:val="center"/>
          </w:tcPr>
          <w:p>
            <w:pPr>
              <w:pStyle w:val="32"/>
            </w:pPr>
            <w:r>
              <w:t>Mg</w:t>
            </w:r>
          </w:p>
        </w:tc>
        <w:tc>
          <w:tcPr>
            <w:tcW w:w="628" w:type="pct"/>
            <w:vAlign w:val="center"/>
          </w:tcPr>
          <w:p>
            <w:pPr>
              <w:pStyle w:val="32"/>
            </w:pPr>
            <w:r>
              <w:t>Fe</w:t>
            </w:r>
          </w:p>
        </w:tc>
        <w:tc>
          <w:tcPr>
            <w:tcW w:w="628" w:type="pct"/>
            <w:vAlign w:val="center"/>
          </w:tcPr>
          <w:p>
            <w:pPr>
              <w:pStyle w:val="32"/>
            </w:pPr>
            <w:r>
              <w:t>Ni</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3" w:hRule="atLeast"/>
        </w:trPr>
        <w:tc>
          <w:tcPr>
            <w:tcW w:w="718" w:type="pct"/>
            <w:vAlign w:val="center"/>
          </w:tcPr>
          <w:p>
            <w:pPr>
              <w:pStyle w:val="32"/>
            </w:pPr>
            <w:r>
              <w:t>含量（%）</w:t>
            </w:r>
          </w:p>
        </w:tc>
        <w:tc>
          <w:tcPr>
            <w:tcW w:w="517" w:type="pct"/>
            <w:vAlign w:val="center"/>
          </w:tcPr>
          <w:p>
            <w:pPr>
              <w:pStyle w:val="32"/>
            </w:pPr>
            <w:r>
              <w:t>99.95</w:t>
            </w:r>
          </w:p>
        </w:tc>
        <w:tc>
          <w:tcPr>
            <w:tcW w:w="621" w:type="pct"/>
            <w:vAlign w:val="center"/>
          </w:tcPr>
          <w:p>
            <w:pPr>
              <w:pStyle w:val="32"/>
            </w:pPr>
            <w:r>
              <w:t>0.0113</w:t>
            </w:r>
          </w:p>
        </w:tc>
        <w:tc>
          <w:tcPr>
            <w:tcW w:w="629" w:type="pct"/>
            <w:vAlign w:val="center"/>
          </w:tcPr>
          <w:p>
            <w:pPr>
              <w:pStyle w:val="32"/>
            </w:pPr>
            <w:r>
              <w:t>0.0123</w:t>
            </w:r>
          </w:p>
        </w:tc>
        <w:tc>
          <w:tcPr>
            <w:tcW w:w="629" w:type="pct"/>
            <w:vAlign w:val="center"/>
          </w:tcPr>
          <w:p>
            <w:pPr>
              <w:pStyle w:val="32"/>
            </w:pPr>
            <w:r>
              <w:t>0.0142</w:t>
            </w:r>
          </w:p>
        </w:tc>
        <w:tc>
          <w:tcPr>
            <w:tcW w:w="628" w:type="pct"/>
            <w:vAlign w:val="center"/>
          </w:tcPr>
          <w:p>
            <w:pPr>
              <w:pStyle w:val="32"/>
            </w:pPr>
            <w:r>
              <w:t>0.0032</w:t>
            </w:r>
          </w:p>
        </w:tc>
        <w:tc>
          <w:tcPr>
            <w:tcW w:w="628" w:type="pct"/>
            <w:vAlign w:val="center"/>
          </w:tcPr>
          <w:p>
            <w:pPr>
              <w:pStyle w:val="32"/>
            </w:pPr>
            <w:r>
              <w:t>0.00</w:t>
            </w:r>
            <w:r>
              <w:rPr>
                <w:rFonts w:hint="eastAsia"/>
              </w:rPr>
              <w:t>4</w:t>
            </w:r>
            <w:r>
              <w:t>1</w:t>
            </w:r>
          </w:p>
        </w:tc>
        <w:tc>
          <w:tcPr>
            <w:tcW w:w="628" w:type="pct"/>
            <w:vAlign w:val="center"/>
          </w:tcPr>
          <w:p>
            <w:pPr>
              <w:pStyle w:val="32"/>
            </w:pPr>
            <w:r>
              <w:t>0.0003</w:t>
            </w:r>
          </w:p>
        </w:tc>
      </w:tr>
    </w:tbl>
    <w:p>
      <w:pPr>
        <w:pStyle w:val="31"/>
      </w:pPr>
      <w:r>
        <w:t>表</w:t>
      </w:r>
      <w:r>
        <w:rPr>
          <w:rFonts w:hint="eastAsia"/>
        </w:rPr>
        <w:t>3.4</w:t>
      </w:r>
      <w:r>
        <w:t>-</w:t>
      </w:r>
      <w:r>
        <w:rPr>
          <w:rFonts w:hint="eastAsia"/>
        </w:rPr>
        <w:t>6</w:t>
      </w:r>
      <w:r>
        <w:t xml:space="preserve"> </w:t>
      </w:r>
      <w:r>
        <w:rPr>
          <w:rFonts w:hint="eastAsia"/>
        </w:rPr>
        <w:t xml:space="preserve"> </w:t>
      </w:r>
      <w:r>
        <w:t>项目用</w:t>
      </w:r>
      <w:r>
        <w:rPr>
          <w:rFonts w:hint="eastAsia"/>
        </w:rPr>
        <w:t>锌</w:t>
      </w:r>
      <w:r>
        <w:t>锭成分分析表</w:t>
      </w:r>
    </w:p>
    <w:tbl>
      <w:tblPr>
        <w:tblStyle w:val="27"/>
        <w:tblW w:w="500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94"/>
        <w:gridCol w:w="858"/>
        <w:gridCol w:w="1033"/>
        <w:gridCol w:w="1047"/>
        <w:gridCol w:w="1047"/>
        <w:gridCol w:w="1045"/>
        <w:gridCol w:w="1045"/>
        <w:gridCol w:w="10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718" w:type="pct"/>
            <w:vAlign w:val="center"/>
          </w:tcPr>
          <w:p>
            <w:pPr>
              <w:pStyle w:val="32"/>
            </w:pPr>
            <w:r>
              <w:t>成分</w:t>
            </w:r>
          </w:p>
        </w:tc>
        <w:tc>
          <w:tcPr>
            <w:tcW w:w="516" w:type="pct"/>
            <w:vAlign w:val="center"/>
          </w:tcPr>
          <w:p>
            <w:pPr>
              <w:pStyle w:val="32"/>
            </w:pPr>
            <w:r>
              <w:rPr>
                <w:rFonts w:hint="eastAsia"/>
              </w:rPr>
              <w:t>Zn</w:t>
            </w:r>
          </w:p>
        </w:tc>
        <w:tc>
          <w:tcPr>
            <w:tcW w:w="621" w:type="pct"/>
            <w:vAlign w:val="center"/>
          </w:tcPr>
          <w:p>
            <w:pPr>
              <w:pStyle w:val="32"/>
            </w:pPr>
            <w:r>
              <w:rPr>
                <w:rFonts w:hint="eastAsia"/>
              </w:rPr>
              <w:t>Pb</w:t>
            </w:r>
          </w:p>
        </w:tc>
        <w:tc>
          <w:tcPr>
            <w:tcW w:w="629" w:type="pct"/>
            <w:vAlign w:val="center"/>
          </w:tcPr>
          <w:p>
            <w:pPr>
              <w:pStyle w:val="32"/>
            </w:pPr>
            <w:r>
              <w:rPr>
                <w:rFonts w:hint="eastAsia"/>
              </w:rPr>
              <w:t>Cd</w:t>
            </w:r>
          </w:p>
        </w:tc>
        <w:tc>
          <w:tcPr>
            <w:tcW w:w="629" w:type="pct"/>
            <w:vAlign w:val="center"/>
          </w:tcPr>
          <w:p>
            <w:pPr>
              <w:pStyle w:val="32"/>
            </w:pPr>
            <w:r>
              <w:rPr>
                <w:rFonts w:hint="eastAsia"/>
              </w:rPr>
              <w:t>Fe</w:t>
            </w:r>
          </w:p>
        </w:tc>
        <w:tc>
          <w:tcPr>
            <w:tcW w:w="628" w:type="pct"/>
            <w:vAlign w:val="center"/>
          </w:tcPr>
          <w:p>
            <w:pPr>
              <w:pStyle w:val="32"/>
            </w:pPr>
            <w:r>
              <w:rPr>
                <w:rFonts w:hint="eastAsia"/>
              </w:rPr>
              <w:t>Cu</w:t>
            </w:r>
          </w:p>
        </w:tc>
        <w:tc>
          <w:tcPr>
            <w:tcW w:w="628" w:type="pct"/>
            <w:vAlign w:val="center"/>
          </w:tcPr>
          <w:p>
            <w:pPr>
              <w:pStyle w:val="32"/>
            </w:pPr>
            <w:r>
              <w:rPr>
                <w:rFonts w:hint="eastAsia"/>
              </w:rPr>
              <w:t>Sn</w:t>
            </w:r>
          </w:p>
        </w:tc>
        <w:tc>
          <w:tcPr>
            <w:tcW w:w="628" w:type="pct"/>
            <w:vAlign w:val="center"/>
          </w:tcPr>
          <w:p>
            <w:pPr>
              <w:pStyle w:val="32"/>
            </w:pPr>
            <w:r>
              <w:rPr>
                <w:rFonts w:hint="eastAsia"/>
              </w:rPr>
              <w:t>Al</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718" w:type="pct"/>
            <w:vAlign w:val="center"/>
          </w:tcPr>
          <w:p>
            <w:pPr>
              <w:pStyle w:val="32"/>
            </w:pPr>
            <w:r>
              <w:t>含量（%）</w:t>
            </w:r>
          </w:p>
        </w:tc>
        <w:tc>
          <w:tcPr>
            <w:tcW w:w="516" w:type="pct"/>
            <w:vAlign w:val="center"/>
          </w:tcPr>
          <w:p>
            <w:pPr>
              <w:pStyle w:val="32"/>
            </w:pPr>
            <w:r>
              <w:rPr>
                <w:rFonts w:hint="eastAsia"/>
              </w:rPr>
              <w:t>99.95</w:t>
            </w:r>
          </w:p>
        </w:tc>
        <w:tc>
          <w:tcPr>
            <w:tcW w:w="621" w:type="pct"/>
            <w:vAlign w:val="center"/>
          </w:tcPr>
          <w:p>
            <w:pPr>
              <w:pStyle w:val="32"/>
            </w:pPr>
            <w:r>
              <w:rPr>
                <w:rFonts w:hint="eastAsia"/>
              </w:rPr>
              <w:t>0.030</w:t>
            </w:r>
          </w:p>
        </w:tc>
        <w:tc>
          <w:tcPr>
            <w:tcW w:w="629" w:type="pct"/>
            <w:vAlign w:val="center"/>
          </w:tcPr>
          <w:p>
            <w:pPr>
              <w:pStyle w:val="32"/>
            </w:pPr>
            <w:r>
              <w:rPr>
                <w:rFonts w:hint="eastAsia"/>
              </w:rPr>
              <w:t>0.01</w:t>
            </w:r>
          </w:p>
        </w:tc>
        <w:tc>
          <w:tcPr>
            <w:tcW w:w="629" w:type="pct"/>
            <w:vAlign w:val="center"/>
          </w:tcPr>
          <w:p>
            <w:pPr>
              <w:pStyle w:val="32"/>
            </w:pPr>
            <w:r>
              <w:rPr>
                <w:rFonts w:hint="eastAsia"/>
              </w:rPr>
              <w:t>0.02</w:t>
            </w:r>
          </w:p>
        </w:tc>
        <w:tc>
          <w:tcPr>
            <w:tcW w:w="628" w:type="pct"/>
            <w:vAlign w:val="center"/>
          </w:tcPr>
          <w:p>
            <w:pPr>
              <w:pStyle w:val="32"/>
            </w:pPr>
            <w:r>
              <w:rPr>
                <w:rFonts w:hint="eastAsia"/>
              </w:rPr>
              <w:t>0.002</w:t>
            </w:r>
          </w:p>
        </w:tc>
        <w:tc>
          <w:tcPr>
            <w:tcW w:w="628" w:type="pct"/>
            <w:vAlign w:val="center"/>
          </w:tcPr>
          <w:p>
            <w:pPr>
              <w:pStyle w:val="32"/>
            </w:pPr>
            <w:r>
              <w:rPr>
                <w:rFonts w:hint="eastAsia"/>
              </w:rPr>
              <w:t>0.001</w:t>
            </w:r>
          </w:p>
        </w:tc>
        <w:tc>
          <w:tcPr>
            <w:tcW w:w="628" w:type="pct"/>
            <w:vAlign w:val="center"/>
          </w:tcPr>
          <w:p>
            <w:pPr>
              <w:pStyle w:val="32"/>
            </w:pPr>
            <w:r>
              <w:rPr>
                <w:rFonts w:hint="eastAsia"/>
              </w:rPr>
              <w:t>0.01</w:t>
            </w:r>
          </w:p>
        </w:tc>
      </w:tr>
    </w:tbl>
    <w:p>
      <w:pPr>
        <w:pStyle w:val="7"/>
        <w:ind w:firstLine="480"/>
      </w:pPr>
      <w:r>
        <w:rPr>
          <w:rFonts w:hint="eastAsia"/>
        </w:rPr>
        <w:t>项目用铁剂（75Fe）、锰剂（75Mn）、钛剂（75Ti）等成分添加剂执行《铝及铝合金成分添加剂》（YS/T492-2012）标准。添加剂中除纯金属以外的添加物质中不允许使用容易铝及铝合金吸收的Na、Li、Si等元素。</w:t>
      </w:r>
    </w:p>
    <w:p>
      <w:pPr>
        <w:pStyle w:val="31"/>
      </w:pPr>
      <w:r>
        <w:t>表</w:t>
      </w:r>
      <w:r>
        <w:rPr>
          <w:rFonts w:hint="eastAsia"/>
        </w:rPr>
        <w:t>3.4</w:t>
      </w:r>
      <w:r>
        <w:t>-</w:t>
      </w:r>
      <w:r>
        <w:rPr>
          <w:rFonts w:hint="eastAsia"/>
        </w:rPr>
        <w:t xml:space="preserve">7 </w:t>
      </w:r>
      <w:r>
        <w:t xml:space="preserve"> 项目用</w:t>
      </w:r>
      <w:r>
        <w:rPr>
          <w:rFonts w:hint="eastAsia"/>
        </w:rPr>
        <w:t>铝合金成分添加剂</w:t>
      </w:r>
      <w:r>
        <w:t>成分分析表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8"/>
        <w:gridCol w:w="2984"/>
        <w:gridCol w:w="29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5" w:type="pct"/>
            <w:vAlign w:val="center"/>
          </w:tcPr>
          <w:p>
            <w:pPr>
              <w:pStyle w:val="32"/>
            </w:pPr>
            <w:r>
              <w:rPr>
                <w:rFonts w:hint="eastAsia"/>
              </w:rPr>
              <w:t>牌号</w:t>
            </w:r>
          </w:p>
        </w:tc>
        <w:tc>
          <w:tcPr>
            <w:tcW w:w="1751" w:type="pct"/>
            <w:vAlign w:val="center"/>
          </w:tcPr>
          <w:p>
            <w:pPr>
              <w:pStyle w:val="32"/>
            </w:pPr>
            <w:r>
              <w:rPr>
                <w:rFonts w:hint="eastAsia"/>
              </w:rPr>
              <w:t>纯金属含量（%）</w:t>
            </w:r>
          </w:p>
        </w:tc>
        <w:tc>
          <w:tcPr>
            <w:tcW w:w="1752" w:type="pct"/>
            <w:vAlign w:val="center"/>
          </w:tcPr>
          <w:p>
            <w:pPr>
              <w:pStyle w:val="32"/>
            </w:pPr>
            <w:r>
              <w:rPr>
                <w:rFonts w:hint="eastAsia"/>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5" w:type="pct"/>
            <w:vAlign w:val="center"/>
          </w:tcPr>
          <w:p>
            <w:pPr>
              <w:pStyle w:val="32"/>
            </w:pPr>
            <w:r>
              <w:rPr>
                <w:rFonts w:hint="eastAsia"/>
              </w:rPr>
              <w:t>75Fe</w:t>
            </w:r>
          </w:p>
        </w:tc>
        <w:tc>
          <w:tcPr>
            <w:tcW w:w="1751" w:type="pct"/>
            <w:vAlign w:val="center"/>
          </w:tcPr>
          <w:p>
            <w:pPr>
              <w:pStyle w:val="32"/>
            </w:pPr>
            <w:r>
              <w:rPr>
                <w:rFonts w:hint="eastAsia"/>
              </w:rPr>
              <w:t>75</w:t>
            </w:r>
          </w:p>
        </w:tc>
        <w:tc>
          <w:tcPr>
            <w:tcW w:w="1752" w:type="pct"/>
            <w:vAlign w:val="center"/>
          </w:tcPr>
          <w:p>
            <w:pPr>
              <w:pStyle w:val="32"/>
            </w:pPr>
            <w:r>
              <w:rPr>
                <w:rFonts w:hint="eastAsia"/>
              </w:rPr>
              <w:t>助熔剂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5" w:type="pct"/>
            <w:vAlign w:val="center"/>
          </w:tcPr>
          <w:p>
            <w:pPr>
              <w:pStyle w:val="32"/>
            </w:pPr>
            <w:r>
              <w:rPr>
                <w:rFonts w:hint="eastAsia"/>
              </w:rPr>
              <w:t>75Mn</w:t>
            </w:r>
          </w:p>
        </w:tc>
        <w:tc>
          <w:tcPr>
            <w:tcW w:w="1751" w:type="pct"/>
            <w:vAlign w:val="center"/>
          </w:tcPr>
          <w:p>
            <w:pPr>
              <w:pStyle w:val="32"/>
            </w:pPr>
            <w:r>
              <w:rPr>
                <w:rFonts w:hint="eastAsia"/>
              </w:rPr>
              <w:t>75</w:t>
            </w:r>
          </w:p>
        </w:tc>
        <w:tc>
          <w:tcPr>
            <w:tcW w:w="1752" w:type="pct"/>
            <w:vAlign w:val="center"/>
          </w:tcPr>
          <w:p>
            <w:pPr>
              <w:pStyle w:val="32"/>
            </w:pPr>
            <w:r>
              <w:rPr>
                <w:rFonts w:hint="eastAsia"/>
              </w:rPr>
              <w:t>助熔剂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5" w:type="pct"/>
            <w:vAlign w:val="center"/>
          </w:tcPr>
          <w:p>
            <w:pPr>
              <w:pStyle w:val="32"/>
            </w:pPr>
            <w:r>
              <w:rPr>
                <w:rFonts w:hint="eastAsia"/>
              </w:rPr>
              <w:t>75Ti</w:t>
            </w:r>
          </w:p>
        </w:tc>
        <w:tc>
          <w:tcPr>
            <w:tcW w:w="1751" w:type="pct"/>
            <w:vAlign w:val="center"/>
          </w:tcPr>
          <w:p>
            <w:pPr>
              <w:pStyle w:val="32"/>
            </w:pPr>
            <w:r>
              <w:rPr>
                <w:rFonts w:hint="eastAsia"/>
              </w:rPr>
              <w:t>75</w:t>
            </w:r>
          </w:p>
        </w:tc>
        <w:tc>
          <w:tcPr>
            <w:tcW w:w="1752" w:type="pct"/>
            <w:vAlign w:val="center"/>
          </w:tcPr>
          <w:p>
            <w:pPr>
              <w:pStyle w:val="32"/>
            </w:pPr>
            <w:r>
              <w:rPr>
                <w:rFonts w:hint="eastAsia"/>
              </w:rPr>
              <w:t>助熔剂</w:t>
            </w:r>
          </w:p>
        </w:tc>
      </w:tr>
    </w:tbl>
    <w:p>
      <w:pPr>
        <w:pStyle w:val="31"/>
      </w:pPr>
      <w:r>
        <w:t>表</w:t>
      </w:r>
      <w:r>
        <w:rPr>
          <w:rFonts w:hint="eastAsia"/>
        </w:rPr>
        <w:t>3.4</w:t>
      </w:r>
      <w:r>
        <w:t>-</w:t>
      </w:r>
      <w:r>
        <w:rPr>
          <w:rFonts w:hint="eastAsia"/>
        </w:rPr>
        <w:t xml:space="preserve">8 </w:t>
      </w:r>
      <w:r>
        <w:t xml:space="preserve"> 项目用速溶硅成分分析表</w:t>
      </w:r>
    </w:p>
    <w:tbl>
      <w:tblPr>
        <w:tblStyle w:val="27"/>
        <w:tblW w:w="493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74"/>
        <w:gridCol w:w="1254"/>
        <w:gridCol w:w="1519"/>
        <w:gridCol w:w="1522"/>
        <w:gridCol w:w="1520"/>
        <w:gridCol w:w="152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638" w:type="pct"/>
            <w:vAlign w:val="center"/>
          </w:tcPr>
          <w:p>
            <w:pPr>
              <w:pStyle w:val="32"/>
            </w:pPr>
            <w:r>
              <w:t>成分</w:t>
            </w:r>
          </w:p>
        </w:tc>
        <w:tc>
          <w:tcPr>
            <w:tcW w:w="745" w:type="pct"/>
            <w:vAlign w:val="center"/>
          </w:tcPr>
          <w:p>
            <w:pPr>
              <w:pStyle w:val="32"/>
            </w:pPr>
            <w:r>
              <w:t>Si</w:t>
            </w:r>
          </w:p>
        </w:tc>
        <w:tc>
          <w:tcPr>
            <w:tcW w:w="902" w:type="pct"/>
            <w:vAlign w:val="center"/>
          </w:tcPr>
          <w:p>
            <w:pPr>
              <w:pStyle w:val="32"/>
            </w:pPr>
            <w:r>
              <w:t>Fe</w:t>
            </w:r>
          </w:p>
        </w:tc>
        <w:tc>
          <w:tcPr>
            <w:tcW w:w="904" w:type="pct"/>
            <w:vAlign w:val="center"/>
          </w:tcPr>
          <w:p>
            <w:pPr>
              <w:pStyle w:val="32"/>
            </w:pPr>
            <w:r>
              <w:t>Al</w:t>
            </w:r>
          </w:p>
        </w:tc>
        <w:tc>
          <w:tcPr>
            <w:tcW w:w="903" w:type="pct"/>
            <w:vAlign w:val="center"/>
          </w:tcPr>
          <w:p>
            <w:pPr>
              <w:pStyle w:val="32"/>
            </w:pPr>
            <w:r>
              <w:t>Ca</w:t>
            </w:r>
          </w:p>
        </w:tc>
        <w:tc>
          <w:tcPr>
            <w:tcW w:w="906" w:type="pct"/>
            <w:vAlign w:val="center"/>
          </w:tcPr>
          <w:p>
            <w:pPr>
              <w:pStyle w:val="32"/>
            </w:pPr>
            <w:r>
              <w:t>杂质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638" w:type="pct"/>
            <w:vAlign w:val="center"/>
          </w:tcPr>
          <w:p>
            <w:pPr>
              <w:pStyle w:val="32"/>
            </w:pPr>
            <w:r>
              <w:t>含量（%）</w:t>
            </w:r>
          </w:p>
        </w:tc>
        <w:tc>
          <w:tcPr>
            <w:tcW w:w="745" w:type="pct"/>
            <w:vAlign w:val="center"/>
          </w:tcPr>
          <w:p>
            <w:pPr>
              <w:pStyle w:val="32"/>
            </w:pPr>
            <w:r>
              <w:t>95</w:t>
            </w:r>
          </w:p>
        </w:tc>
        <w:tc>
          <w:tcPr>
            <w:tcW w:w="902" w:type="pct"/>
            <w:vAlign w:val="center"/>
          </w:tcPr>
          <w:p>
            <w:pPr>
              <w:pStyle w:val="32"/>
            </w:pPr>
            <w:r>
              <w:t>0.37</w:t>
            </w:r>
          </w:p>
        </w:tc>
        <w:tc>
          <w:tcPr>
            <w:tcW w:w="904" w:type="pct"/>
            <w:vAlign w:val="center"/>
          </w:tcPr>
          <w:p>
            <w:pPr>
              <w:pStyle w:val="32"/>
            </w:pPr>
            <w:r>
              <w:t>0.35</w:t>
            </w:r>
          </w:p>
        </w:tc>
        <w:tc>
          <w:tcPr>
            <w:tcW w:w="903" w:type="pct"/>
            <w:vAlign w:val="center"/>
          </w:tcPr>
          <w:p>
            <w:pPr>
              <w:pStyle w:val="32"/>
            </w:pPr>
            <w:r>
              <w:t>0.06</w:t>
            </w:r>
          </w:p>
        </w:tc>
        <w:tc>
          <w:tcPr>
            <w:tcW w:w="906" w:type="pct"/>
            <w:vAlign w:val="center"/>
          </w:tcPr>
          <w:p>
            <w:pPr>
              <w:pStyle w:val="32"/>
            </w:pPr>
            <w:r>
              <w:t>4.22</w:t>
            </w:r>
          </w:p>
        </w:tc>
      </w:tr>
    </w:tbl>
    <w:p>
      <w:pPr>
        <w:pStyle w:val="41"/>
      </w:pPr>
      <w:r>
        <w:t>表</w:t>
      </w:r>
      <w:r>
        <w:rPr>
          <w:rFonts w:hint="eastAsia"/>
        </w:rPr>
        <w:t>3.4</w:t>
      </w:r>
      <w:r>
        <w:t>-</w:t>
      </w:r>
      <w:r>
        <w:rPr>
          <w:rFonts w:hint="eastAsia"/>
        </w:rPr>
        <w:t>9</w:t>
      </w:r>
      <w:r>
        <w:t xml:space="preserve"> </w:t>
      </w:r>
      <w:r>
        <w:rPr>
          <w:rFonts w:hint="eastAsia"/>
        </w:rPr>
        <w:t xml:space="preserve"> </w:t>
      </w:r>
      <w:r>
        <w:t>项目用铝钛硼丝成分分析表</w:t>
      </w:r>
    </w:p>
    <w:tbl>
      <w:tblPr>
        <w:tblStyle w:val="27"/>
        <w:tblW w:w="496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50"/>
        <w:gridCol w:w="1444"/>
        <w:gridCol w:w="1442"/>
        <w:gridCol w:w="1444"/>
        <w:gridCol w:w="1442"/>
        <w:gridCol w:w="144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38" w:type="pct"/>
            <w:vAlign w:val="center"/>
          </w:tcPr>
          <w:p>
            <w:pPr>
              <w:pStyle w:val="32"/>
            </w:pPr>
            <w:r>
              <w:t>成分</w:t>
            </w:r>
          </w:p>
        </w:tc>
        <w:tc>
          <w:tcPr>
            <w:tcW w:w="852" w:type="pct"/>
            <w:vAlign w:val="center"/>
          </w:tcPr>
          <w:p>
            <w:pPr>
              <w:pStyle w:val="32"/>
            </w:pPr>
            <w:r>
              <w:t>Al</w:t>
            </w:r>
          </w:p>
        </w:tc>
        <w:tc>
          <w:tcPr>
            <w:tcW w:w="851" w:type="pct"/>
            <w:vAlign w:val="center"/>
          </w:tcPr>
          <w:p>
            <w:pPr>
              <w:pStyle w:val="32"/>
            </w:pPr>
            <w:r>
              <w:t>Ti</w:t>
            </w:r>
          </w:p>
        </w:tc>
        <w:tc>
          <w:tcPr>
            <w:tcW w:w="852" w:type="pct"/>
            <w:vAlign w:val="center"/>
          </w:tcPr>
          <w:p>
            <w:pPr>
              <w:pStyle w:val="32"/>
            </w:pPr>
            <w:r>
              <w:t>B</w:t>
            </w:r>
          </w:p>
        </w:tc>
        <w:tc>
          <w:tcPr>
            <w:tcW w:w="851" w:type="pct"/>
            <w:vAlign w:val="center"/>
          </w:tcPr>
          <w:p>
            <w:pPr>
              <w:pStyle w:val="32"/>
            </w:pPr>
            <w:r>
              <w:t>Fe</w:t>
            </w:r>
          </w:p>
        </w:tc>
        <w:tc>
          <w:tcPr>
            <w:tcW w:w="851" w:type="pct"/>
            <w:vAlign w:val="center"/>
          </w:tcPr>
          <w:p>
            <w:pPr>
              <w:pStyle w:val="32"/>
            </w:pPr>
            <w:r>
              <w:t>Si</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738" w:type="pct"/>
            <w:vAlign w:val="center"/>
          </w:tcPr>
          <w:p>
            <w:pPr>
              <w:pStyle w:val="32"/>
            </w:pPr>
            <w:r>
              <w:t>含量（%）</w:t>
            </w:r>
          </w:p>
        </w:tc>
        <w:tc>
          <w:tcPr>
            <w:tcW w:w="852" w:type="pct"/>
            <w:vAlign w:val="center"/>
          </w:tcPr>
          <w:p>
            <w:pPr>
              <w:pStyle w:val="32"/>
            </w:pPr>
            <w:r>
              <w:t>93.8</w:t>
            </w:r>
          </w:p>
        </w:tc>
        <w:tc>
          <w:tcPr>
            <w:tcW w:w="851" w:type="pct"/>
            <w:vAlign w:val="center"/>
          </w:tcPr>
          <w:p>
            <w:pPr>
              <w:pStyle w:val="32"/>
            </w:pPr>
            <w:r>
              <w:t>4.94</w:t>
            </w:r>
          </w:p>
        </w:tc>
        <w:tc>
          <w:tcPr>
            <w:tcW w:w="852" w:type="pct"/>
            <w:vAlign w:val="center"/>
          </w:tcPr>
          <w:p>
            <w:pPr>
              <w:pStyle w:val="32"/>
            </w:pPr>
            <w:r>
              <w:t>0.97</w:t>
            </w:r>
          </w:p>
        </w:tc>
        <w:tc>
          <w:tcPr>
            <w:tcW w:w="851" w:type="pct"/>
            <w:vAlign w:val="center"/>
          </w:tcPr>
          <w:p>
            <w:pPr>
              <w:pStyle w:val="32"/>
            </w:pPr>
            <w:r>
              <w:t>0.16</w:t>
            </w:r>
          </w:p>
        </w:tc>
        <w:tc>
          <w:tcPr>
            <w:tcW w:w="851" w:type="pct"/>
            <w:vAlign w:val="center"/>
          </w:tcPr>
          <w:p>
            <w:pPr>
              <w:pStyle w:val="32"/>
            </w:pPr>
            <w:r>
              <w:t>0.13</w:t>
            </w:r>
          </w:p>
        </w:tc>
      </w:tr>
      <w:bookmarkEnd w:id="65"/>
    </w:tbl>
    <w:p>
      <w:pPr>
        <w:spacing w:line="360" w:lineRule="auto"/>
        <w:ind w:firstLine="482"/>
        <w:rPr>
          <w:b/>
          <w:bCs/>
        </w:rPr>
      </w:pPr>
    </w:p>
    <w:p>
      <w:pPr>
        <w:spacing w:line="360" w:lineRule="auto"/>
        <w:ind w:firstLine="482"/>
      </w:pPr>
      <w:r>
        <w:rPr>
          <w:b/>
          <w:bCs/>
        </w:rPr>
        <w:t>精炼剂：</w:t>
      </w:r>
      <w:r>
        <w:t>是白色粉末状或颗粒状熔剂。由多种无机盐干燥处理后，按一定比例混合配制而成。作用：精炼剂主要是用于清除铝液内部的氢和浮游的氧化夹渣，使铝液更纯净，并兼有清渣剂的作用。主要特点：精炼剂中的部分成分在高温下极易分解，生成的气体易与氢反应，且与夹渣吸附力强，并迅速从熔体中逸出。</w:t>
      </w:r>
    </w:p>
    <w:p>
      <w:pPr>
        <w:pStyle w:val="41"/>
      </w:pPr>
      <w:r>
        <w:t>表</w:t>
      </w:r>
      <w:r>
        <w:rPr>
          <w:rFonts w:hint="eastAsia"/>
        </w:rPr>
        <w:t>3.4</w:t>
      </w:r>
      <w:r>
        <w:t>-</w:t>
      </w:r>
      <w:r>
        <w:rPr>
          <w:rFonts w:hint="eastAsia"/>
        </w:rPr>
        <w:t>10</w:t>
      </w:r>
      <w:r>
        <w:t xml:space="preserve">  项目用精炼剂成分分析表</w:t>
      </w:r>
    </w:p>
    <w:tbl>
      <w:tblPr>
        <w:tblStyle w:val="27"/>
        <w:tblW w:w="8522"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572"/>
        <w:gridCol w:w="1738"/>
        <w:gridCol w:w="1737"/>
        <w:gridCol w:w="1738"/>
        <w:gridCol w:w="173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572" w:type="dxa"/>
            <w:vAlign w:val="center"/>
          </w:tcPr>
          <w:p>
            <w:pPr>
              <w:pStyle w:val="32"/>
            </w:pPr>
            <w:r>
              <w:t>成分</w:t>
            </w:r>
          </w:p>
        </w:tc>
        <w:tc>
          <w:tcPr>
            <w:tcW w:w="1738" w:type="dxa"/>
            <w:vAlign w:val="center"/>
          </w:tcPr>
          <w:p>
            <w:pPr>
              <w:pStyle w:val="32"/>
            </w:pPr>
            <w:r>
              <w:t>Na</w:t>
            </w:r>
            <w:r>
              <w:rPr>
                <w:vertAlign w:val="subscript"/>
              </w:rPr>
              <w:t>3</w:t>
            </w:r>
            <w:r>
              <w:t>AlF</w:t>
            </w:r>
            <w:r>
              <w:rPr>
                <w:vertAlign w:val="subscript"/>
              </w:rPr>
              <w:t>6</w:t>
            </w:r>
          </w:p>
        </w:tc>
        <w:tc>
          <w:tcPr>
            <w:tcW w:w="1737" w:type="dxa"/>
            <w:vAlign w:val="center"/>
          </w:tcPr>
          <w:p>
            <w:pPr>
              <w:pStyle w:val="32"/>
            </w:pPr>
            <w:r>
              <w:t>Na</w:t>
            </w:r>
            <w:r>
              <w:rPr>
                <w:vertAlign w:val="subscript"/>
              </w:rPr>
              <w:t>2</w:t>
            </w:r>
            <w:r>
              <w:t>SiF</w:t>
            </w:r>
            <w:r>
              <w:rPr>
                <w:vertAlign w:val="subscript"/>
              </w:rPr>
              <w:t>6</w:t>
            </w:r>
          </w:p>
        </w:tc>
        <w:tc>
          <w:tcPr>
            <w:tcW w:w="1738" w:type="dxa"/>
            <w:vAlign w:val="center"/>
          </w:tcPr>
          <w:p>
            <w:pPr>
              <w:pStyle w:val="32"/>
            </w:pPr>
            <w:r>
              <w:t>NaCl</w:t>
            </w:r>
          </w:p>
        </w:tc>
        <w:tc>
          <w:tcPr>
            <w:tcW w:w="1737" w:type="dxa"/>
            <w:vAlign w:val="center"/>
          </w:tcPr>
          <w:p>
            <w:pPr>
              <w:pStyle w:val="32"/>
            </w:pPr>
            <w:r>
              <w:t>KCl</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572" w:type="dxa"/>
            <w:vAlign w:val="center"/>
          </w:tcPr>
          <w:p>
            <w:pPr>
              <w:pStyle w:val="32"/>
            </w:pPr>
            <w:r>
              <w:t>含量（%）</w:t>
            </w:r>
          </w:p>
        </w:tc>
        <w:tc>
          <w:tcPr>
            <w:tcW w:w="1738" w:type="dxa"/>
            <w:vAlign w:val="center"/>
          </w:tcPr>
          <w:p>
            <w:pPr>
              <w:pStyle w:val="32"/>
            </w:pPr>
            <w:r>
              <w:t>30</w:t>
            </w:r>
          </w:p>
        </w:tc>
        <w:tc>
          <w:tcPr>
            <w:tcW w:w="1737" w:type="dxa"/>
            <w:vAlign w:val="center"/>
          </w:tcPr>
          <w:p>
            <w:pPr>
              <w:pStyle w:val="32"/>
            </w:pPr>
            <w:r>
              <w:t>20</w:t>
            </w:r>
          </w:p>
        </w:tc>
        <w:tc>
          <w:tcPr>
            <w:tcW w:w="1738" w:type="dxa"/>
            <w:vAlign w:val="center"/>
          </w:tcPr>
          <w:p>
            <w:pPr>
              <w:pStyle w:val="32"/>
            </w:pPr>
            <w:r>
              <w:t>20</w:t>
            </w:r>
          </w:p>
        </w:tc>
        <w:tc>
          <w:tcPr>
            <w:tcW w:w="1737" w:type="dxa"/>
            <w:vAlign w:val="center"/>
          </w:tcPr>
          <w:p>
            <w:pPr>
              <w:pStyle w:val="32"/>
            </w:pPr>
            <w:r>
              <w:t>30</w:t>
            </w:r>
          </w:p>
        </w:tc>
      </w:tr>
    </w:tbl>
    <w:p>
      <w:pPr>
        <w:pStyle w:val="7"/>
        <w:ind w:firstLine="480"/>
      </w:pPr>
    </w:p>
    <w:p>
      <w:pPr>
        <w:pStyle w:val="7"/>
        <w:ind w:firstLine="480"/>
      </w:pPr>
      <w:r>
        <w:rPr>
          <w:rFonts w:hint="eastAsia"/>
        </w:rPr>
        <w:t>铝锰合金（AlMn20）、铝铜合金（AlCu40）、铝钛合金（AlTi10）、铝铁合金（AlFe20）、铝硼合金（AlB3）、铝钒合金（AlV5）、铝锶合金（AlSr10）、铝锆合金（AlZr10）、铝硅合金（AlSi12）执行《铝中间合金》（GB/T27677-2017）标准。</w:t>
      </w:r>
    </w:p>
    <w:p>
      <w:pPr>
        <w:pStyle w:val="31"/>
      </w:pPr>
      <w:r>
        <w:t>表</w:t>
      </w:r>
      <w:r>
        <w:rPr>
          <w:rFonts w:hint="eastAsia"/>
        </w:rPr>
        <w:t>3.4</w:t>
      </w:r>
      <w:r>
        <w:t>-</w:t>
      </w:r>
      <w:r>
        <w:rPr>
          <w:rFonts w:hint="eastAsia"/>
        </w:rPr>
        <w:t>11</w:t>
      </w:r>
      <w:r>
        <w:t xml:space="preserve">  项目用</w:t>
      </w:r>
      <w:r>
        <w:rPr>
          <w:rFonts w:hint="eastAsia"/>
        </w:rPr>
        <w:t>中间合金</w:t>
      </w:r>
      <w:r>
        <w:t>成分分析表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644"/>
        <w:gridCol w:w="662"/>
        <w:gridCol w:w="652"/>
        <w:gridCol w:w="667"/>
        <w:gridCol w:w="662"/>
        <w:gridCol w:w="646"/>
        <w:gridCol w:w="660"/>
        <w:gridCol w:w="662"/>
        <w:gridCol w:w="651"/>
        <w:gridCol w:w="1062"/>
        <w:gridCol w:w="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Merge w:val="restart"/>
            <w:vAlign w:val="center"/>
          </w:tcPr>
          <w:p>
            <w:pPr>
              <w:pStyle w:val="33"/>
            </w:pPr>
            <w:r>
              <w:rPr>
                <w:rFonts w:hint="eastAsia"/>
              </w:rPr>
              <w:t>牌号</w:t>
            </w:r>
          </w:p>
        </w:tc>
        <w:tc>
          <w:tcPr>
            <w:tcW w:w="5906" w:type="dxa"/>
            <w:gridSpan w:val="9"/>
            <w:vAlign w:val="center"/>
          </w:tcPr>
          <w:p>
            <w:pPr>
              <w:pStyle w:val="33"/>
            </w:pPr>
            <w:r>
              <w:rPr>
                <w:rFonts w:hint="eastAsia"/>
              </w:rPr>
              <w:t>化学成分/%</w:t>
            </w:r>
          </w:p>
        </w:tc>
        <w:tc>
          <w:tcPr>
            <w:tcW w:w="1062" w:type="dxa"/>
            <w:vMerge w:val="restart"/>
            <w:vAlign w:val="center"/>
          </w:tcPr>
          <w:p>
            <w:pPr>
              <w:pStyle w:val="33"/>
            </w:pPr>
            <w:r>
              <w:rPr>
                <w:rFonts w:hint="eastAsia"/>
              </w:rPr>
              <w:t>其他</w:t>
            </w:r>
          </w:p>
        </w:tc>
        <w:tc>
          <w:tcPr>
            <w:tcW w:w="645" w:type="dxa"/>
            <w:vMerge w:val="restart"/>
            <w:vAlign w:val="center"/>
          </w:tcPr>
          <w:p>
            <w:pPr>
              <w:pStyle w:val="33"/>
            </w:pPr>
            <w:r>
              <w:rPr>
                <w:rFonts w:hint="eastAsia"/>
              </w:rPr>
              <w: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Merge w:val="continue"/>
            <w:vAlign w:val="center"/>
          </w:tcPr>
          <w:p>
            <w:pPr>
              <w:pStyle w:val="33"/>
            </w:pPr>
          </w:p>
        </w:tc>
        <w:tc>
          <w:tcPr>
            <w:tcW w:w="644" w:type="dxa"/>
            <w:vAlign w:val="center"/>
          </w:tcPr>
          <w:p>
            <w:pPr>
              <w:pStyle w:val="33"/>
            </w:pPr>
            <w:r>
              <w:rPr>
                <w:rFonts w:hint="eastAsia"/>
              </w:rPr>
              <w:t>Si</w:t>
            </w:r>
          </w:p>
        </w:tc>
        <w:tc>
          <w:tcPr>
            <w:tcW w:w="662" w:type="dxa"/>
            <w:vAlign w:val="center"/>
          </w:tcPr>
          <w:p>
            <w:pPr>
              <w:pStyle w:val="33"/>
            </w:pPr>
            <w:r>
              <w:rPr>
                <w:rFonts w:hint="eastAsia"/>
              </w:rPr>
              <w:t>Fe</w:t>
            </w:r>
          </w:p>
        </w:tc>
        <w:tc>
          <w:tcPr>
            <w:tcW w:w="652" w:type="dxa"/>
            <w:vAlign w:val="center"/>
          </w:tcPr>
          <w:p>
            <w:pPr>
              <w:pStyle w:val="33"/>
            </w:pPr>
            <w:r>
              <w:rPr>
                <w:rFonts w:hint="eastAsia"/>
              </w:rPr>
              <w:t>Cu</w:t>
            </w:r>
          </w:p>
        </w:tc>
        <w:tc>
          <w:tcPr>
            <w:tcW w:w="667" w:type="dxa"/>
            <w:vAlign w:val="center"/>
          </w:tcPr>
          <w:p>
            <w:pPr>
              <w:pStyle w:val="33"/>
            </w:pPr>
            <w:r>
              <w:rPr>
                <w:rFonts w:hint="eastAsia"/>
              </w:rPr>
              <w:t>Mn</w:t>
            </w:r>
          </w:p>
        </w:tc>
        <w:tc>
          <w:tcPr>
            <w:tcW w:w="662" w:type="dxa"/>
            <w:vAlign w:val="center"/>
          </w:tcPr>
          <w:p>
            <w:pPr>
              <w:pStyle w:val="33"/>
            </w:pPr>
            <w:r>
              <w:rPr>
                <w:rFonts w:hint="eastAsia"/>
              </w:rPr>
              <w:t>Cr</w:t>
            </w:r>
          </w:p>
        </w:tc>
        <w:tc>
          <w:tcPr>
            <w:tcW w:w="646" w:type="dxa"/>
            <w:vAlign w:val="center"/>
          </w:tcPr>
          <w:p>
            <w:pPr>
              <w:pStyle w:val="33"/>
            </w:pPr>
            <w:r>
              <w:rPr>
                <w:rFonts w:hint="eastAsia"/>
              </w:rPr>
              <w:t>Ni</w:t>
            </w:r>
          </w:p>
        </w:tc>
        <w:tc>
          <w:tcPr>
            <w:tcW w:w="660" w:type="dxa"/>
            <w:vAlign w:val="center"/>
          </w:tcPr>
          <w:p>
            <w:pPr>
              <w:pStyle w:val="33"/>
            </w:pPr>
            <w:r>
              <w:rPr>
                <w:rFonts w:hint="eastAsia"/>
              </w:rPr>
              <w:t>Ti</w:t>
            </w:r>
          </w:p>
        </w:tc>
        <w:tc>
          <w:tcPr>
            <w:tcW w:w="662" w:type="dxa"/>
            <w:vAlign w:val="center"/>
          </w:tcPr>
          <w:p>
            <w:pPr>
              <w:pStyle w:val="33"/>
            </w:pPr>
            <w:r>
              <w:rPr>
                <w:rFonts w:hint="eastAsia"/>
              </w:rPr>
              <w:t>B</w:t>
            </w:r>
          </w:p>
        </w:tc>
        <w:tc>
          <w:tcPr>
            <w:tcW w:w="651" w:type="dxa"/>
            <w:vAlign w:val="center"/>
          </w:tcPr>
          <w:p>
            <w:pPr>
              <w:pStyle w:val="33"/>
            </w:pPr>
            <w:r>
              <w:rPr>
                <w:rFonts w:hint="eastAsia"/>
              </w:rPr>
              <w:t>V</w:t>
            </w:r>
          </w:p>
        </w:tc>
        <w:tc>
          <w:tcPr>
            <w:tcW w:w="1062" w:type="dxa"/>
            <w:vMerge w:val="continue"/>
            <w:vAlign w:val="center"/>
          </w:tcPr>
          <w:p>
            <w:pPr>
              <w:pStyle w:val="33"/>
            </w:pPr>
          </w:p>
        </w:tc>
        <w:tc>
          <w:tcPr>
            <w:tcW w:w="645"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AlMn20</w:t>
            </w:r>
          </w:p>
        </w:tc>
        <w:tc>
          <w:tcPr>
            <w:tcW w:w="644"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r>
              <w:rPr>
                <w:rFonts w:hint="eastAsia"/>
                <w:sz w:val="18"/>
                <w:szCs w:val="18"/>
              </w:rPr>
              <w:t>0.25</w:t>
            </w:r>
          </w:p>
        </w:tc>
        <w:tc>
          <w:tcPr>
            <w:tcW w:w="652" w:type="dxa"/>
            <w:vAlign w:val="center"/>
          </w:tcPr>
          <w:p>
            <w:pPr>
              <w:pStyle w:val="33"/>
              <w:rPr>
                <w:sz w:val="18"/>
                <w:szCs w:val="18"/>
              </w:rPr>
            </w:pPr>
            <w:r>
              <w:rPr>
                <w:rFonts w:hint="eastAsia"/>
                <w:sz w:val="18"/>
                <w:szCs w:val="18"/>
              </w:rPr>
              <w:t>0.1</w:t>
            </w:r>
          </w:p>
        </w:tc>
        <w:tc>
          <w:tcPr>
            <w:tcW w:w="667" w:type="dxa"/>
            <w:vAlign w:val="center"/>
          </w:tcPr>
          <w:p>
            <w:pPr>
              <w:pStyle w:val="33"/>
              <w:rPr>
                <w:sz w:val="18"/>
                <w:szCs w:val="18"/>
              </w:rPr>
            </w:pPr>
            <w:r>
              <w:rPr>
                <w:rFonts w:hint="eastAsia"/>
                <w:sz w:val="18"/>
                <w:szCs w:val="18"/>
              </w:rPr>
              <w:t>19.0</w:t>
            </w: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p>
        </w:tc>
        <w:tc>
          <w:tcPr>
            <w:tcW w:w="662" w:type="dxa"/>
            <w:vAlign w:val="center"/>
          </w:tcPr>
          <w:p>
            <w:pPr>
              <w:pStyle w:val="33"/>
              <w:rPr>
                <w:sz w:val="18"/>
                <w:szCs w:val="18"/>
              </w:rPr>
            </w:pP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AlCu40</w:t>
            </w:r>
          </w:p>
        </w:tc>
        <w:tc>
          <w:tcPr>
            <w:tcW w:w="644"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r>
              <w:rPr>
                <w:rFonts w:hint="eastAsia"/>
                <w:sz w:val="18"/>
                <w:szCs w:val="18"/>
              </w:rPr>
              <w:t>0.25</w:t>
            </w:r>
          </w:p>
        </w:tc>
        <w:tc>
          <w:tcPr>
            <w:tcW w:w="652" w:type="dxa"/>
            <w:vAlign w:val="center"/>
          </w:tcPr>
          <w:p>
            <w:pPr>
              <w:pStyle w:val="33"/>
              <w:rPr>
                <w:sz w:val="18"/>
                <w:szCs w:val="18"/>
              </w:rPr>
            </w:pPr>
            <w:r>
              <w:rPr>
                <w:rFonts w:hint="eastAsia"/>
                <w:sz w:val="18"/>
                <w:szCs w:val="18"/>
              </w:rPr>
              <w:t>38</w:t>
            </w:r>
          </w:p>
        </w:tc>
        <w:tc>
          <w:tcPr>
            <w:tcW w:w="667" w:type="dxa"/>
            <w:vAlign w:val="center"/>
          </w:tcPr>
          <w:p>
            <w:pPr>
              <w:pStyle w:val="33"/>
              <w:rPr>
                <w:sz w:val="18"/>
                <w:szCs w:val="18"/>
              </w:rPr>
            </w:pP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p>
        </w:tc>
        <w:tc>
          <w:tcPr>
            <w:tcW w:w="662" w:type="dxa"/>
            <w:vAlign w:val="center"/>
          </w:tcPr>
          <w:p>
            <w:pPr>
              <w:pStyle w:val="33"/>
              <w:rPr>
                <w:sz w:val="18"/>
                <w:szCs w:val="18"/>
              </w:rPr>
            </w:pP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AlTi10</w:t>
            </w:r>
          </w:p>
        </w:tc>
        <w:tc>
          <w:tcPr>
            <w:tcW w:w="644" w:type="dxa"/>
            <w:vAlign w:val="center"/>
          </w:tcPr>
          <w:p>
            <w:pPr>
              <w:pStyle w:val="33"/>
              <w:rPr>
                <w:sz w:val="18"/>
                <w:szCs w:val="18"/>
              </w:rPr>
            </w:pPr>
            <w:r>
              <w:rPr>
                <w:rFonts w:hint="eastAsia"/>
                <w:sz w:val="18"/>
                <w:szCs w:val="18"/>
              </w:rPr>
              <w:t>0.3</w:t>
            </w:r>
          </w:p>
        </w:tc>
        <w:tc>
          <w:tcPr>
            <w:tcW w:w="662" w:type="dxa"/>
            <w:vAlign w:val="center"/>
          </w:tcPr>
          <w:p>
            <w:pPr>
              <w:pStyle w:val="33"/>
              <w:rPr>
                <w:sz w:val="18"/>
                <w:szCs w:val="18"/>
              </w:rPr>
            </w:pPr>
            <w:r>
              <w:rPr>
                <w:rFonts w:hint="eastAsia"/>
                <w:sz w:val="18"/>
                <w:szCs w:val="18"/>
              </w:rPr>
              <w:t>0.3</w:t>
            </w:r>
          </w:p>
        </w:tc>
        <w:tc>
          <w:tcPr>
            <w:tcW w:w="652" w:type="dxa"/>
            <w:vAlign w:val="center"/>
          </w:tcPr>
          <w:p>
            <w:pPr>
              <w:pStyle w:val="33"/>
              <w:rPr>
                <w:sz w:val="18"/>
                <w:szCs w:val="18"/>
              </w:rPr>
            </w:pPr>
            <w:r>
              <w:rPr>
                <w:rFonts w:hint="eastAsia"/>
                <w:sz w:val="18"/>
                <w:szCs w:val="18"/>
              </w:rPr>
              <w:t>0.2</w:t>
            </w:r>
          </w:p>
        </w:tc>
        <w:tc>
          <w:tcPr>
            <w:tcW w:w="667" w:type="dxa"/>
            <w:vAlign w:val="center"/>
          </w:tcPr>
          <w:p>
            <w:pPr>
              <w:pStyle w:val="33"/>
              <w:rPr>
                <w:sz w:val="18"/>
                <w:szCs w:val="18"/>
              </w:rPr>
            </w:pPr>
            <w:r>
              <w:rPr>
                <w:rFonts w:hint="eastAsia"/>
                <w:sz w:val="18"/>
                <w:szCs w:val="18"/>
              </w:rPr>
              <w:t>0.45</w:t>
            </w:r>
          </w:p>
        </w:tc>
        <w:tc>
          <w:tcPr>
            <w:tcW w:w="662" w:type="dxa"/>
            <w:vAlign w:val="center"/>
          </w:tcPr>
          <w:p>
            <w:pPr>
              <w:pStyle w:val="33"/>
              <w:rPr>
                <w:sz w:val="18"/>
                <w:szCs w:val="18"/>
              </w:rPr>
            </w:pPr>
            <w:r>
              <w:rPr>
                <w:rFonts w:hint="eastAsia"/>
                <w:sz w:val="18"/>
                <w:szCs w:val="18"/>
              </w:rPr>
              <w:t>0.10</w:t>
            </w:r>
          </w:p>
        </w:tc>
        <w:tc>
          <w:tcPr>
            <w:tcW w:w="646" w:type="dxa"/>
            <w:vAlign w:val="center"/>
          </w:tcPr>
          <w:p>
            <w:pPr>
              <w:pStyle w:val="33"/>
              <w:rPr>
                <w:sz w:val="18"/>
                <w:szCs w:val="18"/>
              </w:rPr>
            </w:pPr>
            <w:r>
              <w:rPr>
                <w:rFonts w:hint="eastAsia"/>
                <w:sz w:val="18"/>
                <w:szCs w:val="18"/>
              </w:rPr>
              <w:t>0.2</w:t>
            </w:r>
          </w:p>
        </w:tc>
        <w:tc>
          <w:tcPr>
            <w:tcW w:w="660" w:type="dxa"/>
            <w:vAlign w:val="center"/>
          </w:tcPr>
          <w:p>
            <w:pPr>
              <w:pStyle w:val="33"/>
              <w:rPr>
                <w:sz w:val="18"/>
                <w:szCs w:val="18"/>
              </w:rPr>
            </w:pPr>
            <w:r>
              <w:rPr>
                <w:rFonts w:hint="eastAsia"/>
                <w:sz w:val="18"/>
                <w:szCs w:val="18"/>
              </w:rPr>
              <w:t>9.0</w:t>
            </w:r>
          </w:p>
        </w:tc>
        <w:tc>
          <w:tcPr>
            <w:tcW w:w="662" w:type="dxa"/>
            <w:vAlign w:val="center"/>
          </w:tcPr>
          <w:p>
            <w:pPr>
              <w:pStyle w:val="33"/>
              <w:rPr>
                <w:sz w:val="18"/>
                <w:szCs w:val="18"/>
              </w:rPr>
            </w:pPr>
          </w:p>
        </w:tc>
        <w:tc>
          <w:tcPr>
            <w:tcW w:w="651" w:type="dxa"/>
            <w:vAlign w:val="center"/>
          </w:tcPr>
          <w:p>
            <w:pPr>
              <w:pStyle w:val="33"/>
              <w:rPr>
                <w:sz w:val="18"/>
                <w:szCs w:val="18"/>
              </w:rPr>
            </w:pPr>
            <w:r>
              <w:rPr>
                <w:rFonts w:hint="eastAsia"/>
                <w:sz w:val="18"/>
                <w:szCs w:val="18"/>
              </w:rPr>
              <w:t>0.5</w:t>
            </w: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AlFe20</w:t>
            </w:r>
          </w:p>
        </w:tc>
        <w:tc>
          <w:tcPr>
            <w:tcW w:w="644"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r>
              <w:rPr>
                <w:rFonts w:hint="eastAsia"/>
                <w:sz w:val="18"/>
                <w:szCs w:val="18"/>
              </w:rPr>
              <w:t>18</w:t>
            </w:r>
          </w:p>
        </w:tc>
        <w:tc>
          <w:tcPr>
            <w:tcW w:w="652" w:type="dxa"/>
            <w:vAlign w:val="center"/>
          </w:tcPr>
          <w:p>
            <w:pPr>
              <w:pStyle w:val="33"/>
              <w:rPr>
                <w:sz w:val="18"/>
                <w:szCs w:val="18"/>
              </w:rPr>
            </w:pPr>
            <w:r>
              <w:rPr>
                <w:rFonts w:hint="eastAsia"/>
                <w:sz w:val="18"/>
                <w:szCs w:val="18"/>
              </w:rPr>
              <w:t>0.1</w:t>
            </w:r>
          </w:p>
        </w:tc>
        <w:tc>
          <w:tcPr>
            <w:tcW w:w="667" w:type="dxa"/>
            <w:vAlign w:val="center"/>
          </w:tcPr>
          <w:p>
            <w:pPr>
              <w:pStyle w:val="33"/>
              <w:rPr>
                <w:sz w:val="18"/>
                <w:szCs w:val="18"/>
              </w:rPr>
            </w:pPr>
            <w:r>
              <w:rPr>
                <w:rFonts w:hint="eastAsia"/>
                <w:sz w:val="18"/>
                <w:szCs w:val="18"/>
              </w:rPr>
              <w:t>0.30</w:t>
            </w: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p>
        </w:tc>
        <w:tc>
          <w:tcPr>
            <w:tcW w:w="662" w:type="dxa"/>
            <w:vAlign w:val="center"/>
          </w:tcPr>
          <w:p>
            <w:pPr>
              <w:pStyle w:val="33"/>
              <w:rPr>
                <w:sz w:val="18"/>
                <w:szCs w:val="18"/>
              </w:rPr>
            </w:pP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AlB3</w:t>
            </w:r>
          </w:p>
        </w:tc>
        <w:tc>
          <w:tcPr>
            <w:tcW w:w="644"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r>
              <w:rPr>
                <w:rFonts w:hint="eastAsia"/>
                <w:sz w:val="18"/>
                <w:szCs w:val="18"/>
              </w:rPr>
              <w:t>0.3</w:t>
            </w:r>
          </w:p>
        </w:tc>
        <w:tc>
          <w:tcPr>
            <w:tcW w:w="652" w:type="dxa"/>
            <w:vAlign w:val="center"/>
          </w:tcPr>
          <w:p>
            <w:pPr>
              <w:pStyle w:val="33"/>
              <w:rPr>
                <w:sz w:val="18"/>
                <w:szCs w:val="18"/>
              </w:rPr>
            </w:pPr>
          </w:p>
        </w:tc>
        <w:tc>
          <w:tcPr>
            <w:tcW w:w="667" w:type="dxa"/>
            <w:vAlign w:val="center"/>
          </w:tcPr>
          <w:p>
            <w:pPr>
              <w:pStyle w:val="33"/>
              <w:rPr>
                <w:sz w:val="18"/>
                <w:szCs w:val="18"/>
              </w:rPr>
            </w:pP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p>
        </w:tc>
        <w:tc>
          <w:tcPr>
            <w:tcW w:w="662" w:type="dxa"/>
            <w:vAlign w:val="center"/>
          </w:tcPr>
          <w:p>
            <w:pPr>
              <w:pStyle w:val="33"/>
              <w:rPr>
                <w:sz w:val="18"/>
                <w:szCs w:val="18"/>
              </w:rPr>
            </w:pPr>
            <w:r>
              <w:rPr>
                <w:rFonts w:hint="eastAsia"/>
                <w:sz w:val="18"/>
                <w:szCs w:val="18"/>
              </w:rPr>
              <w:t>2.5</w:t>
            </w: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AlV5</w:t>
            </w:r>
          </w:p>
        </w:tc>
        <w:tc>
          <w:tcPr>
            <w:tcW w:w="644"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r>
              <w:rPr>
                <w:rFonts w:hint="eastAsia"/>
                <w:sz w:val="18"/>
                <w:szCs w:val="18"/>
              </w:rPr>
              <w:t>0.25</w:t>
            </w:r>
          </w:p>
        </w:tc>
        <w:tc>
          <w:tcPr>
            <w:tcW w:w="652" w:type="dxa"/>
            <w:vAlign w:val="center"/>
          </w:tcPr>
          <w:p>
            <w:pPr>
              <w:pStyle w:val="33"/>
              <w:rPr>
                <w:sz w:val="18"/>
                <w:szCs w:val="18"/>
              </w:rPr>
            </w:pPr>
          </w:p>
        </w:tc>
        <w:tc>
          <w:tcPr>
            <w:tcW w:w="667" w:type="dxa"/>
            <w:vAlign w:val="center"/>
          </w:tcPr>
          <w:p>
            <w:pPr>
              <w:pStyle w:val="33"/>
              <w:rPr>
                <w:sz w:val="18"/>
                <w:szCs w:val="18"/>
              </w:rPr>
            </w:pP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r>
              <w:rPr>
                <w:rFonts w:hint="eastAsia"/>
                <w:sz w:val="18"/>
                <w:szCs w:val="18"/>
              </w:rPr>
              <w:t>0.03</w:t>
            </w:r>
          </w:p>
        </w:tc>
        <w:tc>
          <w:tcPr>
            <w:tcW w:w="662" w:type="dxa"/>
            <w:vAlign w:val="center"/>
          </w:tcPr>
          <w:p>
            <w:pPr>
              <w:pStyle w:val="33"/>
              <w:rPr>
                <w:sz w:val="18"/>
                <w:szCs w:val="18"/>
              </w:rPr>
            </w:pPr>
            <w:r>
              <w:rPr>
                <w:rFonts w:hint="eastAsia"/>
                <w:sz w:val="18"/>
                <w:szCs w:val="18"/>
              </w:rPr>
              <w:t>0.01</w:t>
            </w:r>
          </w:p>
        </w:tc>
        <w:tc>
          <w:tcPr>
            <w:tcW w:w="651" w:type="dxa"/>
            <w:vAlign w:val="center"/>
          </w:tcPr>
          <w:p>
            <w:pPr>
              <w:pStyle w:val="33"/>
              <w:rPr>
                <w:sz w:val="18"/>
                <w:szCs w:val="18"/>
              </w:rPr>
            </w:pPr>
            <w:r>
              <w:rPr>
                <w:rFonts w:hint="eastAsia"/>
                <w:sz w:val="18"/>
                <w:szCs w:val="18"/>
              </w:rPr>
              <w:t>4.5</w:t>
            </w:r>
          </w:p>
        </w:tc>
        <w:tc>
          <w:tcPr>
            <w:tcW w:w="1062" w:type="dxa"/>
            <w:vAlign w:val="center"/>
          </w:tcPr>
          <w:p>
            <w:pPr>
              <w:pStyle w:val="33"/>
              <w:rPr>
                <w:sz w:val="18"/>
                <w:szCs w:val="18"/>
              </w:rPr>
            </w:pPr>
            <w:r>
              <w:rPr>
                <w:rFonts w:hint="eastAsia"/>
                <w:sz w:val="18"/>
                <w:szCs w:val="18"/>
              </w:rPr>
              <w:t>0.1</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AlSr10</w:t>
            </w:r>
          </w:p>
        </w:tc>
        <w:tc>
          <w:tcPr>
            <w:tcW w:w="644"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r>
              <w:rPr>
                <w:rFonts w:hint="eastAsia"/>
                <w:sz w:val="18"/>
                <w:szCs w:val="18"/>
              </w:rPr>
              <w:t>0.3</w:t>
            </w:r>
          </w:p>
        </w:tc>
        <w:tc>
          <w:tcPr>
            <w:tcW w:w="652" w:type="dxa"/>
            <w:vAlign w:val="center"/>
          </w:tcPr>
          <w:p>
            <w:pPr>
              <w:pStyle w:val="33"/>
              <w:rPr>
                <w:sz w:val="18"/>
                <w:szCs w:val="18"/>
              </w:rPr>
            </w:pPr>
          </w:p>
        </w:tc>
        <w:tc>
          <w:tcPr>
            <w:tcW w:w="667" w:type="dxa"/>
            <w:vAlign w:val="center"/>
          </w:tcPr>
          <w:p>
            <w:pPr>
              <w:pStyle w:val="33"/>
              <w:rPr>
                <w:sz w:val="18"/>
                <w:szCs w:val="18"/>
              </w:rPr>
            </w:pP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p>
        </w:tc>
        <w:tc>
          <w:tcPr>
            <w:tcW w:w="662" w:type="dxa"/>
            <w:vAlign w:val="center"/>
          </w:tcPr>
          <w:p>
            <w:pPr>
              <w:pStyle w:val="33"/>
              <w:rPr>
                <w:sz w:val="18"/>
                <w:szCs w:val="18"/>
              </w:rPr>
            </w:pP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AlZr10</w:t>
            </w:r>
          </w:p>
        </w:tc>
        <w:tc>
          <w:tcPr>
            <w:tcW w:w="644" w:type="dxa"/>
            <w:vAlign w:val="center"/>
          </w:tcPr>
          <w:p>
            <w:pPr>
              <w:pStyle w:val="33"/>
              <w:rPr>
                <w:sz w:val="18"/>
                <w:szCs w:val="18"/>
              </w:rPr>
            </w:pPr>
            <w:r>
              <w:rPr>
                <w:rFonts w:hint="eastAsia"/>
                <w:sz w:val="18"/>
                <w:szCs w:val="18"/>
              </w:rPr>
              <w:t>0.3</w:t>
            </w:r>
          </w:p>
        </w:tc>
        <w:tc>
          <w:tcPr>
            <w:tcW w:w="662" w:type="dxa"/>
            <w:vAlign w:val="center"/>
          </w:tcPr>
          <w:p>
            <w:pPr>
              <w:pStyle w:val="33"/>
              <w:rPr>
                <w:sz w:val="18"/>
                <w:szCs w:val="18"/>
              </w:rPr>
            </w:pPr>
            <w:r>
              <w:rPr>
                <w:rFonts w:hint="eastAsia"/>
                <w:sz w:val="18"/>
                <w:szCs w:val="18"/>
              </w:rPr>
              <w:t>0.45</w:t>
            </w:r>
          </w:p>
        </w:tc>
        <w:tc>
          <w:tcPr>
            <w:tcW w:w="652" w:type="dxa"/>
            <w:vAlign w:val="center"/>
          </w:tcPr>
          <w:p>
            <w:pPr>
              <w:pStyle w:val="33"/>
              <w:rPr>
                <w:sz w:val="18"/>
                <w:szCs w:val="18"/>
              </w:rPr>
            </w:pPr>
            <w:r>
              <w:rPr>
                <w:rFonts w:hint="eastAsia"/>
                <w:sz w:val="18"/>
                <w:szCs w:val="18"/>
              </w:rPr>
              <w:t>0.2</w:t>
            </w:r>
          </w:p>
        </w:tc>
        <w:tc>
          <w:tcPr>
            <w:tcW w:w="667" w:type="dxa"/>
            <w:vAlign w:val="center"/>
          </w:tcPr>
          <w:p>
            <w:pPr>
              <w:pStyle w:val="33"/>
              <w:rPr>
                <w:sz w:val="18"/>
                <w:szCs w:val="18"/>
              </w:rPr>
            </w:pPr>
          </w:p>
        </w:tc>
        <w:tc>
          <w:tcPr>
            <w:tcW w:w="662" w:type="dxa"/>
            <w:vAlign w:val="center"/>
          </w:tcPr>
          <w:p>
            <w:pPr>
              <w:pStyle w:val="33"/>
              <w:rPr>
                <w:sz w:val="18"/>
                <w:szCs w:val="18"/>
              </w:rPr>
            </w:pPr>
          </w:p>
        </w:tc>
        <w:tc>
          <w:tcPr>
            <w:tcW w:w="646" w:type="dxa"/>
            <w:vAlign w:val="center"/>
          </w:tcPr>
          <w:p>
            <w:pPr>
              <w:pStyle w:val="33"/>
              <w:rPr>
                <w:sz w:val="18"/>
                <w:szCs w:val="18"/>
              </w:rPr>
            </w:pPr>
            <w:r>
              <w:rPr>
                <w:rFonts w:hint="eastAsia"/>
                <w:sz w:val="18"/>
                <w:szCs w:val="18"/>
              </w:rPr>
              <w:t>0.2</w:t>
            </w:r>
          </w:p>
        </w:tc>
        <w:tc>
          <w:tcPr>
            <w:tcW w:w="660" w:type="dxa"/>
            <w:vAlign w:val="center"/>
          </w:tcPr>
          <w:p>
            <w:pPr>
              <w:pStyle w:val="33"/>
              <w:rPr>
                <w:sz w:val="18"/>
                <w:szCs w:val="18"/>
              </w:rPr>
            </w:pPr>
            <w:r>
              <w:rPr>
                <w:rFonts w:hint="eastAsia"/>
                <w:sz w:val="18"/>
                <w:szCs w:val="18"/>
              </w:rPr>
              <w:t>0.2</w:t>
            </w:r>
          </w:p>
        </w:tc>
        <w:tc>
          <w:tcPr>
            <w:tcW w:w="662" w:type="dxa"/>
            <w:vAlign w:val="center"/>
          </w:tcPr>
          <w:p>
            <w:pPr>
              <w:pStyle w:val="33"/>
              <w:rPr>
                <w:sz w:val="18"/>
                <w:szCs w:val="18"/>
              </w:rPr>
            </w:pP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vAlign w:val="center"/>
          </w:tcPr>
          <w:p>
            <w:pPr>
              <w:pStyle w:val="33"/>
              <w:rPr>
                <w:sz w:val="18"/>
                <w:szCs w:val="18"/>
              </w:rPr>
            </w:pPr>
            <w:r>
              <w:rPr>
                <w:rFonts w:hint="eastAsia"/>
                <w:sz w:val="18"/>
                <w:szCs w:val="18"/>
              </w:rPr>
              <w:t>AlSi12</w:t>
            </w:r>
          </w:p>
        </w:tc>
        <w:tc>
          <w:tcPr>
            <w:tcW w:w="644" w:type="dxa"/>
            <w:vAlign w:val="center"/>
          </w:tcPr>
          <w:p>
            <w:pPr>
              <w:pStyle w:val="33"/>
              <w:rPr>
                <w:sz w:val="18"/>
                <w:szCs w:val="18"/>
              </w:rPr>
            </w:pPr>
            <w:r>
              <w:rPr>
                <w:rFonts w:hint="eastAsia"/>
                <w:sz w:val="18"/>
                <w:szCs w:val="18"/>
              </w:rPr>
              <w:t>11</w:t>
            </w:r>
          </w:p>
        </w:tc>
        <w:tc>
          <w:tcPr>
            <w:tcW w:w="662" w:type="dxa"/>
            <w:vAlign w:val="center"/>
          </w:tcPr>
          <w:p>
            <w:pPr>
              <w:pStyle w:val="33"/>
              <w:rPr>
                <w:sz w:val="18"/>
                <w:szCs w:val="18"/>
              </w:rPr>
            </w:pPr>
            <w:r>
              <w:rPr>
                <w:rFonts w:hint="eastAsia"/>
                <w:sz w:val="18"/>
                <w:szCs w:val="18"/>
              </w:rPr>
              <w:t>0.35</w:t>
            </w:r>
          </w:p>
        </w:tc>
        <w:tc>
          <w:tcPr>
            <w:tcW w:w="652" w:type="dxa"/>
            <w:vAlign w:val="center"/>
          </w:tcPr>
          <w:p>
            <w:pPr>
              <w:pStyle w:val="33"/>
              <w:rPr>
                <w:sz w:val="18"/>
                <w:szCs w:val="18"/>
              </w:rPr>
            </w:pPr>
            <w:r>
              <w:rPr>
                <w:rFonts w:hint="eastAsia"/>
                <w:sz w:val="18"/>
                <w:szCs w:val="18"/>
              </w:rPr>
              <w:t>0.10</w:t>
            </w:r>
          </w:p>
        </w:tc>
        <w:tc>
          <w:tcPr>
            <w:tcW w:w="667" w:type="dxa"/>
            <w:vAlign w:val="center"/>
          </w:tcPr>
          <w:p>
            <w:pPr>
              <w:pStyle w:val="33"/>
              <w:rPr>
                <w:sz w:val="18"/>
                <w:szCs w:val="18"/>
              </w:rPr>
            </w:pPr>
          </w:p>
        </w:tc>
        <w:tc>
          <w:tcPr>
            <w:tcW w:w="662" w:type="dxa"/>
            <w:vAlign w:val="center"/>
          </w:tcPr>
          <w:p>
            <w:pPr>
              <w:pStyle w:val="33"/>
              <w:rPr>
                <w:sz w:val="18"/>
                <w:szCs w:val="18"/>
              </w:rPr>
            </w:pPr>
          </w:p>
        </w:tc>
        <w:tc>
          <w:tcPr>
            <w:tcW w:w="646" w:type="dxa"/>
            <w:vAlign w:val="center"/>
          </w:tcPr>
          <w:p>
            <w:pPr>
              <w:pStyle w:val="33"/>
              <w:rPr>
                <w:sz w:val="18"/>
                <w:szCs w:val="18"/>
              </w:rPr>
            </w:pPr>
          </w:p>
        </w:tc>
        <w:tc>
          <w:tcPr>
            <w:tcW w:w="660" w:type="dxa"/>
            <w:vAlign w:val="center"/>
          </w:tcPr>
          <w:p>
            <w:pPr>
              <w:pStyle w:val="33"/>
              <w:rPr>
                <w:sz w:val="18"/>
                <w:szCs w:val="18"/>
              </w:rPr>
            </w:pPr>
          </w:p>
        </w:tc>
        <w:tc>
          <w:tcPr>
            <w:tcW w:w="662" w:type="dxa"/>
            <w:vAlign w:val="center"/>
          </w:tcPr>
          <w:p>
            <w:pPr>
              <w:pStyle w:val="33"/>
              <w:rPr>
                <w:sz w:val="18"/>
                <w:szCs w:val="18"/>
              </w:rPr>
            </w:pPr>
          </w:p>
        </w:tc>
        <w:tc>
          <w:tcPr>
            <w:tcW w:w="651" w:type="dxa"/>
            <w:vAlign w:val="center"/>
          </w:tcPr>
          <w:p>
            <w:pPr>
              <w:pStyle w:val="33"/>
              <w:rPr>
                <w:sz w:val="18"/>
                <w:szCs w:val="18"/>
              </w:rPr>
            </w:pPr>
          </w:p>
        </w:tc>
        <w:tc>
          <w:tcPr>
            <w:tcW w:w="1062" w:type="dxa"/>
            <w:vAlign w:val="center"/>
          </w:tcPr>
          <w:p>
            <w:pPr>
              <w:pStyle w:val="33"/>
              <w:rPr>
                <w:sz w:val="18"/>
                <w:szCs w:val="18"/>
              </w:rPr>
            </w:pPr>
            <w:r>
              <w:rPr>
                <w:rFonts w:hint="eastAsia"/>
                <w:sz w:val="18"/>
                <w:szCs w:val="18"/>
              </w:rPr>
              <w:t>0.15</w:t>
            </w:r>
          </w:p>
        </w:tc>
        <w:tc>
          <w:tcPr>
            <w:tcW w:w="645" w:type="dxa"/>
            <w:vAlign w:val="center"/>
          </w:tcPr>
          <w:p>
            <w:pPr>
              <w:pStyle w:val="33"/>
              <w:rPr>
                <w:sz w:val="18"/>
                <w:szCs w:val="18"/>
              </w:rPr>
            </w:pPr>
            <w:r>
              <w:rPr>
                <w:rFonts w:hint="eastAsia"/>
                <w:sz w:val="18"/>
                <w:szCs w:val="18"/>
              </w:rPr>
              <w:t>余量</w:t>
            </w:r>
          </w:p>
        </w:tc>
      </w:tr>
    </w:tbl>
    <w:p>
      <w:pPr>
        <w:pStyle w:val="5"/>
      </w:pPr>
      <w:bookmarkStart w:id="66" w:name="_Toc14962"/>
      <w:r>
        <w:rPr>
          <w:rFonts w:hint="eastAsia"/>
        </w:rPr>
        <w:t>3.5生产设备</w:t>
      </w:r>
      <w:bookmarkEnd w:id="66"/>
    </w:p>
    <w:p>
      <w:pPr>
        <w:pStyle w:val="7"/>
        <w:ind w:firstLine="480"/>
      </w:pPr>
      <w:r>
        <w:rPr>
          <w:rFonts w:hint="eastAsia"/>
        </w:rPr>
        <w:t>本项目生产过程中使用的主要生产设备如下：</w:t>
      </w:r>
    </w:p>
    <w:p>
      <w:pPr>
        <w:pStyle w:val="31"/>
      </w:pPr>
      <w:r>
        <w:rPr>
          <w:rFonts w:hint="eastAsia"/>
        </w:rPr>
        <w:t>表3.5-1  一期工程主要设备表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38"/>
        <w:gridCol w:w="3264"/>
        <w:gridCol w:w="1774"/>
        <w:gridCol w:w="726"/>
        <w:gridCol w:w="750"/>
        <w:gridCol w:w="126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序号</w:t>
            </w:r>
          </w:p>
        </w:tc>
        <w:tc>
          <w:tcPr>
            <w:tcW w:w="1915" w:type="pct"/>
            <w:shd w:val="clear" w:color="auto" w:fill="auto"/>
            <w:vAlign w:val="center"/>
          </w:tcPr>
          <w:p>
            <w:pPr>
              <w:pStyle w:val="33"/>
            </w:pPr>
            <w:r>
              <w:rPr>
                <w:rFonts w:hint="eastAsia"/>
              </w:rPr>
              <w:t>设备名称</w:t>
            </w:r>
          </w:p>
        </w:tc>
        <w:tc>
          <w:tcPr>
            <w:tcW w:w="1041" w:type="pct"/>
            <w:shd w:val="clear" w:color="auto" w:fill="auto"/>
            <w:noWrap/>
            <w:vAlign w:val="center"/>
          </w:tcPr>
          <w:p>
            <w:pPr>
              <w:pStyle w:val="33"/>
            </w:pPr>
            <w:r>
              <w:rPr>
                <w:rFonts w:hint="eastAsia"/>
              </w:rPr>
              <w:t>型号</w:t>
            </w:r>
          </w:p>
        </w:tc>
        <w:tc>
          <w:tcPr>
            <w:tcW w:w="426" w:type="pct"/>
            <w:shd w:val="clear" w:color="auto" w:fill="auto"/>
            <w:noWrap/>
            <w:vAlign w:val="center"/>
          </w:tcPr>
          <w:p>
            <w:pPr>
              <w:pStyle w:val="33"/>
            </w:pPr>
            <w:r>
              <w:rPr>
                <w:rFonts w:hint="eastAsia"/>
              </w:rPr>
              <w:t>单位</w:t>
            </w:r>
          </w:p>
        </w:tc>
        <w:tc>
          <w:tcPr>
            <w:tcW w:w="440" w:type="pct"/>
            <w:shd w:val="clear" w:color="auto" w:fill="auto"/>
            <w:vAlign w:val="center"/>
          </w:tcPr>
          <w:p>
            <w:pPr>
              <w:pStyle w:val="33"/>
            </w:pPr>
            <w:r>
              <w:rPr>
                <w:rFonts w:hint="eastAsia"/>
              </w:rPr>
              <w:t>数量</w:t>
            </w:r>
          </w:p>
        </w:tc>
        <w:tc>
          <w:tcPr>
            <w:tcW w:w="743" w:type="pct"/>
            <w:shd w:val="clear" w:color="auto" w:fill="auto"/>
            <w:vAlign w:val="center"/>
          </w:tcPr>
          <w:p>
            <w:pPr>
              <w:pStyle w:val="33"/>
            </w:pPr>
            <w:r>
              <w:rPr>
                <w:rFonts w:hint="eastAsia"/>
              </w:rPr>
              <w:t>备足</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w:t>
            </w:r>
          </w:p>
        </w:tc>
        <w:tc>
          <w:tcPr>
            <w:tcW w:w="1915" w:type="pct"/>
            <w:shd w:val="clear" w:color="auto" w:fill="auto"/>
            <w:vAlign w:val="center"/>
          </w:tcPr>
          <w:p>
            <w:pPr>
              <w:pStyle w:val="33"/>
            </w:pPr>
            <w:r>
              <w:rPr>
                <w:rFonts w:hint="eastAsia"/>
              </w:rPr>
              <w:t>圆铸锭矩形倾动式熔保炉</w:t>
            </w:r>
          </w:p>
        </w:tc>
        <w:tc>
          <w:tcPr>
            <w:tcW w:w="1041" w:type="pct"/>
            <w:shd w:val="clear" w:color="auto" w:fill="auto"/>
            <w:noWrap/>
            <w:vAlign w:val="center"/>
          </w:tcPr>
          <w:p>
            <w:pPr>
              <w:pStyle w:val="33"/>
            </w:pPr>
            <w:r>
              <w:rPr>
                <w:rFonts w:hint="eastAsia"/>
              </w:rPr>
              <w:t>45T</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6</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w:t>
            </w:r>
          </w:p>
        </w:tc>
        <w:tc>
          <w:tcPr>
            <w:tcW w:w="1915" w:type="pct"/>
            <w:shd w:val="clear" w:color="auto" w:fill="auto"/>
            <w:vAlign w:val="center"/>
          </w:tcPr>
          <w:p>
            <w:pPr>
              <w:pStyle w:val="33"/>
            </w:pPr>
            <w:r>
              <w:rPr>
                <w:rFonts w:hint="eastAsia"/>
              </w:rPr>
              <w:t>板锭生产线熔炼炉</w:t>
            </w:r>
          </w:p>
        </w:tc>
        <w:tc>
          <w:tcPr>
            <w:tcW w:w="1041" w:type="pct"/>
            <w:shd w:val="clear" w:color="auto" w:fill="auto"/>
            <w:noWrap/>
            <w:vAlign w:val="center"/>
          </w:tcPr>
          <w:p>
            <w:pPr>
              <w:pStyle w:val="33"/>
            </w:pPr>
            <w:r>
              <w:rPr>
                <w:rFonts w:hint="eastAsia"/>
              </w:rPr>
              <w:t>50T</w:t>
            </w: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6</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w:t>
            </w:r>
          </w:p>
        </w:tc>
        <w:tc>
          <w:tcPr>
            <w:tcW w:w="1915" w:type="pct"/>
            <w:shd w:val="clear" w:color="auto" w:fill="auto"/>
            <w:vAlign w:val="center"/>
          </w:tcPr>
          <w:p>
            <w:pPr>
              <w:pStyle w:val="33"/>
            </w:pPr>
            <w:r>
              <w:rPr>
                <w:rFonts w:hint="eastAsia"/>
              </w:rPr>
              <w:t>炉内精炼系统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4</w:t>
            </w:r>
          </w:p>
        </w:tc>
        <w:tc>
          <w:tcPr>
            <w:tcW w:w="1915" w:type="pct"/>
            <w:shd w:val="clear" w:color="auto" w:fill="auto"/>
            <w:vAlign w:val="center"/>
          </w:tcPr>
          <w:p>
            <w:pPr>
              <w:pStyle w:val="33"/>
            </w:pPr>
            <w:r>
              <w:rPr>
                <w:rFonts w:hint="eastAsia"/>
              </w:rPr>
              <w:t>电磁搅拌器</w:t>
            </w:r>
          </w:p>
        </w:tc>
        <w:tc>
          <w:tcPr>
            <w:tcW w:w="1041" w:type="pct"/>
            <w:shd w:val="clear" w:color="auto" w:fill="auto"/>
            <w:noWrap/>
            <w:vAlign w:val="center"/>
          </w:tcPr>
          <w:p>
            <w:pPr>
              <w:pStyle w:val="33"/>
            </w:pPr>
            <w:r>
              <w:rPr>
                <w:rFonts w:hint="eastAsia"/>
              </w:rPr>
              <w:t>45T</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5</w:t>
            </w:r>
          </w:p>
        </w:tc>
        <w:tc>
          <w:tcPr>
            <w:tcW w:w="1915" w:type="pct"/>
            <w:shd w:val="clear" w:color="auto" w:fill="auto"/>
            <w:vAlign w:val="center"/>
          </w:tcPr>
          <w:p>
            <w:pPr>
              <w:pStyle w:val="33"/>
            </w:pPr>
            <w:r>
              <w:rPr>
                <w:rFonts w:hint="eastAsia"/>
              </w:rPr>
              <w:t>LPC低压铸造机</w:t>
            </w:r>
          </w:p>
        </w:tc>
        <w:tc>
          <w:tcPr>
            <w:tcW w:w="1041" w:type="pct"/>
            <w:shd w:val="clear" w:color="auto" w:fill="auto"/>
            <w:noWrap/>
            <w:vAlign w:val="center"/>
          </w:tcPr>
          <w:p>
            <w:pPr>
              <w:pStyle w:val="33"/>
            </w:pPr>
            <w:r>
              <w:rPr>
                <w:rFonts w:hint="eastAsia"/>
              </w:rPr>
              <w:t>LPC-casting</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4</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6</w:t>
            </w:r>
          </w:p>
        </w:tc>
        <w:tc>
          <w:tcPr>
            <w:tcW w:w="1915" w:type="pct"/>
            <w:shd w:val="clear" w:color="auto" w:fill="auto"/>
            <w:vAlign w:val="center"/>
          </w:tcPr>
          <w:p>
            <w:pPr>
              <w:pStyle w:val="33"/>
            </w:pPr>
            <w:r>
              <w:rPr>
                <w:rFonts w:hint="eastAsia"/>
              </w:rPr>
              <w:t>铸造工装</w:t>
            </w:r>
          </w:p>
        </w:tc>
        <w:tc>
          <w:tcPr>
            <w:tcW w:w="1041" w:type="pct"/>
            <w:shd w:val="clear" w:color="auto" w:fill="auto"/>
            <w:noWrap/>
            <w:vAlign w:val="center"/>
          </w:tcPr>
          <w:p>
            <w:pPr>
              <w:pStyle w:val="33"/>
            </w:pPr>
            <w:r>
              <w:rPr>
                <w:rFonts w:hint="eastAsia"/>
              </w:rPr>
              <w:t>LPC-45T</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9</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7</w:t>
            </w:r>
          </w:p>
        </w:tc>
        <w:tc>
          <w:tcPr>
            <w:tcW w:w="1915" w:type="pct"/>
            <w:shd w:val="clear" w:color="auto" w:fill="auto"/>
            <w:vAlign w:val="center"/>
          </w:tcPr>
          <w:p>
            <w:pPr>
              <w:pStyle w:val="33"/>
            </w:pPr>
            <w:r>
              <w:rPr>
                <w:rFonts w:hint="eastAsia"/>
              </w:rPr>
              <w:t>模具和溜槽中心</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8</w:t>
            </w:r>
          </w:p>
        </w:tc>
        <w:tc>
          <w:tcPr>
            <w:tcW w:w="1915" w:type="pct"/>
            <w:shd w:val="clear" w:color="auto" w:fill="auto"/>
            <w:vAlign w:val="center"/>
          </w:tcPr>
          <w:p>
            <w:pPr>
              <w:pStyle w:val="33"/>
            </w:pPr>
            <w:r>
              <w:rPr>
                <w:rFonts w:hint="eastAsia"/>
              </w:rPr>
              <w:t>虹吸式在线除气机</w:t>
            </w:r>
          </w:p>
        </w:tc>
        <w:tc>
          <w:tcPr>
            <w:tcW w:w="1041" w:type="pct"/>
            <w:shd w:val="clear" w:color="auto" w:fill="auto"/>
            <w:noWrap/>
            <w:vAlign w:val="center"/>
          </w:tcPr>
          <w:p>
            <w:pPr>
              <w:pStyle w:val="33"/>
            </w:pPr>
            <w:r>
              <w:rPr>
                <w:rFonts w:hint="eastAsia"/>
              </w:rPr>
              <w:t>SIR</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8</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9</w:t>
            </w:r>
          </w:p>
        </w:tc>
        <w:tc>
          <w:tcPr>
            <w:tcW w:w="1915" w:type="pct"/>
            <w:shd w:val="clear" w:color="auto" w:fill="auto"/>
            <w:vAlign w:val="center"/>
          </w:tcPr>
          <w:p>
            <w:pPr>
              <w:pStyle w:val="33"/>
            </w:pPr>
            <w:r>
              <w:rPr>
                <w:rFonts w:hint="eastAsia"/>
              </w:rPr>
              <w:t>板式过滤器</w:t>
            </w:r>
          </w:p>
        </w:tc>
        <w:tc>
          <w:tcPr>
            <w:tcW w:w="1041" w:type="pct"/>
            <w:shd w:val="clear" w:color="auto" w:fill="auto"/>
            <w:noWrap/>
            <w:vAlign w:val="center"/>
          </w:tcPr>
          <w:p>
            <w:pPr>
              <w:pStyle w:val="33"/>
            </w:pPr>
            <w:r>
              <w:rPr>
                <w:rFonts w:hint="eastAsia"/>
              </w:rPr>
              <w:t>CFF-20*23</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4</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10</w:t>
            </w:r>
          </w:p>
        </w:tc>
        <w:tc>
          <w:tcPr>
            <w:tcW w:w="1915" w:type="pct"/>
            <w:shd w:val="clear" w:color="auto" w:fill="auto"/>
            <w:vAlign w:val="center"/>
          </w:tcPr>
          <w:p>
            <w:pPr>
              <w:pStyle w:val="33"/>
            </w:pPr>
            <w:r>
              <w:rPr>
                <w:rFonts w:hint="eastAsia"/>
              </w:rPr>
              <w:t>管式过滤器</w:t>
            </w:r>
          </w:p>
        </w:tc>
        <w:tc>
          <w:tcPr>
            <w:tcW w:w="1041" w:type="pct"/>
            <w:shd w:val="clear" w:color="auto" w:fill="auto"/>
            <w:noWrap/>
            <w:vAlign w:val="center"/>
          </w:tcPr>
          <w:p>
            <w:pPr>
              <w:pStyle w:val="33"/>
            </w:pPr>
            <w:r>
              <w:rPr>
                <w:rFonts w:hint="eastAsia"/>
              </w:rPr>
              <w:t>MCF-28*2</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4</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11</w:t>
            </w:r>
          </w:p>
        </w:tc>
        <w:tc>
          <w:tcPr>
            <w:tcW w:w="1915" w:type="pct"/>
            <w:shd w:val="clear" w:color="auto" w:fill="auto"/>
            <w:vAlign w:val="center"/>
          </w:tcPr>
          <w:p>
            <w:pPr>
              <w:pStyle w:val="33"/>
            </w:pPr>
            <w:r>
              <w:rPr>
                <w:rFonts w:hint="eastAsia"/>
              </w:rPr>
              <w:t>RAM除碱设备</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12</w:t>
            </w:r>
          </w:p>
        </w:tc>
        <w:tc>
          <w:tcPr>
            <w:tcW w:w="1915" w:type="pct"/>
            <w:shd w:val="clear" w:color="auto" w:fill="auto"/>
            <w:vAlign w:val="center"/>
          </w:tcPr>
          <w:p>
            <w:pPr>
              <w:pStyle w:val="33"/>
            </w:pPr>
            <w:r>
              <w:rPr>
                <w:rFonts w:hint="eastAsia"/>
              </w:rPr>
              <w:t>扒渣车</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13</w:t>
            </w:r>
          </w:p>
        </w:tc>
        <w:tc>
          <w:tcPr>
            <w:tcW w:w="1915" w:type="pct"/>
            <w:shd w:val="clear" w:color="auto" w:fill="auto"/>
            <w:vAlign w:val="center"/>
          </w:tcPr>
          <w:p>
            <w:pPr>
              <w:pStyle w:val="33"/>
            </w:pPr>
            <w:r>
              <w:rPr>
                <w:rFonts w:hint="eastAsia"/>
              </w:rPr>
              <w:t>加料车</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14</w:t>
            </w:r>
          </w:p>
        </w:tc>
        <w:tc>
          <w:tcPr>
            <w:tcW w:w="1915" w:type="pct"/>
            <w:shd w:val="clear" w:color="auto" w:fill="auto"/>
            <w:vAlign w:val="center"/>
          </w:tcPr>
          <w:p>
            <w:pPr>
              <w:pStyle w:val="33"/>
            </w:pPr>
            <w:r>
              <w:rPr>
                <w:rFonts w:hint="eastAsia"/>
              </w:rPr>
              <w:t>起重机</w:t>
            </w:r>
          </w:p>
        </w:tc>
        <w:tc>
          <w:tcPr>
            <w:tcW w:w="1041" w:type="pct"/>
            <w:shd w:val="clear" w:color="auto" w:fill="auto"/>
            <w:noWrap/>
            <w:vAlign w:val="center"/>
          </w:tcPr>
          <w:p>
            <w:pPr>
              <w:pStyle w:val="33"/>
            </w:pPr>
            <w:r>
              <w:rPr>
                <w:rFonts w:hint="eastAsia"/>
              </w:rPr>
              <w:t>35T A7</w:t>
            </w: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15</w:t>
            </w:r>
          </w:p>
        </w:tc>
        <w:tc>
          <w:tcPr>
            <w:tcW w:w="1915" w:type="pct"/>
            <w:shd w:val="clear" w:color="auto" w:fill="auto"/>
            <w:vAlign w:val="center"/>
          </w:tcPr>
          <w:p>
            <w:pPr>
              <w:pStyle w:val="33"/>
            </w:pPr>
            <w:r>
              <w:rPr>
                <w:rFonts w:hint="eastAsia"/>
              </w:rPr>
              <w:t>起重机</w:t>
            </w:r>
          </w:p>
        </w:tc>
        <w:tc>
          <w:tcPr>
            <w:tcW w:w="1041" w:type="pct"/>
            <w:shd w:val="clear" w:color="auto" w:fill="auto"/>
            <w:noWrap/>
            <w:vAlign w:val="center"/>
          </w:tcPr>
          <w:p>
            <w:pPr>
              <w:pStyle w:val="33"/>
            </w:pPr>
            <w:r>
              <w:rPr>
                <w:rFonts w:hint="eastAsia"/>
              </w:rPr>
              <w:t>25T A5</w:t>
            </w: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16</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16</w:t>
            </w:r>
          </w:p>
        </w:tc>
        <w:tc>
          <w:tcPr>
            <w:tcW w:w="1915" w:type="pct"/>
            <w:shd w:val="clear" w:color="auto" w:fill="auto"/>
            <w:vAlign w:val="center"/>
          </w:tcPr>
          <w:p>
            <w:pPr>
              <w:pStyle w:val="33"/>
            </w:pPr>
            <w:r>
              <w:rPr>
                <w:rFonts w:hint="eastAsia"/>
              </w:rPr>
              <w:t>板材运输与储存</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17</w:t>
            </w:r>
          </w:p>
        </w:tc>
        <w:tc>
          <w:tcPr>
            <w:tcW w:w="1915" w:type="pct"/>
            <w:shd w:val="clear" w:color="auto" w:fill="auto"/>
            <w:vAlign w:val="center"/>
          </w:tcPr>
          <w:p>
            <w:pPr>
              <w:pStyle w:val="33"/>
            </w:pPr>
            <w:r>
              <w:rPr>
                <w:rFonts w:hint="eastAsia"/>
              </w:rPr>
              <w:t>起重机和升降机</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5</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18</w:t>
            </w:r>
          </w:p>
        </w:tc>
        <w:tc>
          <w:tcPr>
            <w:tcW w:w="1915" w:type="pct"/>
            <w:shd w:val="clear" w:color="auto" w:fill="auto"/>
            <w:vAlign w:val="center"/>
          </w:tcPr>
          <w:p>
            <w:pPr>
              <w:pStyle w:val="33"/>
            </w:pPr>
            <w:r>
              <w:rPr>
                <w:rFonts w:hint="eastAsia"/>
              </w:rPr>
              <w:t>连续式均质炉</w:t>
            </w:r>
          </w:p>
        </w:tc>
        <w:tc>
          <w:tcPr>
            <w:tcW w:w="1041" w:type="pct"/>
            <w:shd w:val="clear" w:color="auto" w:fill="auto"/>
            <w:noWrap/>
            <w:vAlign w:val="center"/>
          </w:tcPr>
          <w:p>
            <w:pPr>
              <w:pStyle w:val="33"/>
              <w:rPr>
                <w:highlight w:val="yellow"/>
              </w:rPr>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19</w:t>
            </w:r>
          </w:p>
        </w:tc>
        <w:tc>
          <w:tcPr>
            <w:tcW w:w="1915" w:type="pct"/>
            <w:shd w:val="clear" w:color="auto" w:fill="auto"/>
            <w:vAlign w:val="center"/>
          </w:tcPr>
          <w:p>
            <w:pPr>
              <w:pStyle w:val="33"/>
            </w:pPr>
            <w:r>
              <w:rPr>
                <w:rFonts w:hint="eastAsia"/>
              </w:rPr>
              <w:t>批次式均质炉</w:t>
            </w:r>
          </w:p>
        </w:tc>
        <w:tc>
          <w:tcPr>
            <w:tcW w:w="1041" w:type="pct"/>
            <w:shd w:val="clear" w:color="auto" w:fill="auto"/>
            <w:noWrap/>
            <w:vAlign w:val="center"/>
          </w:tcPr>
          <w:p>
            <w:pPr>
              <w:pStyle w:val="33"/>
              <w:rPr>
                <w:highlight w:val="yellow"/>
              </w:rPr>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20</w:t>
            </w:r>
          </w:p>
        </w:tc>
        <w:tc>
          <w:tcPr>
            <w:tcW w:w="1915" w:type="pct"/>
            <w:shd w:val="clear" w:color="auto" w:fill="auto"/>
            <w:vAlign w:val="center"/>
          </w:tcPr>
          <w:p>
            <w:pPr>
              <w:pStyle w:val="33"/>
            </w:pPr>
            <w:r>
              <w:rPr>
                <w:rFonts w:hint="eastAsia"/>
              </w:rPr>
              <w:t>均质炉</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21</w:t>
            </w:r>
          </w:p>
        </w:tc>
        <w:tc>
          <w:tcPr>
            <w:tcW w:w="1915" w:type="pct"/>
            <w:shd w:val="clear" w:color="auto" w:fill="auto"/>
            <w:vAlign w:val="center"/>
          </w:tcPr>
          <w:p>
            <w:pPr>
              <w:pStyle w:val="33"/>
            </w:pPr>
            <w:r>
              <w:rPr>
                <w:rFonts w:hint="eastAsia"/>
              </w:rPr>
              <w:t>Loading car装载车</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22</w:t>
            </w:r>
          </w:p>
        </w:tc>
        <w:tc>
          <w:tcPr>
            <w:tcW w:w="1915" w:type="pct"/>
            <w:shd w:val="clear" w:color="auto" w:fill="auto"/>
            <w:vAlign w:val="center"/>
          </w:tcPr>
          <w:p>
            <w:pPr>
              <w:pStyle w:val="33"/>
            </w:pPr>
            <w:r>
              <w:rPr>
                <w:rFonts w:hint="eastAsia"/>
              </w:rPr>
              <w:t>锯切机</w:t>
            </w:r>
          </w:p>
        </w:tc>
        <w:tc>
          <w:tcPr>
            <w:tcW w:w="1041" w:type="pct"/>
            <w:shd w:val="clear" w:color="auto" w:fill="auto"/>
            <w:noWrap/>
            <w:vAlign w:val="center"/>
          </w:tcPr>
          <w:p>
            <w:pPr>
              <w:pStyle w:val="33"/>
            </w:pPr>
            <w:r>
              <w:rPr>
                <w:rFonts w:hint="eastAsia"/>
              </w:rPr>
              <w:t>12万吨/年</w:t>
            </w: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23</w:t>
            </w:r>
          </w:p>
        </w:tc>
        <w:tc>
          <w:tcPr>
            <w:tcW w:w="1915" w:type="pct"/>
            <w:shd w:val="clear" w:color="auto" w:fill="auto"/>
            <w:vAlign w:val="center"/>
          </w:tcPr>
          <w:p>
            <w:pPr>
              <w:pStyle w:val="33"/>
            </w:pPr>
            <w:r>
              <w:rPr>
                <w:rFonts w:hint="eastAsia"/>
              </w:rPr>
              <w:t>锯切机器</w:t>
            </w:r>
            <w:r>
              <w:t>+</w:t>
            </w:r>
            <w:r>
              <w:rPr>
                <w:rFonts w:hint="eastAsia"/>
              </w:rPr>
              <w:t>电缆</w:t>
            </w:r>
            <w:r>
              <w:t>+</w:t>
            </w:r>
            <w:r>
              <w:rPr>
                <w:rFonts w:hint="eastAsia"/>
              </w:rPr>
              <w:t>基础</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24</w:t>
            </w:r>
          </w:p>
        </w:tc>
        <w:tc>
          <w:tcPr>
            <w:tcW w:w="1915" w:type="pct"/>
            <w:shd w:val="clear" w:color="auto" w:fill="auto"/>
            <w:vAlign w:val="center"/>
          </w:tcPr>
          <w:p>
            <w:pPr>
              <w:pStyle w:val="33"/>
            </w:pPr>
            <w:r>
              <w:rPr>
                <w:rFonts w:hint="eastAsia"/>
              </w:rPr>
              <w:t>供水泵</w:t>
            </w:r>
          </w:p>
        </w:tc>
        <w:tc>
          <w:tcPr>
            <w:tcW w:w="1041" w:type="pct"/>
            <w:shd w:val="clear" w:color="auto" w:fill="auto"/>
            <w:noWrap/>
            <w:vAlign w:val="center"/>
          </w:tcPr>
          <w:p>
            <w:pPr>
              <w:pStyle w:val="33"/>
            </w:pPr>
            <w:r>
              <w:rPr>
                <w:rFonts w:hint="eastAsia"/>
              </w:rPr>
              <w:t>Q=710m</w:t>
            </w:r>
            <w:r>
              <w:t>³</w:t>
            </w:r>
            <w:r>
              <w:rPr>
                <w:rFonts w:hint="eastAsia"/>
              </w:rPr>
              <w:t>/h</w:t>
            </w:r>
          </w:p>
        </w:tc>
        <w:tc>
          <w:tcPr>
            <w:tcW w:w="426" w:type="pct"/>
            <w:shd w:val="clear" w:color="auto" w:fill="auto"/>
            <w:vAlign w:val="center"/>
          </w:tcPr>
          <w:p>
            <w:pPr>
              <w:pStyle w:val="33"/>
            </w:pPr>
            <w:r>
              <w:rPr>
                <w:rFonts w:hint="eastAsia"/>
              </w:rPr>
              <w:t>台</w:t>
            </w:r>
          </w:p>
        </w:tc>
        <w:tc>
          <w:tcPr>
            <w:tcW w:w="440" w:type="pct"/>
            <w:shd w:val="clear" w:color="auto" w:fill="auto"/>
            <w:vAlign w:val="center"/>
          </w:tcPr>
          <w:p>
            <w:pPr>
              <w:pStyle w:val="33"/>
            </w:pPr>
            <w:r>
              <w:rPr>
                <w:rFonts w:hint="eastAsia"/>
              </w:rPr>
              <w:t>4</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25</w:t>
            </w:r>
          </w:p>
        </w:tc>
        <w:tc>
          <w:tcPr>
            <w:tcW w:w="1915" w:type="pct"/>
            <w:shd w:val="clear" w:color="auto" w:fill="auto"/>
            <w:vAlign w:val="center"/>
          </w:tcPr>
          <w:p>
            <w:pPr>
              <w:pStyle w:val="33"/>
            </w:pPr>
            <w:r>
              <w:rPr>
                <w:rFonts w:hint="eastAsia"/>
              </w:rPr>
              <w:t>循环水泵</w:t>
            </w:r>
          </w:p>
        </w:tc>
        <w:tc>
          <w:tcPr>
            <w:tcW w:w="1041" w:type="pct"/>
            <w:shd w:val="clear" w:color="auto" w:fill="auto"/>
            <w:noWrap/>
            <w:vAlign w:val="center"/>
          </w:tcPr>
          <w:p>
            <w:pPr>
              <w:pStyle w:val="33"/>
            </w:pPr>
            <w:r>
              <w:rPr>
                <w:rFonts w:hint="eastAsia"/>
              </w:rPr>
              <w:t>Q=1800m</w:t>
            </w:r>
            <w:r>
              <w:t>³</w:t>
            </w:r>
            <w:r>
              <w:rPr>
                <w:rFonts w:hint="eastAsia"/>
              </w:rPr>
              <w:t>/h</w:t>
            </w: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3</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26</w:t>
            </w:r>
          </w:p>
        </w:tc>
        <w:tc>
          <w:tcPr>
            <w:tcW w:w="1915" w:type="pct"/>
            <w:shd w:val="clear" w:color="auto" w:fill="auto"/>
            <w:vAlign w:val="center"/>
          </w:tcPr>
          <w:p>
            <w:pPr>
              <w:pStyle w:val="33"/>
            </w:pPr>
            <w:r>
              <w:rPr>
                <w:rFonts w:hint="eastAsia"/>
              </w:rPr>
              <w:t>冷却塔</w:t>
            </w:r>
          </w:p>
        </w:tc>
        <w:tc>
          <w:tcPr>
            <w:tcW w:w="1041" w:type="pct"/>
            <w:shd w:val="clear" w:color="auto" w:fill="auto"/>
            <w:noWrap/>
            <w:vAlign w:val="center"/>
          </w:tcPr>
          <w:p>
            <w:pPr>
              <w:pStyle w:val="33"/>
            </w:pPr>
            <w:r>
              <w:rPr>
                <w:rFonts w:hint="eastAsia"/>
              </w:rPr>
              <w:t>Q=1200m</w:t>
            </w:r>
            <w:r>
              <w:t>³</w:t>
            </w:r>
            <w:r>
              <w:rPr>
                <w:rFonts w:hint="eastAsia"/>
              </w:rPr>
              <w:t>/h</w:t>
            </w:r>
          </w:p>
        </w:tc>
        <w:tc>
          <w:tcPr>
            <w:tcW w:w="426" w:type="pct"/>
            <w:shd w:val="clear" w:color="auto" w:fill="auto"/>
            <w:noWrap/>
            <w:vAlign w:val="center"/>
          </w:tcPr>
          <w:p>
            <w:pPr>
              <w:pStyle w:val="33"/>
            </w:pPr>
            <w:r>
              <w:rPr>
                <w:rFonts w:hint="eastAsia"/>
              </w:rPr>
              <w:t>台套</w:t>
            </w:r>
          </w:p>
        </w:tc>
        <w:tc>
          <w:tcPr>
            <w:tcW w:w="440" w:type="pct"/>
            <w:shd w:val="clear" w:color="auto" w:fill="auto"/>
            <w:vAlign w:val="center"/>
          </w:tcPr>
          <w:p>
            <w:pPr>
              <w:pStyle w:val="33"/>
            </w:pPr>
            <w:r>
              <w:rPr>
                <w:rFonts w:hint="eastAsia"/>
              </w:rPr>
              <w:t>4</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27</w:t>
            </w:r>
          </w:p>
        </w:tc>
        <w:tc>
          <w:tcPr>
            <w:tcW w:w="1915" w:type="pct"/>
            <w:shd w:val="clear" w:color="auto" w:fill="auto"/>
            <w:vAlign w:val="center"/>
          </w:tcPr>
          <w:p>
            <w:pPr>
              <w:pStyle w:val="33"/>
            </w:pPr>
            <w:r>
              <w:rPr>
                <w:rFonts w:hint="eastAsia"/>
              </w:rPr>
              <w:t>氩气系统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28</w:t>
            </w:r>
          </w:p>
        </w:tc>
        <w:tc>
          <w:tcPr>
            <w:tcW w:w="1915" w:type="pct"/>
            <w:shd w:val="clear" w:color="auto" w:fill="auto"/>
            <w:vAlign w:val="center"/>
          </w:tcPr>
          <w:p>
            <w:pPr>
              <w:pStyle w:val="33"/>
            </w:pPr>
            <w:r>
              <w:rPr>
                <w:rFonts w:hint="eastAsia"/>
              </w:rPr>
              <w:t>压缩空气系统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29</w:t>
            </w:r>
          </w:p>
        </w:tc>
        <w:tc>
          <w:tcPr>
            <w:tcW w:w="1915" w:type="pct"/>
            <w:shd w:val="clear" w:color="auto" w:fill="auto"/>
            <w:vAlign w:val="center"/>
          </w:tcPr>
          <w:p>
            <w:pPr>
              <w:pStyle w:val="33"/>
            </w:pPr>
            <w:r>
              <w:rPr>
                <w:rFonts w:hint="eastAsia"/>
              </w:rPr>
              <w:t>铝灰分离系统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30</w:t>
            </w:r>
          </w:p>
        </w:tc>
        <w:tc>
          <w:tcPr>
            <w:tcW w:w="1915" w:type="pct"/>
            <w:shd w:val="clear" w:color="auto" w:fill="auto"/>
            <w:vAlign w:val="center"/>
          </w:tcPr>
          <w:p>
            <w:pPr>
              <w:pStyle w:val="33"/>
            </w:pPr>
            <w:r>
              <w:rPr>
                <w:rFonts w:hint="eastAsia"/>
              </w:rPr>
              <w:t>铝灰锅</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t>12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31</w:t>
            </w:r>
          </w:p>
        </w:tc>
        <w:tc>
          <w:tcPr>
            <w:tcW w:w="1915" w:type="pct"/>
            <w:shd w:val="clear" w:color="auto" w:fill="auto"/>
            <w:vAlign w:val="center"/>
          </w:tcPr>
          <w:p>
            <w:pPr>
              <w:pStyle w:val="33"/>
            </w:pPr>
            <w:r>
              <w:rPr>
                <w:rFonts w:hint="eastAsia"/>
              </w:rPr>
              <w:t>光谱分析仪</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台套</w:t>
            </w:r>
          </w:p>
        </w:tc>
        <w:tc>
          <w:tcPr>
            <w:tcW w:w="440" w:type="pct"/>
            <w:shd w:val="clear" w:color="auto" w:fill="auto"/>
            <w:vAlign w:val="center"/>
          </w:tcPr>
          <w:p>
            <w:pPr>
              <w:pStyle w:val="33"/>
            </w:pPr>
            <w:r>
              <w:rPr>
                <w:rFonts w:hint="eastAsia"/>
              </w:rPr>
              <w:t>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32</w:t>
            </w:r>
          </w:p>
        </w:tc>
        <w:tc>
          <w:tcPr>
            <w:tcW w:w="1915" w:type="pct"/>
            <w:shd w:val="clear" w:color="auto" w:fill="auto"/>
            <w:vAlign w:val="center"/>
          </w:tcPr>
          <w:p>
            <w:pPr>
              <w:pStyle w:val="33"/>
            </w:pPr>
            <w:r>
              <w:rPr>
                <w:rFonts w:hint="eastAsia"/>
              </w:rPr>
              <w:t>移动式测氢仪</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2</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33</w:t>
            </w:r>
          </w:p>
        </w:tc>
        <w:tc>
          <w:tcPr>
            <w:tcW w:w="1915" w:type="pct"/>
            <w:shd w:val="clear" w:color="auto" w:fill="auto"/>
            <w:vAlign w:val="center"/>
          </w:tcPr>
          <w:p>
            <w:pPr>
              <w:pStyle w:val="33"/>
            </w:pPr>
            <w:r>
              <w:rPr>
                <w:rFonts w:hint="eastAsia"/>
              </w:rPr>
              <w:t>倒置金相显微镜</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34</w:t>
            </w:r>
          </w:p>
        </w:tc>
        <w:tc>
          <w:tcPr>
            <w:tcW w:w="1915" w:type="pct"/>
            <w:shd w:val="clear" w:color="auto" w:fill="auto"/>
            <w:vAlign w:val="center"/>
          </w:tcPr>
          <w:p>
            <w:pPr>
              <w:pStyle w:val="33"/>
            </w:pPr>
            <w:r>
              <w:rPr>
                <w:rFonts w:hint="eastAsia"/>
              </w:rPr>
              <w:t>手持式光谱仪</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35</w:t>
            </w:r>
          </w:p>
        </w:tc>
        <w:tc>
          <w:tcPr>
            <w:tcW w:w="1915" w:type="pct"/>
            <w:shd w:val="clear" w:color="auto" w:fill="auto"/>
            <w:vAlign w:val="center"/>
          </w:tcPr>
          <w:p>
            <w:pPr>
              <w:pStyle w:val="33"/>
            </w:pPr>
            <w:r>
              <w:rPr>
                <w:rFonts w:hint="eastAsia"/>
              </w:rPr>
              <w:t>水浸式探伤仪</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36</w:t>
            </w:r>
          </w:p>
        </w:tc>
        <w:tc>
          <w:tcPr>
            <w:tcW w:w="1915" w:type="pct"/>
            <w:shd w:val="clear" w:color="auto" w:fill="auto"/>
            <w:vAlign w:val="center"/>
          </w:tcPr>
          <w:p>
            <w:pPr>
              <w:pStyle w:val="33"/>
            </w:pPr>
            <w:r>
              <w:rPr>
                <w:rFonts w:hint="eastAsia"/>
              </w:rPr>
              <w:t>氯气系统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37</w:t>
            </w:r>
          </w:p>
        </w:tc>
        <w:tc>
          <w:tcPr>
            <w:tcW w:w="1915" w:type="pct"/>
            <w:shd w:val="clear" w:color="auto" w:fill="auto"/>
            <w:vAlign w:val="center"/>
          </w:tcPr>
          <w:p>
            <w:pPr>
              <w:pStyle w:val="33"/>
            </w:pPr>
            <w:r>
              <w:rPr>
                <w:rFonts w:hint="eastAsia"/>
              </w:rPr>
              <w:t>打包机</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台/套</w:t>
            </w:r>
          </w:p>
        </w:tc>
        <w:tc>
          <w:tcPr>
            <w:tcW w:w="440" w:type="pct"/>
            <w:shd w:val="clear" w:color="auto" w:fill="auto"/>
            <w:vAlign w:val="center"/>
          </w:tcPr>
          <w:p>
            <w:pPr>
              <w:pStyle w:val="33"/>
            </w:pPr>
            <w: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38</w:t>
            </w:r>
          </w:p>
        </w:tc>
        <w:tc>
          <w:tcPr>
            <w:tcW w:w="1915" w:type="pct"/>
            <w:shd w:val="clear" w:color="auto" w:fill="auto"/>
            <w:vAlign w:val="center"/>
          </w:tcPr>
          <w:p>
            <w:pPr>
              <w:pStyle w:val="33"/>
            </w:pPr>
            <w:r>
              <w:rPr>
                <w:rFonts w:hint="eastAsia"/>
              </w:rPr>
              <w:t>35KV配电系统</w:t>
            </w:r>
          </w:p>
        </w:tc>
        <w:tc>
          <w:tcPr>
            <w:tcW w:w="1041" w:type="pct"/>
            <w:shd w:val="clear" w:color="auto" w:fill="auto"/>
            <w:noWrap/>
            <w:vAlign w:val="center"/>
          </w:tcPr>
          <w:p>
            <w:pPr>
              <w:pStyle w:val="33"/>
            </w:pPr>
          </w:p>
        </w:tc>
        <w:tc>
          <w:tcPr>
            <w:tcW w:w="426" w:type="pct"/>
            <w:shd w:val="clear" w:color="auto" w:fill="auto"/>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39</w:t>
            </w:r>
          </w:p>
        </w:tc>
        <w:tc>
          <w:tcPr>
            <w:tcW w:w="1915" w:type="pct"/>
            <w:shd w:val="clear" w:color="auto" w:fill="auto"/>
            <w:vAlign w:val="center"/>
          </w:tcPr>
          <w:p>
            <w:pPr>
              <w:pStyle w:val="33"/>
            </w:pPr>
            <w:r>
              <w:rPr>
                <w:rFonts w:hint="eastAsia"/>
              </w:rPr>
              <w:t>燃气调压阀组</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40</w:t>
            </w:r>
          </w:p>
        </w:tc>
        <w:tc>
          <w:tcPr>
            <w:tcW w:w="1915" w:type="pct"/>
            <w:shd w:val="clear" w:color="auto" w:fill="auto"/>
            <w:vAlign w:val="center"/>
          </w:tcPr>
          <w:p>
            <w:pPr>
              <w:pStyle w:val="33"/>
            </w:pPr>
            <w:r>
              <w:rPr>
                <w:rFonts w:hint="eastAsia"/>
              </w:rPr>
              <w:t>叉车</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批</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41</w:t>
            </w:r>
          </w:p>
        </w:tc>
        <w:tc>
          <w:tcPr>
            <w:tcW w:w="1915" w:type="pct"/>
            <w:shd w:val="clear" w:color="auto" w:fill="auto"/>
            <w:vAlign w:val="center"/>
          </w:tcPr>
          <w:p>
            <w:pPr>
              <w:pStyle w:val="33"/>
            </w:pPr>
            <w:r>
              <w:rPr>
                <w:rFonts w:hint="eastAsia"/>
              </w:rPr>
              <w:t>IT计算机</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42</w:t>
            </w:r>
          </w:p>
        </w:tc>
        <w:tc>
          <w:tcPr>
            <w:tcW w:w="1915" w:type="pct"/>
            <w:shd w:val="clear" w:color="auto" w:fill="auto"/>
            <w:vAlign w:val="center"/>
          </w:tcPr>
          <w:p>
            <w:pPr>
              <w:pStyle w:val="33"/>
            </w:pPr>
            <w:r>
              <w:rPr>
                <w:rFonts w:hint="eastAsia"/>
              </w:rPr>
              <w:t>MES（设备管理系统）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43</w:t>
            </w:r>
          </w:p>
        </w:tc>
        <w:tc>
          <w:tcPr>
            <w:tcW w:w="1915" w:type="pct"/>
            <w:shd w:val="clear" w:color="auto" w:fill="auto"/>
            <w:vAlign w:val="center"/>
          </w:tcPr>
          <w:p>
            <w:pPr>
              <w:pStyle w:val="33"/>
            </w:pPr>
            <w:r>
              <w:rPr>
                <w:rFonts w:hint="eastAsia"/>
              </w:rPr>
              <w:t>设备自动化系统</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33" w:type="pct"/>
            <w:shd w:val="clear" w:color="auto" w:fill="auto"/>
            <w:noWrap/>
            <w:vAlign w:val="center"/>
          </w:tcPr>
          <w:p>
            <w:pPr>
              <w:pStyle w:val="33"/>
            </w:pPr>
            <w:r>
              <w:rPr>
                <w:rFonts w:hint="eastAsia"/>
              </w:rPr>
              <w:t>44</w:t>
            </w:r>
          </w:p>
        </w:tc>
        <w:tc>
          <w:tcPr>
            <w:tcW w:w="1915" w:type="pct"/>
            <w:shd w:val="clear" w:color="auto" w:fill="auto"/>
            <w:vAlign w:val="center"/>
          </w:tcPr>
          <w:p>
            <w:pPr>
              <w:pStyle w:val="33"/>
            </w:pPr>
            <w:r>
              <w:rPr>
                <w:rFonts w:hint="eastAsia"/>
              </w:rPr>
              <w:t>零备件</w:t>
            </w:r>
          </w:p>
        </w:tc>
        <w:tc>
          <w:tcPr>
            <w:tcW w:w="1041" w:type="pct"/>
            <w:shd w:val="clear" w:color="auto" w:fill="auto"/>
            <w:noWrap/>
            <w:vAlign w:val="center"/>
          </w:tcPr>
          <w:p>
            <w:pPr>
              <w:pStyle w:val="33"/>
            </w:pPr>
          </w:p>
        </w:tc>
        <w:tc>
          <w:tcPr>
            <w:tcW w:w="426" w:type="pct"/>
            <w:shd w:val="clear" w:color="auto" w:fill="auto"/>
            <w:noWrap/>
            <w:vAlign w:val="center"/>
          </w:tcPr>
          <w:p>
            <w:pPr>
              <w:pStyle w:val="33"/>
            </w:pPr>
            <w:r>
              <w:rPr>
                <w:rFonts w:hint="eastAsia"/>
              </w:rPr>
              <w:t>套</w:t>
            </w:r>
          </w:p>
        </w:tc>
        <w:tc>
          <w:tcPr>
            <w:tcW w:w="440" w:type="pct"/>
            <w:shd w:val="clear" w:color="auto" w:fill="auto"/>
            <w:vAlign w:val="center"/>
          </w:tcPr>
          <w:p>
            <w:pPr>
              <w:pStyle w:val="33"/>
            </w:pPr>
            <w:r>
              <w:rPr>
                <w:rFonts w:hint="eastAsia"/>
              </w:rPr>
              <w:t>1</w:t>
            </w:r>
          </w:p>
        </w:tc>
        <w:tc>
          <w:tcPr>
            <w:tcW w:w="743" w:type="pct"/>
            <w:shd w:val="clear" w:color="auto" w:fill="auto"/>
            <w:vAlign w:val="center"/>
          </w:tcPr>
          <w:p>
            <w:pPr>
              <w:pStyle w:val="33"/>
            </w:pPr>
          </w:p>
        </w:tc>
      </w:tr>
    </w:tbl>
    <w:p>
      <w:pPr>
        <w:pStyle w:val="31"/>
      </w:pPr>
      <w:r>
        <w:rPr>
          <w:rFonts w:hint="eastAsia"/>
        </w:rPr>
        <w:t>表3.5-2  二期工程主要设备表</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76"/>
        <w:gridCol w:w="3328"/>
        <w:gridCol w:w="1790"/>
        <w:gridCol w:w="704"/>
        <w:gridCol w:w="748"/>
        <w:gridCol w:w="127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noWrap/>
            <w:vAlign w:val="center"/>
          </w:tcPr>
          <w:p>
            <w:pPr>
              <w:pStyle w:val="33"/>
            </w:pPr>
            <w:r>
              <w:rPr>
                <w:rFonts w:hint="eastAsia"/>
              </w:rPr>
              <w:t>序号</w:t>
            </w:r>
          </w:p>
        </w:tc>
        <w:tc>
          <w:tcPr>
            <w:tcW w:w="1953" w:type="pct"/>
            <w:shd w:val="clear" w:color="auto" w:fill="auto"/>
            <w:vAlign w:val="center"/>
          </w:tcPr>
          <w:p>
            <w:pPr>
              <w:pStyle w:val="33"/>
            </w:pPr>
            <w:r>
              <w:rPr>
                <w:rFonts w:hint="eastAsia"/>
              </w:rPr>
              <w:t>设备名称</w:t>
            </w:r>
          </w:p>
        </w:tc>
        <w:tc>
          <w:tcPr>
            <w:tcW w:w="1050" w:type="pct"/>
            <w:shd w:val="clear" w:color="auto" w:fill="auto"/>
            <w:noWrap/>
            <w:vAlign w:val="center"/>
          </w:tcPr>
          <w:p>
            <w:pPr>
              <w:pStyle w:val="33"/>
            </w:pPr>
            <w:r>
              <w:rPr>
                <w:rFonts w:hint="eastAsia"/>
              </w:rPr>
              <w:t>设备型号</w:t>
            </w:r>
          </w:p>
        </w:tc>
        <w:tc>
          <w:tcPr>
            <w:tcW w:w="413" w:type="pct"/>
            <w:shd w:val="clear" w:color="auto" w:fill="auto"/>
            <w:noWrap/>
            <w:vAlign w:val="center"/>
          </w:tcPr>
          <w:p>
            <w:pPr>
              <w:pStyle w:val="33"/>
            </w:pPr>
            <w:r>
              <w:rPr>
                <w:rFonts w:hint="eastAsia"/>
              </w:rPr>
              <w:t>单位</w:t>
            </w:r>
          </w:p>
        </w:tc>
        <w:tc>
          <w:tcPr>
            <w:tcW w:w="439" w:type="pct"/>
            <w:shd w:val="clear" w:color="auto" w:fill="auto"/>
            <w:vAlign w:val="center"/>
          </w:tcPr>
          <w:p>
            <w:pPr>
              <w:pStyle w:val="33"/>
            </w:pPr>
            <w:r>
              <w:rPr>
                <w:rFonts w:hint="eastAsia"/>
              </w:rPr>
              <w:t>数量</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1</w:t>
            </w:r>
          </w:p>
        </w:tc>
        <w:tc>
          <w:tcPr>
            <w:tcW w:w="1953" w:type="pct"/>
            <w:shd w:val="clear" w:color="auto" w:fill="auto"/>
            <w:vAlign w:val="center"/>
          </w:tcPr>
          <w:p>
            <w:pPr>
              <w:pStyle w:val="33"/>
            </w:pPr>
            <w:r>
              <w:rPr>
                <w:rFonts w:hint="eastAsia"/>
              </w:rPr>
              <w:t>熔炼炉</w:t>
            </w:r>
          </w:p>
        </w:tc>
        <w:tc>
          <w:tcPr>
            <w:tcW w:w="1050" w:type="pct"/>
            <w:shd w:val="clear" w:color="auto" w:fill="auto"/>
            <w:noWrap/>
            <w:vAlign w:val="center"/>
          </w:tcPr>
          <w:p>
            <w:pPr>
              <w:pStyle w:val="33"/>
            </w:pPr>
            <w:r>
              <w:rPr>
                <w:rFonts w:hint="eastAsia"/>
              </w:rPr>
              <w:t>40T</w:t>
            </w: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2</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2</w:t>
            </w:r>
          </w:p>
        </w:tc>
        <w:tc>
          <w:tcPr>
            <w:tcW w:w="1953" w:type="pct"/>
            <w:shd w:val="clear" w:color="auto" w:fill="auto"/>
            <w:vAlign w:val="center"/>
          </w:tcPr>
          <w:p>
            <w:pPr>
              <w:pStyle w:val="33"/>
            </w:pPr>
            <w:r>
              <w:rPr>
                <w:rFonts w:hint="eastAsia"/>
              </w:rPr>
              <w:t>保温炉</w:t>
            </w:r>
          </w:p>
        </w:tc>
        <w:tc>
          <w:tcPr>
            <w:tcW w:w="1050" w:type="pct"/>
            <w:shd w:val="clear" w:color="auto" w:fill="auto"/>
            <w:noWrap/>
            <w:vAlign w:val="center"/>
          </w:tcPr>
          <w:p>
            <w:pPr>
              <w:pStyle w:val="33"/>
            </w:pPr>
            <w:r>
              <w:rPr>
                <w:rFonts w:hint="eastAsia"/>
              </w:rPr>
              <w:t>25T</w:t>
            </w: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4</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3</w:t>
            </w:r>
          </w:p>
        </w:tc>
        <w:tc>
          <w:tcPr>
            <w:tcW w:w="1953" w:type="pct"/>
            <w:shd w:val="clear" w:color="auto" w:fill="auto"/>
            <w:vAlign w:val="center"/>
          </w:tcPr>
          <w:p>
            <w:pPr>
              <w:pStyle w:val="33"/>
            </w:pPr>
            <w:r>
              <w:rPr>
                <w:rFonts w:hint="eastAsia"/>
              </w:rPr>
              <w:t>铸轧机</w:t>
            </w:r>
          </w:p>
        </w:tc>
        <w:tc>
          <w:tcPr>
            <w:tcW w:w="1050" w:type="pct"/>
            <w:shd w:val="clear" w:color="auto" w:fill="auto"/>
            <w:noWrap/>
            <w:vAlign w:val="center"/>
          </w:tcPr>
          <w:p>
            <w:pPr>
              <w:pStyle w:val="33"/>
            </w:pPr>
            <w:r>
              <w:rPr>
                <w:rFonts w:hint="eastAsia"/>
              </w:rPr>
              <w:t>2</w:t>
            </w:r>
            <w:r>
              <w:t>200</w:t>
            </w:r>
            <w:r>
              <w:rPr>
                <w:rFonts w:hint="eastAsia"/>
              </w:rPr>
              <w:t>mm</w:t>
            </w: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4</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4</w:t>
            </w:r>
          </w:p>
        </w:tc>
        <w:tc>
          <w:tcPr>
            <w:tcW w:w="1953" w:type="pct"/>
            <w:shd w:val="clear" w:color="auto" w:fill="auto"/>
            <w:vAlign w:val="center"/>
          </w:tcPr>
          <w:p>
            <w:pPr>
              <w:pStyle w:val="33"/>
            </w:pPr>
            <w:r>
              <w:rPr>
                <w:rFonts w:hint="eastAsia"/>
              </w:rPr>
              <w:t>铝灰分离系统</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2</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5</w:t>
            </w:r>
          </w:p>
        </w:tc>
        <w:tc>
          <w:tcPr>
            <w:tcW w:w="1953" w:type="pct"/>
            <w:shd w:val="clear" w:color="auto" w:fill="auto"/>
            <w:vAlign w:val="center"/>
          </w:tcPr>
          <w:p>
            <w:pPr>
              <w:pStyle w:val="33"/>
            </w:pPr>
            <w:r>
              <w:rPr>
                <w:rFonts w:hint="eastAsia"/>
              </w:rPr>
              <w:t>流槽在线板式设备</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4</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6</w:t>
            </w:r>
          </w:p>
        </w:tc>
        <w:tc>
          <w:tcPr>
            <w:tcW w:w="1953" w:type="pct"/>
            <w:shd w:val="clear" w:color="auto" w:fill="auto"/>
            <w:vAlign w:val="center"/>
          </w:tcPr>
          <w:p>
            <w:pPr>
              <w:pStyle w:val="33"/>
            </w:pPr>
            <w:r>
              <w:rPr>
                <w:rFonts w:hint="eastAsia"/>
              </w:rPr>
              <w:t>布袋除尘器</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7</w:t>
            </w:r>
          </w:p>
        </w:tc>
        <w:tc>
          <w:tcPr>
            <w:tcW w:w="1953" w:type="pct"/>
            <w:shd w:val="clear" w:color="auto" w:fill="auto"/>
            <w:vAlign w:val="center"/>
          </w:tcPr>
          <w:p>
            <w:pPr>
              <w:pStyle w:val="33"/>
            </w:pPr>
            <w:r>
              <w:rPr>
                <w:rFonts w:hint="eastAsia"/>
              </w:rPr>
              <w:t>在线监测仪</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8</w:t>
            </w:r>
          </w:p>
        </w:tc>
        <w:tc>
          <w:tcPr>
            <w:tcW w:w="1953" w:type="pct"/>
            <w:shd w:val="clear" w:color="auto" w:fill="auto"/>
            <w:vAlign w:val="center"/>
          </w:tcPr>
          <w:p>
            <w:pPr>
              <w:pStyle w:val="33"/>
            </w:pPr>
            <w:r>
              <w:rPr>
                <w:rFonts w:hint="eastAsia"/>
              </w:rPr>
              <w:t>加料车</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9</w:t>
            </w:r>
          </w:p>
        </w:tc>
        <w:tc>
          <w:tcPr>
            <w:tcW w:w="1953" w:type="pct"/>
            <w:shd w:val="clear" w:color="auto" w:fill="auto"/>
            <w:vAlign w:val="center"/>
          </w:tcPr>
          <w:p>
            <w:pPr>
              <w:pStyle w:val="33"/>
            </w:pPr>
            <w:r>
              <w:rPr>
                <w:rFonts w:hint="eastAsia"/>
              </w:rPr>
              <w:t>磨床和车床</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10</w:t>
            </w:r>
          </w:p>
        </w:tc>
        <w:tc>
          <w:tcPr>
            <w:tcW w:w="1953" w:type="pct"/>
            <w:shd w:val="clear" w:color="auto" w:fill="auto"/>
            <w:vAlign w:val="center"/>
          </w:tcPr>
          <w:p>
            <w:pPr>
              <w:pStyle w:val="33"/>
            </w:pPr>
            <w:r>
              <w:rPr>
                <w:rFonts w:hint="eastAsia"/>
              </w:rPr>
              <w:t>循环水泵</w:t>
            </w:r>
          </w:p>
        </w:tc>
        <w:tc>
          <w:tcPr>
            <w:tcW w:w="1050" w:type="pct"/>
            <w:shd w:val="clear" w:color="auto" w:fill="auto"/>
            <w:noWrap/>
            <w:vAlign w:val="center"/>
          </w:tcPr>
          <w:p>
            <w:pPr>
              <w:pStyle w:val="33"/>
            </w:pPr>
            <w:r>
              <w:rPr>
                <w:rFonts w:hint="eastAsia"/>
              </w:rPr>
              <w:t>Q=1800m</w:t>
            </w:r>
            <w:r>
              <w:t>³</w:t>
            </w:r>
            <w:r>
              <w:rPr>
                <w:rFonts w:hint="eastAsia"/>
              </w:rPr>
              <w:t>/h</w:t>
            </w:r>
          </w:p>
        </w:tc>
        <w:tc>
          <w:tcPr>
            <w:tcW w:w="413" w:type="pct"/>
            <w:shd w:val="clear" w:color="auto" w:fill="auto"/>
            <w:noWrap/>
            <w:vAlign w:val="center"/>
          </w:tcPr>
          <w:p>
            <w:pPr>
              <w:pStyle w:val="33"/>
            </w:pPr>
            <w:r>
              <w:rPr>
                <w:rFonts w:hint="eastAsia"/>
              </w:rPr>
              <w:t>台</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t>11</w:t>
            </w:r>
          </w:p>
        </w:tc>
        <w:tc>
          <w:tcPr>
            <w:tcW w:w="1953" w:type="pct"/>
            <w:shd w:val="clear" w:color="auto" w:fill="auto"/>
            <w:vAlign w:val="center"/>
          </w:tcPr>
          <w:p>
            <w:pPr>
              <w:pStyle w:val="33"/>
            </w:pPr>
            <w:r>
              <w:rPr>
                <w:rFonts w:hint="eastAsia"/>
              </w:rPr>
              <w:t>冷却塔</w:t>
            </w:r>
          </w:p>
        </w:tc>
        <w:tc>
          <w:tcPr>
            <w:tcW w:w="1050" w:type="pct"/>
            <w:shd w:val="clear" w:color="auto" w:fill="auto"/>
            <w:noWrap/>
            <w:vAlign w:val="center"/>
          </w:tcPr>
          <w:p>
            <w:pPr>
              <w:pStyle w:val="33"/>
            </w:pPr>
            <w:r>
              <w:rPr>
                <w:rFonts w:hint="eastAsia"/>
              </w:rPr>
              <w:t>Q=1200m</w:t>
            </w:r>
            <w:r>
              <w:t>³</w:t>
            </w:r>
            <w:r>
              <w:rPr>
                <w:rFonts w:hint="eastAsia"/>
              </w:rPr>
              <w:t>/h</w:t>
            </w:r>
          </w:p>
        </w:tc>
        <w:tc>
          <w:tcPr>
            <w:tcW w:w="413" w:type="pct"/>
            <w:shd w:val="clear" w:color="auto" w:fill="auto"/>
            <w:noWrap/>
            <w:vAlign w:val="center"/>
          </w:tcPr>
          <w:p>
            <w:pPr>
              <w:pStyle w:val="33"/>
            </w:pPr>
            <w:r>
              <w:rPr>
                <w:rFonts w:hint="eastAsia"/>
              </w:rPr>
              <w:t>台套</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70" w:hRule="atLeast"/>
        </w:trPr>
        <w:tc>
          <w:tcPr>
            <w:tcW w:w="396" w:type="pct"/>
            <w:shd w:val="clear" w:color="auto" w:fill="auto"/>
            <w:vAlign w:val="center"/>
          </w:tcPr>
          <w:p>
            <w:pPr>
              <w:pStyle w:val="33"/>
            </w:pPr>
            <w:r>
              <w:rPr>
                <w:rFonts w:hint="eastAsia"/>
              </w:rPr>
              <w:t>12</w:t>
            </w:r>
          </w:p>
        </w:tc>
        <w:tc>
          <w:tcPr>
            <w:tcW w:w="1953" w:type="pct"/>
            <w:shd w:val="clear" w:color="auto" w:fill="auto"/>
            <w:vAlign w:val="center"/>
          </w:tcPr>
          <w:p>
            <w:pPr>
              <w:pStyle w:val="33"/>
            </w:pPr>
            <w:r>
              <w:rPr>
                <w:rFonts w:hint="eastAsia"/>
              </w:rPr>
              <w:t>IT 计算机系统</w:t>
            </w:r>
          </w:p>
        </w:tc>
        <w:tc>
          <w:tcPr>
            <w:tcW w:w="1050" w:type="pct"/>
            <w:shd w:val="clear" w:color="auto" w:fill="auto"/>
            <w:noWrap/>
            <w:vAlign w:val="center"/>
          </w:tcPr>
          <w:p>
            <w:pPr>
              <w:pStyle w:val="33"/>
            </w:pPr>
          </w:p>
        </w:tc>
        <w:tc>
          <w:tcPr>
            <w:tcW w:w="413" w:type="pct"/>
            <w:shd w:val="clear" w:color="auto" w:fill="auto"/>
            <w:noWrap/>
            <w:vAlign w:val="center"/>
          </w:tcPr>
          <w:p>
            <w:pPr>
              <w:pStyle w:val="33"/>
            </w:pPr>
            <w:r>
              <w:rPr>
                <w:rFonts w:hint="eastAsia"/>
              </w:rPr>
              <w:t>套</w:t>
            </w:r>
          </w:p>
        </w:tc>
        <w:tc>
          <w:tcPr>
            <w:tcW w:w="439" w:type="pct"/>
            <w:shd w:val="clear" w:color="auto" w:fill="auto"/>
            <w:vAlign w:val="center"/>
          </w:tcPr>
          <w:p>
            <w:pPr>
              <w:pStyle w:val="33"/>
            </w:pPr>
            <w:r>
              <w:rPr>
                <w:rFonts w:hint="eastAsia"/>
              </w:rPr>
              <w:t>1</w:t>
            </w:r>
          </w:p>
        </w:tc>
        <w:tc>
          <w:tcPr>
            <w:tcW w:w="746" w:type="pct"/>
            <w:shd w:val="clear" w:color="auto" w:fill="auto"/>
            <w:vAlign w:val="center"/>
          </w:tcPr>
          <w:p>
            <w:pPr>
              <w:pStyle w:val="33"/>
            </w:pPr>
          </w:p>
        </w:tc>
      </w:tr>
    </w:tbl>
    <w:p>
      <w:pPr>
        <w:pStyle w:val="5"/>
      </w:pPr>
      <w:bookmarkStart w:id="67" w:name="_Toc12410"/>
      <w:r>
        <w:rPr>
          <w:rFonts w:hint="eastAsia"/>
        </w:rPr>
        <w:t>3.6辅助工程</w:t>
      </w:r>
      <w:bookmarkEnd w:id="67"/>
    </w:p>
    <w:p>
      <w:pPr>
        <w:pStyle w:val="7"/>
        <w:ind w:firstLine="482"/>
        <w:rPr>
          <w:b/>
          <w:bCs/>
        </w:rPr>
      </w:pPr>
      <w:r>
        <w:rPr>
          <w:rFonts w:hint="eastAsia"/>
          <w:b/>
          <w:bCs/>
        </w:rPr>
        <w:t>1、</w:t>
      </w:r>
      <w:r>
        <w:rPr>
          <w:b/>
          <w:bCs/>
        </w:rPr>
        <w:t>空压</w:t>
      </w:r>
      <w:r>
        <w:rPr>
          <w:rFonts w:hint="eastAsia"/>
          <w:b/>
          <w:bCs/>
        </w:rPr>
        <w:t>机房</w:t>
      </w:r>
    </w:p>
    <w:p>
      <w:pPr>
        <w:pStyle w:val="7"/>
        <w:ind w:firstLine="480"/>
      </w:pPr>
      <w:r>
        <w:t>在生产过程中，烟气净化、通风除尘等需要压缩空气作为动力。为保证工艺正常生产提供所需的压缩空气，厂内设置1座</w:t>
      </w:r>
      <w:r>
        <w:rPr>
          <w:rFonts w:hint="eastAsia"/>
        </w:rPr>
        <w:t>空压机房</w:t>
      </w:r>
      <w:r>
        <w:t>，为工程提供压缩空气。</w:t>
      </w:r>
      <w:r>
        <w:rPr>
          <w:rFonts w:hint="eastAsia" w:ascii="宋体" w:hAnsi="宋体"/>
        </w:rPr>
        <w:t>空压站一次规划建设，分阶段安装设备。</w:t>
      </w:r>
      <w:r>
        <w:rPr>
          <w:rFonts w:hint="eastAsia"/>
        </w:rPr>
        <w:t>空压机房</w:t>
      </w:r>
      <w:r>
        <w:t>设置</w:t>
      </w:r>
      <w:r>
        <w:rPr>
          <w:rFonts w:hint="eastAsia"/>
        </w:rPr>
        <w:t>2</w:t>
      </w:r>
      <w:r>
        <w:t>套离心式空压机及配套辅机。根据压缩空气用户的需求特性，为了使</w:t>
      </w:r>
      <w:r>
        <w:rPr>
          <w:rFonts w:hint="eastAsia"/>
        </w:rPr>
        <w:t>空压机房</w:t>
      </w:r>
      <w:r>
        <w:t>的设备处于最佳工况点，降低设备能耗，本空压站设备选型原则为“离心+螺杆”，离心空压机承担基本负荷，螺杆空压机调峰使用。考虑用气品质，离心式空压机配套余热再生吸附式干燥机，螺杆式空压机配套微热再生吸附式干燥机。</w:t>
      </w:r>
    </w:p>
    <w:p>
      <w:pPr>
        <w:pStyle w:val="7"/>
        <w:ind w:firstLine="480"/>
      </w:pPr>
      <w:r>
        <w:t>螺杆式压缩空气工艺流程：空气→空气过滤器→螺杆式空压机→母管→微热再生吸附式干燥机→冷却器→气液分离器→压缩空气储罐→车间管网。</w:t>
      </w:r>
    </w:p>
    <w:p>
      <w:pPr>
        <w:pStyle w:val="7"/>
        <w:ind w:firstLine="482"/>
        <w:rPr>
          <w:b/>
          <w:bCs/>
        </w:rPr>
      </w:pPr>
      <w:r>
        <w:rPr>
          <w:rFonts w:hint="eastAsia"/>
          <w:b/>
          <w:bCs/>
        </w:rPr>
        <w:t>2、氯气站</w:t>
      </w:r>
    </w:p>
    <w:p>
      <w:pPr>
        <w:pStyle w:val="7"/>
        <w:ind w:firstLine="480"/>
        <w:rPr>
          <w:bCs/>
        </w:rPr>
      </w:pPr>
      <w:r>
        <w:rPr>
          <w:rFonts w:hint="eastAsia"/>
          <w:bCs/>
        </w:rPr>
        <w:t>一期工程氯气站位于项目生产车间西侧，占地面积212m</w:t>
      </w:r>
      <w:r>
        <w:rPr>
          <w:rFonts w:hint="eastAsia"/>
          <w:bCs/>
          <w:vertAlign w:val="superscript"/>
        </w:rPr>
        <w:t>2</w:t>
      </w:r>
      <w:r>
        <w:rPr>
          <w:rFonts w:hint="eastAsia"/>
          <w:bCs/>
        </w:rPr>
        <w:t>。仅对氯气进行储存，不涉及到氯气的加工，</w:t>
      </w:r>
      <w:r>
        <w:rPr>
          <w:bCs/>
        </w:rPr>
        <w:t>用氯气就近采购储存于</w:t>
      </w:r>
      <w:r>
        <w:rPr>
          <w:rFonts w:hint="eastAsia"/>
          <w:bCs/>
        </w:rPr>
        <w:t>氯气站内</w:t>
      </w:r>
      <w:r>
        <w:rPr>
          <w:bCs/>
        </w:rPr>
        <w:t>，氯气</w:t>
      </w:r>
      <w:r>
        <w:rPr>
          <w:rFonts w:hint="eastAsia"/>
          <w:bCs/>
        </w:rPr>
        <w:t>站</w:t>
      </w:r>
      <w:r>
        <w:rPr>
          <w:bCs/>
        </w:rPr>
        <w:t>共设置</w:t>
      </w:r>
      <w:r>
        <w:rPr>
          <w:rFonts w:hint="eastAsia"/>
          <w:bCs/>
        </w:rPr>
        <w:t>400ml</w:t>
      </w:r>
      <w:r>
        <w:rPr>
          <w:bCs/>
        </w:rPr>
        <w:t>规格钢瓶</w:t>
      </w:r>
      <w:r>
        <w:rPr>
          <w:rFonts w:hint="eastAsia"/>
          <w:bCs/>
          <w:lang w:val="en-US" w:eastAsia="zh-CN"/>
        </w:rPr>
        <w:t>1</w:t>
      </w:r>
      <w:r>
        <w:rPr>
          <w:bCs/>
        </w:rPr>
        <w:t>个。本项目年用氯气量为</w:t>
      </w:r>
      <w:r>
        <w:rPr>
          <w:rFonts w:hint="eastAsia"/>
          <w:bCs/>
        </w:rPr>
        <w:t>2492.2</w:t>
      </w:r>
      <w:r>
        <w:rPr>
          <w:bCs/>
        </w:rPr>
        <w:t>m</w:t>
      </w:r>
      <w:r>
        <w:rPr>
          <w:bCs/>
          <w:vertAlign w:val="superscript"/>
        </w:rPr>
        <w:t>3</w:t>
      </w:r>
      <w:r>
        <w:rPr>
          <w:bCs/>
        </w:rPr>
        <w:t>，合计</w:t>
      </w:r>
      <w:r>
        <w:rPr>
          <w:rFonts w:hint="eastAsia"/>
          <w:bCs/>
        </w:rPr>
        <w:t>8</w:t>
      </w:r>
      <w:r>
        <w:rPr>
          <w:bCs/>
        </w:rPr>
        <w:t>t</w:t>
      </w:r>
      <w:r>
        <w:rPr>
          <w:rFonts w:hint="eastAsia"/>
          <w:bCs/>
        </w:rPr>
        <w:t>。在氯气站和氩气按照比例进行配比后采用管道输送到生产装置。</w:t>
      </w:r>
    </w:p>
    <w:p>
      <w:pPr>
        <w:pStyle w:val="7"/>
        <w:ind w:firstLine="482"/>
        <w:rPr>
          <w:b/>
        </w:rPr>
      </w:pPr>
      <w:r>
        <w:rPr>
          <w:rFonts w:hint="eastAsia"/>
          <w:b/>
        </w:rPr>
        <w:t>3、氩气供应</w:t>
      </w:r>
    </w:p>
    <w:p>
      <w:pPr>
        <w:pStyle w:val="7"/>
        <w:ind w:firstLine="480"/>
        <w:rPr>
          <w:bCs/>
        </w:rPr>
      </w:pPr>
      <w:r>
        <w:rPr>
          <w:rFonts w:hint="eastAsia"/>
          <w:bCs/>
        </w:rPr>
        <w:t>一期工程用氩气就近采购，在项目一期生产车间西侧设置1个15m</w:t>
      </w:r>
      <w:r>
        <w:rPr>
          <w:rFonts w:hint="eastAsia"/>
          <w:bCs/>
          <w:vertAlign w:val="superscript"/>
        </w:rPr>
        <w:t>3</w:t>
      </w:r>
      <w:r>
        <w:rPr>
          <w:rFonts w:hint="eastAsia"/>
          <w:bCs/>
        </w:rPr>
        <w:t>液化氩气储罐储存，年用量为320t（约合16818m</w:t>
      </w:r>
      <w:r>
        <w:rPr>
          <w:rFonts w:hint="eastAsia"/>
          <w:bCs/>
          <w:vertAlign w:val="superscript"/>
        </w:rPr>
        <w:t>3</w:t>
      </w:r>
      <w:r>
        <w:rPr>
          <w:rFonts w:hint="eastAsia"/>
          <w:bCs/>
        </w:rPr>
        <w:t>）。</w:t>
      </w:r>
    </w:p>
    <w:p>
      <w:pPr>
        <w:pStyle w:val="7"/>
        <w:ind w:firstLine="482"/>
        <w:rPr>
          <w:b/>
        </w:rPr>
      </w:pPr>
      <w:r>
        <w:rPr>
          <w:rFonts w:hint="eastAsia"/>
          <w:b/>
        </w:rPr>
        <w:t>4、氮气供应</w:t>
      </w:r>
    </w:p>
    <w:p>
      <w:pPr>
        <w:pStyle w:val="7"/>
        <w:ind w:firstLine="480"/>
        <w:rPr>
          <w:bCs/>
        </w:rPr>
      </w:pPr>
      <w:r>
        <w:rPr>
          <w:rFonts w:hint="eastAsia"/>
          <w:bCs/>
        </w:rPr>
        <w:t>二期工程</w:t>
      </w:r>
      <w:r>
        <w:rPr>
          <w:bCs/>
        </w:rPr>
        <w:t>氮气站主要为液氮储罐，本项目设置</w:t>
      </w:r>
      <w:r>
        <w:rPr>
          <w:rFonts w:hint="eastAsia"/>
          <w:bCs/>
        </w:rPr>
        <w:t>1</w:t>
      </w:r>
      <w:r>
        <w:rPr>
          <w:bCs/>
        </w:rPr>
        <w:t>个液氮储罐，单个储罐容积为</w:t>
      </w:r>
      <w:r>
        <w:rPr>
          <w:rFonts w:hint="eastAsia"/>
          <w:bCs/>
        </w:rPr>
        <w:t>10</w:t>
      </w:r>
      <w:r>
        <w:rPr>
          <w:bCs/>
        </w:rPr>
        <w:t>m</w:t>
      </w:r>
      <w:r>
        <w:rPr>
          <w:bCs/>
          <w:vertAlign w:val="superscript"/>
        </w:rPr>
        <w:t>3</w:t>
      </w:r>
      <w:r>
        <w:rPr>
          <w:bCs/>
        </w:rPr>
        <w:t>，</w:t>
      </w:r>
      <w:r>
        <w:rPr>
          <w:rFonts w:hint="eastAsia"/>
          <w:bCs/>
        </w:rPr>
        <w:t>年</w:t>
      </w:r>
      <w:r>
        <w:rPr>
          <w:bCs/>
        </w:rPr>
        <w:t>使用量为</w:t>
      </w:r>
      <w:r>
        <w:rPr>
          <w:rFonts w:hint="eastAsia"/>
          <w:bCs/>
        </w:rPr>
        <w:t>200t（约合246.9m</w:t>
      </w:r>
      <w:r>
        <w:rPr>
          <w:rFonts w:hint="eastAsia"/>
          <w:bCs/>
          <w:vertAlign w:val="superscript"/>
        </w:rPr>
        <w:t>3</w:t>
      </w:r>
      <w:r>
        <w:rPr>
          <w:rFonts w:hint="eastAsia"/>
          <w:bCs/>
        </w:rPr>
        <w:t>）</w:t>
      </w:r>
      <w:r>
        <w:rPr>
          <w:bCs/>
        </w:rPr>
        <w:t>。</w:t>
      </w:r>
    </w:p>
    <w:p>
      <w:pPr>
        <w:pStyle w:val="7"/>
        <w:ind w:firstLine="482"/>
        <w:rPr>
          <w:b/>
        </w:rPr>
      </w:pPr>
      <w:r>
        <w:rPr>
          <w:rFonts w:hint="eastAsia"/>
          <w:b/>
        </w:rPr>
        <w:t>5、液化石油气供应</w:t>
      </w:r>
    </w:p>
    <w:p>
      <w:pPr>
        <w:pStyle w:val="7"/>
        <w:ind w:firstLine="480"/>
        <w:rPr>
          <w:bCs/>
        </w:rPr>
      </w:pPr>
      <w:r>
        <w:rPr>
          <w:rFonts w:hint="eastAsia"/>
          <w:bCs/>
        </w:rPr>
        <w:t>二期工程所用</w:t>
      </w:r>
      <w:r>
        <w:rPr>
          <w:bCs/>
        </w:rPr>
        <w:t>液化石油气采用钢瓶转运使用</w:t>
      </w:r>
      <w:r>
        <w:rPr>
          <w:rFonts w:hint="eastAsia"/>
          <w:bCs/>
        </w:rPr>
        <w:t>，项目于二期工程生产车间南侧设置</w:t>
      </w:r>
      <w:r>
        <w:rPr>
          <w:bCs/>
        </w:rPr>
        <w:t>液化石油气</w:t>
      </w:r>
      <w:r>
        <w:rPr>
          <w:rFonts w:hint="eastAsia"/>
          <w:bCs/>
        </w:rPr>
        <w:t>储存区，年</w:t>
      </w:r>
      <w:r>
        <w:rPr>
          <w:bCs/>
        </w:rPr>
        <w:t>使用量为</w:t>
      </w:r>
      <w:r>
        <w:rPr>
          <w:rFonts w:hint="eastAsia"/>
          <w:bCs/>
        </w:rPr>
        <w:t>30t，最大存储量1t。</w:t>
      </w:r>
    </w:p>
    <w:p>
      <w:pPr>
        <w:pStyle w:val="7"/>
        <w:ind w:firstLine="482"/>
        <w:rPr>
          <w:b/>
          <w:bCs/>
        </w:rPr>
      </w:pPr>
      <w:r>
        <w:rPr>
          <w:rFonts w:hint="eastAsia"/>
          <w:b/>
          <w:bCs/>
        </w:rPr>
        <w:t>6、实验室</w:t>
      </w:r>
    </w:p>
    <w:p>
      <w:pPr>
        <w:pStyle w:val="7"/>
        <w:ind w:firstLine="480"/>
      </w:pPr>
      <w:r>
        <w:rPr>
          <w:rFonts w:hint="eastAsia"/>
        </w:rPr>
        <w:t>实验室位于一期工程生产车间南侧，占地面积136.4m</w:t>
      </w:r>
      <w:r>
        <w:rPr>
          <w:rFonts w:hint="eastAsia"/>
          <w:vertAlign w:val="superscript"/>
        </w:rPr>
        <w:t>2</w:t>
      </w:r>
      <w:r>
        <w:rPr>
          <w:rFonts w:hint="eastAsia"/>
        </w:rPr>
        <w:t>，主要进行低倍实验。低倍组织分析：主要对产品切片分别通过碱蚀（20%-25%氢氧化钠）或酸蚀（HF:HNO</w:t>
      </w:r>
      <w:r>
        <w:rPr>
          <w:rFonts w:hint="eastAsia"/>
          <w:vertAlign w:val="subscript"/>
        </w:rPr>
        <w:t>3</w:t>
      </w:r>
      <w:r>
        <w:rPr>
          <w:rFonts w:hint="eastAsia"/>
        </w:rPr>
        <w:t>:HCl=5:25:75）处理，对产品晶粒度、夹渣、偏析层等相关指标要求进行分析检验。</w:t>
      </w:r>
    </w:p>
    <w:p>
      <w:pPr>
        <w:pStyle w:val="7"/>
        <w:ind w:firstLine="482"/>
        <w:rPr>
          <w:b/>
          <w:bCs/>
        </w:rPr>
      </w:pPr>
      <w:r>
        <w:rPr>
          <w:rFonts w:hint="eastAsia"/>
          <w:b/>
          <w:bCs/>
        </w:rPr>
        <w:t>7、机修间</w:t>
      </w:r>
    </w:p>
    <w:p>
      <w:pPr>
        <w:pStyle w:val="7"/>
        <w:ind w:firstLine="480"/>
      </w:pPr>
      <w:r>
        <w:rPr>
          <w:rFonts w:hint="eastAsia"/>
        </w:rPr>
        <w:t>项目新建一座机修间，</w:t>
      </w:r>
      <w:r>
        <w:rPr>
          <w:rFonts w:hint="eastAsia" w:ascii="宋体" w:hAnsi="宋体"/>
        </w:rPr>
        <w:t>一次规划建设两期工程共用，</w:t>
      </w:r>
      <w:r>
        <w:rPr>
          <w:rFonts w:hint="eastAsia"/>
        </w:rPr>
        <w:t>位于一期生产车间南侧，</w:t>
      </w:r>
      <w:r>
        <w:t>负责常规维护和小修用的少量小型备件的加工与制造工作。</w:t>
      </w:r>
    </w:p>
    <w:p>
      <w:pPr>
        <w:pStyle w:val="5"/>
      </w:pPr>
      <w:bookmarkStart w:id="68" w:name="_Toc20436"/>
      <w:r>
        <w:rPr>
          <w:rFonts w:hint="eastAsia"/>
        </w:rPr>
        <w:t>3.7公用工程</w:t>
      </w:r>
      <w:bookmarkEnd w:id="68"/>
    </w:p>
    <w:p>
      <w:pPr>
        <w:pStyle w:val="7"/>
        <w:ind w:firstLine="482"/>
        <w:rPr>
          <w:b/>
          <w:bCs/>
        </w:rPr>
      </w:pPr>
      <w:r>
        <w:rPr>
          <w:rFonts w:hint="eastAsia"/>
          <w:b/>
          <w:bCs/>
        </w:rPr>
        <w:t>1、</w:t>
      </w:r>
      <w:r>
        <w:rPr>
          <w:b/>
          <w:bCs/>
        </w:rPr>
        <w:t>供水</w:t>
      </w:r>
    </w:p>
    <w:p>
      <w:pPr>
        <w:pStyle w:val="7"/>
        <w:ind w:firstLine="480"/>
      </w:pPr>
      <w:r>
        <w:rPr>
          <w:rFonts w:hint="eastAsia"/>
        </w:rPr>
        <w:t>（1）</w:t>
      </w:r>
      <w:r>
        <w:t>水源</w:t>
      </w:r>
    </w:p>
    <w:p>
      <w:pPr>
        <w:pStyle w:val="7"/>
        <w:ind w:firstLine="480"/>
      </w:pPr>
      <w:r>
        <w:t>项目给水由园区统筹供水至本工程设置的储水池、经加压泵房水泵及管道输送至厂内各用水点，项目施工临时用水及后期永久性生产、生活用水均由园区协调县水务局统筹供应。</w:t>
      </w:r>
    </w:p>
    <w:p>
      <w:pPr>
        <w:pStyle w:val="7"/>
        <w:ind w:firstLine="480"/>
      </w:pPr>
      <w:r>
        <w:rPr>
          <w:rFonts w:hint="eastAsia"/>
        </w:rPr>
        <w:t>（2）</w:t>
      </w:r>
      <w:r>
        <w:t>供水系统</w:t>
      </w:r>
    </w:p>
    <w:p>
      <w:pPr>
        <w:pStyle w:val="7"/>
        <w:ind w:firstLine="480"/>
      </w:pPr>
      <w:r>
        <w:t>根据系统用水的不同功能，厂区给水系统分为生产给水系统、消防给水、生活给水及二次利用给水四套独立的给水系统。</w:t>
      </w:r>
    </w:p>
    <w:p>
      <w:pPr>
        <w:pStyle w:val="7"/>
        <w:ind w:firstLine="480"/>
      </w:pPr>
      <w:r>
        <w:t>生产给水系统、消防给水、生活给水由全厂加压泵站及贮水池供给，水源为工业园区提供的自来水；二次利用给水由</w:t>
      </w:r>
      <w:r>
        <w:rPr>
          <w:rFonts w:hint="eastAsia"/>
        </w:rPr>
        <w:t>初期雨水池</w:t>
      </w:r>
      <w:r>
        <w:t>的回用水泵房供给，水源为初期雨水，初期雨水经处理达标后</w:t>
      </w:r>
      <w:r>
        <w:rPr>
          <w:rFonts w:hint="eastAsia"/>
        </w:rPr>
        <w:t>用于厂区绿化和道路清撒</w:t>
      </w:r>
      <w:r>
        <w:t>，</w:t>
      </w:r>
      <w:r>
        <w:rPr>
          <w:rFonts w:hint="eastAsia"/>
        </w:rPr>
        <w:t>剩余部分用于冷却循环补充水，</w:t>
      </w:r>
      <w:r>
        <w:t>不排放。</w:t>
      </w:r>
    </w:p>
    <w:p>
      <w:pPr>
        <w:pStyle w:val="7"/>
        <w:ind w:firstLine="480"/>
      </w:pPr>
      <w:r>
        <w:t>全厂供水系统由加压泵站和循环水池构成、生产给水系统、消防给水、生活给水各配置2座蓄水池、由加压泵站向用户供水。供水管道各自独立。给水管网拟采用埋地敷设的方式。生产给水管网及消防给水管网均拟采用环状布置，管道均采用无缝钢管，焊接或法兰连接；生活给水管网采用环状布置，管道拟采用钢丝网骨架塑料复合管，电热熔连接。供水泵采用微机变频调速装置进行变频调速，保证恒压供水，满足厂区的用水的水量、水压要求。</w:t>
      </w:r>
    </w:p>
    <w:p>
      <w:pPr>
        <w:pStyle w:val="7"/>
        <w:ind w:firstLine="482"/>
        <w:rPr>
          <w:b/>
          <w:bCs/>
        </w:rPr>
      </w:pPr>
      <w:r>
        <w:rPr>
          <w:rFonts w:hint="eastAsia"/>
          <w:b/>
          <w:bCs/>
        </w:rPr>
        <w:t>2、</w:t>
      </w:r>
      <w:r>
        <w:rPr>
          <w:b/>
          <w:bCs/>
        </w:rPr>
        <w:t>排水</w:t>
      </w:r>
    </w:p>
    <w:p>
      <w:pPr>
        <w:pStyle w:val="7"/>
        <w:ind w:firstLine="480"/>
      </w:pPr>
      <w:r>
        <w:t>厂区区域的排水实施雨污分流、清污分流。</w:t>
      </w:r>
      <w:r>
        <w:rPr>
          <w:rFonts w:hint="eastAsia"/>
        </w:rPr>
        <w:t>后期</w:t>
      </w:r>
      <w:r>
        <w:t>雨水直接通过雨水管网接入园区雨水管网。</w:t>
      </w:r>
    </w:p>
    <w:p>
      <w:pPr>
        <w:pStyle w:val="7"/>
        <w:ind w:firstLine="480"/>
      </w:pPr>
      <w:r>
        <w:rPr>
          <w:rFonts w:hint="eastAsia"/>
        </w:rPr>
        <w:t>项目</w:t>
      </w:r>
      <w:r>
        <w:t>产生的</w:t>
      </w:r>
      <w:r>
        <w:rPr>
          <w:rFonts w:hint="eastAsia"/>
        </w:rPr>
        <w:t>初期雨水</w:t>
      </w:r>
      <w:r>
        <w:t>进入厂内</w:t>
      </w:r>
      <w:r>
        <w:rPr>
          <w:rFonts w:hint="eastAsia"/>
        </w:rPr>
        <w:t>初期雨水收集池</w:t>
      </w:r>
      <w:r>
        <w:t>，</w:t>
      </w:r>
      <w:r>
        <w:rPr>
          <w:rFonts w:hint="eastAsia"/>
        </w:rPr>
        <w:t>沉淀</w:t>
      </w:r>
      <w:r>
        <w:t>处理达</w:t>
      </w:r>
      <w:r>
        <w:rPr>
          <w:rFonts w:hint="eastAsia"/>
        </w:rPr>
        <w:t>到</w:t>
      </w:r>
      <w:r>
        <w:t>《城市污水再生利用 城市杂用水水质标准》</w:t>
      </w:r>
      <w:r>
        <w:rPr>
          <w:rFonts w:hint="eastAsia"/>
          <w:lang w:eastAsia="zh-CN"/>
        </w:rPr>
        <w:t>（</w:t>
      </w:r>
      <w:r>
        <w:t>GB/TI8920-2002</w:t>
      </w:r>
      <w:r>
        <w:rPr>
          <w:rFonts w:hint="eastAsia"/>
          <w:lang w:eastAsia="zh-CN"/>
        </w:rPr>
        <w:t>）</w:t>
      </w:r>
      <w:r>
        <w:rPr>
          <w:rFonts w:hint="eastAsia"/>
        </w:rPr>
        <w:t>中城市绿化及道路清扫以及《城市污水再生利用工业用水水质》（GB/T19923-2005）的相应标准后回用于晴天厂区绿化及道路清扫，剩余部分用于冷却循环补充水，不外排</w:t>
      </w:r>
      <w:r>
        <w:t>。</w:t>
      </w:r>
    </w:p>
    <w:p>
      <w:pPr>
        <w:pStyle w:val="7"/>
        <w:ind w:firstLine="480"/>
      </w:pPr>
      <w:r>
        <w:rPr>
          <w:rFonts w:hint="eastAsia"/>
        </w:rPr>
        <w:t>生活污水经化粪池、隔油池处理后，通过市政管网进入砚山县第一污水处理厂进行处理。</w:t>
      </w:r>
    </w:p>
    <w:p>
      <w:pPr>
        <w:pStyle w:val="7"/>
        <w:ind w:firstLine="480"/>
      </w:pPr>
      <w:r>
        <w:rPr>
          <w:rFonts w:hint="eastAsia"/>
        </w:rPr>
        <w:t>项目冷却循环系统定期排水收集后通过市政管网进入砚山县第一污水处理厂进行处理，污水排放执行《污水综合排放标准》（G</w:t>
      </w:r>
      <w:r>
        <w:t>B</w:t>
      </w:r>
      <w:r>
        <w:rPr>
          <w:rFonts w:hint="eastAsia"/>
        </w:rPr>
        <w:t>8978-1996）中的一级排放标准。</w:t>
      </w:r>
    </w:p>
    <w:p>
      <w:pPr>
        <w:pStyle w:val="7"/>
        <w:ind w:firstLine="482"/>
        <w:rPr>
          <w:b/>
          <w:bCs/>
        </w:rPr>
      </w:pPr>
      <w:r>
        <w:rPr>
          <w:rFonts w:hint="eastAsia"/>
          <w:b/>
          <w:bCs/>
        </w:rPr>
        <w:t>3、循环水系统</w:t>
      </w:r>
    </w:p>
    <w:p>
      <w:pPr>
        <w:pStyle w:val="7"/>
        <w:ind w:firstLine="480"/>
      </w:pPr>
      <w:r>
        <w:rPr>
          <w:rFonts w:hint="eastAsia"/>
        </w:rPr>
        <w:t>一期工程铝合金圆铸锭采用冷却水直接冷却方式，</w:t>
      </w:r>
      <w:r>
        <w:rPr>
          <w:rFonts w:hint="eastAsia"/>
          <w:lang w:val="en-US" w:eastAsia="zh-CN"/>
        </w:rPr>
        <w:t>铝灰分离车间冷灰机采用间接冷却方式。冷却水</w:t>
      </w:r>
      <w:r>
        <w:rPr>
          <w:rFonts w:hint="eastAsia"/>
        </w:rPr>
        <w:t>循环水量为450m</w:t>
      </w:r>
      <w:r>
        <w:rPr>
          <w:rFonts w:hint="eastAsia"/>
          <w:vertAlign w:val="superscript"/>
        </w:rPr>
        <w:t>3</w:t>
      </w:r>
      <w:r>
        <w:rPr>
          <w:rFonts w:hint="eastAsia"/>
        </w:rPr>
        <w:t>/h，供水压力0.3~0.4MPa，供水温度为≤35ºC，用后回水温度升高，用泵加压上冷却塔降温之后全部自流入循环水泵站冷水井，再用泵组加压分别供用户循环使用。</w:t>
      </w:r>
    </w:p>
    <w:p>
      <w:pPr>
        <w:pStyle w:val="7"/>
        <w:ind w:firstLine="480"/>
      </w:pPr>
      <w:r>
        <w:rPr>
          <w:rFonts w:hint="eastAsia"/>
        </w:rPr>
        <w:t>一期工程铝合金板锭采用冷却水直接冷却方式，循环水量为450m</w:t>
      </w:r>
      <w:r>
        <w:rPr>
          <w:rFonts w:hint="eastAsia"/>
          <w:vertAlign w:val="superscript"/>
        </w:rPr>
        <w:t>3</w:t>
      </w:r>
      <w:r>
        <w:rPr>
          <w:rFonts w:hint="eastAsia"/>
        </w:rPr>
        <w:t>/h，供水压力0.3~0.4MPa，供水温度为≤35ºC，用后回水温度升高，用泵加压上冷却塔降温之后全部自流入循环水泵站冷水井，再用泵组加压分别供用户循环使用。</w:t>
      </w:r>
    </w:p>
    <w:p>
      <w:pPr>
        <w:pStyle w:val="7"/>
        <w:ind w:firstLine="480"/>
        <w:jc w:val="both"/>
        <w:rPr>
          <w:color w:val="auto"/>
        </w:rPr>
      </w:pPr>
      <w:r>
        <w:rPr>
          <w:rFonts w:hint="eastAsia"/>
          <w:color w:val="auto"/>
        </w:rPr>
        <w:t>二期工程铝合金铸轧板采用冷却水</w:t>
      </w:r>
      <w:r>
        <w:rPr>
          <w:rFonts w:hint="eastAsia"/>
          <w:color w:val="auto"/>
          <w:lang w:val="en-US" w:eastAsia="zh-CN"/>
        </w:rPr>
        <w:t>间接</w:t>
      </w:r>
      <w:r>
        <w:rPr>
          <w:rFonts w:hint="eastAsia"/>
          <w:color w:val="auto"/>
        </w:rPr>
        <w:t>冷却方式，</w:t>
      </w:r>
      <w:r>
        <w:rPr>
          <w:rFonts w:hint="eastAsia"/>
          <w:color w:val="auto"/>
          <w:lang w:val="en-US" w:eastAsia="zh-CN"/>
        </w:rPr>
        <w:t>铝灰分离车间冷灰机采用间接冷却方式。</w:t>
      </w:r>
      <w:r>
        <w:rPr>
          <w:rFonts w:hint="eastAsia"/>
          <w:color w:val="auto"/>
        </w:rPr>
        <w:t>循环水量为200m</w:t>
      </w:r>
      <w:r>
        <w:rPr>
          <w:rFonts w:hint="eastAsia"/>
          <w:color w:val="auto"/>
          <w:vertAlign w:val="superscript"/>
        </w:rPr>
        <w:t>3</w:t>
      </w:r>
      <w:r>
        <w:rPr>
          <w:rFonts w:hint="eastAsia"/>
          <w:color w:val="auto"/>
        </w:rPr>
        <w:t>/h，供水压力0.3~0.4MPa，供水温度为≤35ºC，用后回水温度升高，用泵加压上冷却塔降温之后全部自流入循环水泵站冷水井，再用泵组加压分别供用户循环使用。</w:t>
      </w:r>
    </w:p>
    <w:p>
      <w:pPr>
        <w:pStyle w:val="7"/>
        <w:ind w:firstLine="482"/>
        <w:rPr>
          <w:b/>
          <w:bCs/>
        </w:rPr>
      </w:pPr>
      <w:r>
        <w:rPr>
          <w:rFonts w:hint="eastAsia"/>
          <w:b/>
          <w:bCs/>
        </w:rPr>
        <w:t>4、</w:t>
      </w:r>
      <w:r>
        <w:rPr>
          <w:b/>
          <w:bCs/>
        </w:rPr>
        <w:t>供电</w:t>
      </w:r>
      <w:r>
        <w:rPr>
          <w:rFonts w:hint="eastAsia"/>
          <w:b/>
          <w:bCs/>
        </w:rPr>
        <w:t>系统</w:t>
      </w:r>
    </w:p>
    <w:p>
      <w:pPr>
        <w:pStyle w:val="7"/>
        <w:ind w:firstLine="480"/>
      </w:pPr>
      <w:r>
        <w:t>由云南电网有限责任公司文山供电局统一供电，本项目需最大用电</w:t>
      </w:r>
      <w:r>
        <w:rPr>
          <w:rFonts w:hint="eastAsia"/>
        </w:rPr>
        <w:t>448</w:t>
      </w:r>
      <w:r>
        <w:t>×10</w:t>
      </w:r>
      <w:r>
        <w:rPr>
          <w:rFonts w:hint="eastAsia"/>
          <w:vertAlign w:val="superscript"/>
        </w:rPr>
        <w:t>4</w:t>
      </w:r>
      <w:r>
        <w:t>kWh。</w:t>
      </w:r>
    </w:p>
    <w:p>
      <w:pPr>
        <w:pStyle w:val="7"/>
        <w:ind w:firstLine="482"/>
        <w:rPr>
          <w:b/>
          <w:bCs/>
        </w:rPr>
      </w:pPr>
      <w:r>
        <w:rPr>
          <w:rFonts w:hint="eastAsia"/>
          <w:b/>
          <w:bCs/>
        </w:rPr>
        <w:t>5、</w:t>
      </w:r>
      <w:r>
        <w:rPr>
          <w:b/>
          <w:bCs/>
        </w:rPr>
        <w:t>铝水供应</w:t>
      </w:r>
    </w:p>
    <w:p>
      <w:pPr>
        <w:pStyle w:val="7"/>
        <w:ind w:firstLine="480"/>
        <w:rPr>
          <w:highlight w:val="none"/>
        </w:rPr>
      </w:pPr>
      <w:r>
        <w:t>本项目生产用铝水来自位于项目厂区东侧的云南宏泰新型材料有限公司，</w:t>
      </w:r>
      <w:r>
        <w:rPr>
          <w:rFonts w:hint="eastAsia"/>
        </w:rPr>
        <w:t>该公司主要产品为铝水、重熔用普通铝锭。设计铝水总生产规模为202.78万t/a，生产系统分两期建设，总共新建6个电解系列，一期建设3个电解系列（其中包括2条单系列年产能38.37万吨的600kA系列和1条单系列产能为31.51万吨的440kA系列）；二期建设3个电解系列（均为单系列产能为31.51万吨的440kA系列</w:t>
      </w:r>
      <w:r>
        <w:rPr>
          <w:rFonts w:hint="eastAsia"/>
          <w:highlight w:val="none"/>
        </w:rPr>
        <w:t>），全厂铝水总产能为202.78万t/a，其中一期</w:t>
      </w:r>
      <w:r>
        <w:rPr>
          <w:rFonts w:hint="eastAsia"/>
          <w:highlight w:val="none"/>
          <w:lang w:val="en-US" w:eastAsia="zh-CN"/>
        </w:rPr>
        <w:t>工程已投产</w:t>
      </w:r>
      <w:r>
        <w:rPr>
          <w:rFonts w:hint="eastAsia"/>
          <w:highlight w:val="none"/>
        </w:rPr>
        <w:t>。</w:t>
      </w:r>
    </w:p>
    <w:p>
      <w:pPr>
        <w:pStyle w:val="7"/>
        <w:ind w:firstLine="480"/>
      </w:pPr>
      <w:r>
        <w:rPr>
          <w:rFonts w:hint="eastAsia"/>
        </w:rPr>
        <w:t>本</w:t>
      </w:r>
      <w:r>
        <w:t>项目铝水用量约为</w:t>
      </w:r>
      <w:r>
        <w:rPr>
          <w:rFonts w:hint="eastAsia"/>
        </w:rPr>
        <w:t>341180</w:t>
      </w:r>
      <w:r>
        <w:t>t/a，云南宏泰新型材料有限公司</w:t>
      </w:r>
      <w:r>
        <w:rPr>
          <w:rFonts w:hint="eastAsia"/>
        </w:rPr>
        <w:t>一期生产的铝水产能为108.25万t/a，故项目所需铝水来源有保证。</w:t>
      </w:r>
    </w:p>
    <w:p>
      <w:pPr>
        <w:pStyle w:val="7"/>
        <w:ind w:firstLine="480"/>
      </w:pPr>
      <w:r>
        <w:rPr>
          <w:rFonts w:hint="eastAsia"/>
        </w:rPr>
        <w:t>项目所需铝水</w:t>
      </w:r>
      <w:r>
        <w:t>通过运载能力为10t的铝水抬包车进行运输，运输抬包车时速不高于10km/h，运输距离约为</w:t>
      </w:r>
      <w:r>
        <w:rPr>
          <w:rFonts w:hint="eastAsia"/>
          <w:lang w:val="en-US" w:eastAsia="zh-CN"/>
        </w:rPr>
        <w:t>5</w:t>
      </w:r>
      <w:r>
        <w:t>00m。</w:t>
      </w:r>
    </w:p>
    <w:p>
      <w:pPr>
        <w:pStyle w:val="5"/>
      </w:pPr>
      <w:bookmarkStart w:id="69" w:name="_Toc4321"/>
      <w:r>
        <w:rPr>
          <w:rFonts w:hint="eastAsia"/>
        </w:rPr>
        <w:t>3.8物料运输</w:t>
      </w:r>
      <w:bookmarkEnd w:id="69"/>
    </w:p>
    <w:p>
      <w:pPr>
        <w:pStyle w:val="7"/>
        <w:ind w:firstLine="480"/>
      </w:pPr>
      <w:r>
        <w:rPr>
          <w:rFonts w:hint="eastAsia"/>
        </w:rPr>
        <w:t>本项目厂外运输主要大宗物料为铝水</w:t>
      </w:r>
      <w:r>
        <w:rPr>
          <w:rFonts w:hint="eastAsia"/>
          <w:lang w:val="en-US" w:eastAsia="zh-CN"/>
        </w:rPr>
        <w:t>等</w:t>
      </w:r>
      <w:r>
        <w:rPr>
          <w:rFonts w:hint="eastAsia"/>
        </w:rPr>
        <w:t>。为节省项目的基建投资，减少劳动定员，提高劳动生产率，工厂外部大宗货物运输皆外委专业运输公司负责，工厂不自备厂外运输车辆及人员和维修设施。</w:t>
      </w:r>
    </w:p>
    <w:p>
      <w:pPr>
        <w:pStyle w:val="7"/>
        <w:ind w:firstLine="480"/>
      </w:pPr>
      <w:r>
        <w:rPr>
          <w:rFonts w:hint="eastAsia"/>
        </w:rPr>
        <w:t>为满足工厂原材料、成品等运输计量的需要，在每个货运通道上分别设置数字式电子汽车衡，设置4台数字式电子汽车衡，最大吨位100t，用于计量进出厂的货物。</w:t>
      </w:r>
    </w:p>
    <w:p>
      <w:pPr>
        <w:pStyle w:val="5"/>
      </w:pPr>
      <w:bookmarkStart w:id="70" w:name="_Toc17950"/>
      <w:r>
        <w:rPr>
          <w:rFonts w:hint="eastAsia"/>
        </w:rPr>
        <w:t>3.9工作制度、定员</w:t>
      </w:r>
      <w:bookmarkEnd w:id="70"/>
    </w:p>
    <w:p>
      <w:pPr>
        <w:pStyle w:val="7"/>
        <w:ind w:firstLine="480"/>
      </w:pPr>
      <w:r>
        <w:rPr>
          <w:rFonts w:hint="eastAsia"/>
        </w:rPr>
        <w:t>根据生产纲领，本项目一期工程所需人员为100人，二期工程所需人员为50人，合计人员150人。项目实行三班工作制，每天工作24小时，年工作天数为330天，其中熔保炉年工作时间4950h（熔保炉燃气系统年工作时间8000h），扒渣工序年工作990h，铸造工序年工作2970h，铝灰分离车间年工作2640h，均质工序年工作3960h。</w:t>
      </w:r>
    </w:p>
    <w:p>
      <w:pPr>
        <w:pStyle w:val="5"/>
      </w:pPr>
      <w:bookmarkStart w:id="71" w:name="_Toc31788"/>
      <w:r>
        <w:rPr>
          <w:rFonts w:hint="eastAsia"/>
        </w:rPr>
        <w:t>3.10项目建设计划</w:t>
      </w:r>
      <w:bookmarkEnd w:id="71"/>
    </w:p>
    <w:p>
      <w:pPr>
        <w:pStyle w:val="7"/>
        <w:ind w:firstLine="480"/>
      </w:pPr>
      <w:r>
        <w:rPr>
          <w:rFonts w:hint="eastAsia"/>
        </w:rPr>
        <w:t>项目初步估计建设总工期为36个月（2022年6月~2025年6月）。其中一期工程24个月（2022年6月~2024年6月），二期工程12个月（2024年6月~2025年6月）。</w:t>
      </w:r>
    </w:p>
    <w:p>
      <w:pPr>
        <w:pStyle w:val="5"/>
      </w:pPr>
      <w:bookmarkStart w:id="72" w:name="_Toc23518"/>
      <w:r>
        <w:rPr>
          <w:rFonts w:hint="eastAsia"/>
        </w:rPr>
        <w:t>3.11项目平面布置</w:t>
      </w:r>
      <w:bookmarkEnd w:id="72"/>
    </w:p>
    <w:p>
      <w:pPr>
        <w:pStyle w:val="7"/>
        <w:ind w:firstLine="480"/>
      </w:pPr>
      <w:r>
        <w:rPr>
          <w:rFonts w:hint="eastAsia"/>
        </w:rPr>
        <w:t>本项目分两期建设，一期工程位于厂区西侧及中部，二期工程位于厂区东侧。项目东侧设置出入口，方便原料、人员及成品进出。</w:t>
      </w:r>
    </w:p>
    <w:p>
      <w:pPr>
        <w:pStyle w:val="7"/>
        <w:ind w:firstLine="480"/>
      </w:pPr>
      <w:r>
        <w:rPr>
          <w:rFonts w:hint="eastAsia"/>
        </w:rPr>
        <w:t>一期工程生产车间内从南至北依次布置铝灰处理车间、辅助设施、原辅料库、生产区、成品仓库。生产区布置铝合金圆铸锭、铝合金板锭生产线；其中圆铸锭生产线位于车间左侧，板锭生产线位于车间右侧。生产车间南部为原辅料车间，北部为货场。原辅料车间南侧布置铝灰分离车间及配电室、维修室及空压机房。为氯气站、氩气站位于一期生产车间西侧。</w:t>
      </w:r>
    </w:p>
    <w:p>
      <w:pPr>
        <w:pStyle w:val="7"/>
        <w:ind w:firstLine="480"/>
      </w:pPr>
      <w:r>
        <w:rPr>
          <w:rFonts w:hint="eastAsia"/>
        </w:rPr>
        <w:t>二期工程生产车间内布置铝合金铸轧板生产线，生产车间南侧为铝灰分离车间。</w:t>
      </w:r>
    </w:p>
    <w:p>
      <w:pPr>
        <w:pStyle w:val="7"/>
        <w:ind w:firstLine="480"/>
        <w:rPr>
          <w:lang w:bidi="ar"/>
        </w:rPr>
      </w:pPr>
      <w:r>
        <w:rPr>
          <w:lang w:bidi="ar"/>
        </w:rPr>
        <w:t>本项目平面布置详见</w:t>
      </w:r>
      <w:r>
        <w:rPr>
          <w:rFonts w:hint="eastAsia"/>
          <w:lang w:bidi="ar"/>
        </w:rPr>
        <w:t>附图3</w:t>
      </w:r>
      <w:r>
        <w:rPr>
          <w:lang w:bidi="ar"/>
        </w:rPr>
        <w:t>。</w:t>
      </w:r>
    </w:p>
    <w:p>
      <w:pPr>
        <w:pStyle w:val="5"/>
      </w:pPr>
      <w:bookmarkStart w:id="73" w:name="_Toc28071"/>
      <w:r>
        <w:rPr>
          <w:rFonts w:hint="eastAsia"/>
        </w:rPr>
        <w:t>3.12经济技术指标</w:t>
      </w:r>
      <w:bookmarkEnd w:id="73"/>
    </w:p>
    <w:p>
      <w:pPr>
        <w:pStyle w:val="7"/>
        <w:ind w:firstLine="480"/>
        <w:rPr>
          <w:rFonts w:hint="eastAsia"/>
        </w:rPr>
      </w:pPr>
      <w:r>
        <w:rPr>
          <w:rFonts w:hint="eastAsia"/>
        </w:rPr>
        <w:t>项目经济技术指标见表3.12-1。</w:t>
      </w:r>
    </w:p>
    <w:p>
      <w:pPr>
        <w:pStyle w:val="31"/>
      </w:pPr>
      <w:r>
        <w:rPr>
          <w:rFonts w:hint="eastAsia"/>
        </w:rPr>
        <w:t>表3.12-1  主要技术经济指标表</w:t>
      </w:r>
    </w:p>
    <w:tbl>
      <w:tblPr>
        <w:tblStyle w:val="27"/>
        <w:tblW w:w="5027"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961"/>
        <w:gridCol w:w="2473"/>
        <w:gridCol w:w="1530"/>
        <w:gridCol w:w="1530"/>
        <w:gridCol w:w="186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项目</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单位</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指标</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restart"/>
            <w:tcBorders>
              <w:top w:val="single" w:color="000000" w:sz="2" w:space="0"/>
              <w:left w:val="single" w:color="000000" w:sz="2" w:space="0"/>
              <w:right w:val="single" w:color="000000" w:sz="2" w:space="0"/>
            </w:tcBorders>
            <w:vAlign w:val="center"/>
          </w:tcPr>
          <w:p>
            <w:pPr>
              <w:pStyle w:val="33"/>
            </w:pPr>
            <w:r>
              <w:t>1</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生产规模</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continue"/>
            <w:tcBorders>
              <w:left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高端铝合金圆铸锭</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万吨/年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16</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continue"/>
            <w:tcBorders>
              <w:left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高端铝合金板锭</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万吨/年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16</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continue"/>
            <w:tcBorders>
              <w:left w:val="single" w:color="000000" w:sz="2" w:space="0"/>
              <w:bottom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高档铝合金铸轧板</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万吨/年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6</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restart"/>
            <w:tcBorders>
              <w:top w:val="single" w:color="000000" w:sz="2" w:space="0"/>
              <w:left w:val="single" w:color="000000" w:sz="2" w:space="0"/>
              <w:right w:val="single" w:color="000000" w:sz="2" w:space="0"/>
            </w:tcBorders>
            <w:vAlign w:val="center"/>
          </w:tcPr>
          <w:p>
            <w:pPr>
              <w:pStyle w:val="33"/>
            </w:pPr>
            <w:r>
              <w:t>2</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报批总投资</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万元</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118065.06</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continue"/>
            <w:tcBorders>
              <w:left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其中：固定资产投资</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万元</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102865.06</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continue"/>
            <w:tcBorders>
              <w:left w:val="single" w:color="000000" w:sz="2" w:space="0"/>
              <w:bottom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铺底流动资金</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万元</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15200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restart"/>
            <w:tcBorders>
              <w:top w:val="single" w:color="000000" w:sz="2" w:space="0"/>
              <w:left w:val="single" w:color="000000" w:sz="2" w:space="0"/>
              <w:bottom w:val="single" w:color="000000" w:sz="2" w:space="0"/>
              <w:right w:val="single" w:color="000000" w:sz="2" w:space="0"/>
            </w:tcBorders>
            <w:vAlign w:val="center"/>
          </w:tcPr>
          <w:p>
            <w:pPr>
              <w:pStyle w:val="33"/>
            </w:pPr>
            <w:r>
              <w:t>3</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项目定员</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人</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150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vMerge w:val="continue"/>
            <w:tcBorders>
              <w:top w:val="single" w:color="000000" w:sz="2" w:space="0"/>
              <w:left w:val="single" w:color="000000" w:sz="2" w:space="0"/>
              <w:bottom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一期</w:t>
            </w:r>
            <w:r>
              <w:t>项目定员</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人</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100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6" w:hRule="atLeast"/>
        </w:trPr>
        <w:tc>
          <w:tcPr>
            <w:tcW w:w="575" w:type="pct"/>
            <w:vMerge w:val="continue"/>
            <w:tcBorders>
              <w:top w:val="single" w:color="000000" w:sz="2" w:space="0"/>
              <w:left w:val="single" w:color="000000" w:sz="2" w:space="0"/>
              <w:bottom w:val="single" w:color="000000" w:sz="2" w:space="0"/>
              <w:right w:val="single" w:color="000000" w:sz="2" w:space="0"/>
            </w:tcBorders>
            <w:vAlign w:val="center"/>
          </w:tcPr>
          <w:p>
            <w:pPr>
              <w:pStyle w:val="33"/>
            </w:pP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二期</w:t>
            </w:r>
            <w:r>
              <w:t>项目定员</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人</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50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r>
              <w:t>4</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全年生产天数</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天</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330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r>
              <w:t>5</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建筑面积</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平方米</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65321.1</w:t>
            </w:r>
          </w:p>
        </w:tc>
        <w:tc>
          <w:tcPr>
            <w:tcW w:w="1114" w:type="pct"/>
            <w:vMerge w:val="restar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r>
              <w:t>6</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项目占地面积</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平方米</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123845</w:t>
            </w:r>
          </w:p>
        </w:tc>
        <w:tc>
          <w:tcPr>
            <w:tcW w:w="1114" w:type="pct"/>
            <w:vMerge w:val="continue"/>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auto" w:sz="4" w:space="0"/>
              <w:right w:val="single" w:color="000000" w:sz="2" w:space="0"/>
            </w:tcBorders>
            <w:vAlign w:val="center"/>
          </w:tcPr>
          <w:p>
            <w:pPr>
              <w:pStyle w:val="33"/>
            </w:pPr>
            <w:r>
              <w:t>7</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项目绿化面积</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平方米</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5700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auto" w:sz="4" w:space="0"/>
              <w:left w:val="single" w:color="auto" w:sz="4" w:space="0"/>
              <w:bottom w:val="single" w:color="auto" w:sz="4" w:space="0"/>
              <w:right w:val="single" w:color="auto" w:sz="4" w:space="0"/>
            </w:tcBorders>
            <w:vAlign w:val="center"/>
          </w:tcPr>
          <w:p>
            <w:pPr>
              <w:pStyle w:val="33"/>
            </w:pPr>
            <w:r>
              <w:t>8</w:t>
            </w:r>
          </w:p>
        </w:tc>
        <w:tc>
          <w:tcPr>
            <w:tcW w:w="1479" w:type="pct"/>
            <w:tcBorders>
              <w:top w:val="single" w:color="000000" w:sz="2" w:space="0"/>
              <w:left w:val="single" w:color="auto" w:sz="4" w:space="0"/>
              <w:bottom w:val="single" w:color="000000" w:sz="2" w:space="0"/>
              <w:right w:val="single" w:color="000000" w:sz="2" w:space="0"/>
            </w:tcBorders>
            <w:vAlign w:val="center"/>
          </w:tcPr>
          <w:p>
            <w:pPr>
              <w:pStyle w:val="33"/>
            </w:pPr>
            <w:r>
              <w:t>项目用</w:t>
            </w:r>
            <w:r>
              <w:rPr>
                <w:rFonts w:hint="eastAsia"/>
              </w:rPr>
              <w:t>水</w:t>
            </w:r>
            <w:r>
              <w:t>量</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万吨/年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0.9294</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auto" w:sz="4" w:space="0"/>
              <w:left w:val="single" w:color="000000" w:sz="2" w:space="0"/>
              <w:bottom w:val="single" w:color="000000" w:sz="2" w:space="0"/>
              <w:right w:val="single" w:color="000000" w:sz="2" w:space="0"/>
            </w:tcBorders>
            <w:vAlign w:val="center"/>
          </w:tcPr>
          <w:p>
            <w:pPr>
              <w:pStyle w:val="33"/>
            </w:pPr>
            <w:r>
              <w:rPr>
                <w:rFonts w:hint="eastAsia"/>
              </w:rPr>
              <w:t>9</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项目用电量</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万千瓦时/年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448</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r>
              <w:t>10</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天然气</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万m</w:t>
            </w:r>
            <w:r>
              <w:rPr>
                <w:vertAlign w:val="superscript"/>
              </w:rPr>
              <w:t>3</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3802</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r>
              <w:t>11</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t>销售收入</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万元/年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755600</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r>
              <w:t>达产年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575" w:type="pct"/>
            <w:tcBorders>
              <w:top w:val="single" w:color="000000" w:sz="2" w:space="0"/>
              <w:left w:val="single" w:color="000000" w:sz="2" w:space="0"/>
              <w:bottom w:val="single" w:color="000000" w:sz="2" w:space="0"/>
              <w:right w:val="single" w:color="000000" w:sz="2" w:space="0"/>
            </w:tcBorders>
            <w:vAlign w:val="center"/>
          </w:tcPr>
          <w:p>
            <w:pPr>
              <w:pStyle w:val="33"/>
            </w:pPr>
            <w:r>
              <w:t>12</w:t>
            </w:r>
          </w:p>
        </w:tc>
        <w:tc>
          <w:tcPr>
            <w:tcW w:w="1479"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利税总额</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t>万元/年</w:t>
            </w:r>
          </w:p>
        </w:tc>
        <w:tc>
          <w:tcPr>
            <w:tcW w:w="915" w:type="pct"/>
            <w:tcBorders>
              <w:top w:val="single" w:color="000000" w:sz="2" w:space="0"/>
              <w:left w:val="single" w:color="000000" w:sz="2" w:space="0"/>
              <w:bottom w:val="single" w:color="000000" w:sz="2" w:space="0"/>
              <w:right w:val="single" w:color="000000" w:sz="2" w:space="0"/>
            </w:tcBorders>
            <w:vAlign w:val="center"/>
          </w:tcPr>
          <w:p>
            <w:pPr>
              <w:pStyle w:val="33"/>
            </w:pPr>
            <w:r>
              <w:rPr>
                <w:rFonts w:hint="eastAsia"/>
              </w:rPr>
              <w:t>45336</w:t>
            </w:r>
          </w:p>
        </w:tc>
        <w:tc>
          <w:tcPr>
            <w:tcW w:w="1114" w:type="pct"/>
            <w:tcBorders>
              <w:top w:val="single" w:color="000000" w:sz="2" w:space="0"/>
              <w:left w:val="single" w:color="000000" w:sz="2" w:space="0"/>
              <w:bottom w:val="single" w:color="000000" w:sz="2" w:space="0"/>
              <w:right w:val="single" w:color="000000" w:sz="2" w:space="0"/>
            </w:tcBorders>
            <w:vAlign w:val="center"/>
          </w:tcPr>
          <w:p>
            <w:pPr>
              <w:pStyle w:val="33"/>
            </w:pPr>
            <w:r>
              <w:t>达产年</w:t>
            </w:r>
          </w:p>
        </w:tc>
      </w:tr>
    </w:tbl>
    <w:p>
      <w:pPr>
        <w:pStyle w:val="33"/>
      </w:pPr>
    </w:p>
    <w:p>
      <w:pPr>
        <w:pStyle w:val="7"/>
        <w:ind w:firstLine="480"/>
      </w:pPr>
    </w:p>
    <w:p>
      <w:pPr>
        <w:pStyle w:val="7"/>
        <w:ind w:firstLine="480"/>
      </w:pPr>
    </w:p>
    <w:p>
      <w:pPr>
        <w:pStyle w:val="7"/>
        <w:ind w:firstLine="0" w:firstLineChars="0"/>
      </w:pPr>
    </w:p>
    <w:p>
      <w:pPr>
        <w:pStyle w:val="7"/>
        <w:ind w:firstLine="480"/>
      </w:pPr>
    </w:p>
    <w:p>
      <w:pPr>
        <w:pStyle w:val="7"/>
        <w:ind w:firstLine="480"/>
        <w:sectPr>
          <w:pgSz w:w="11906" w:h="16838"/>
          <w:pgMar w:top="1440" w:right="1800" w:bottom="1440" w:left="1800" w:header="851" w:footer="992" w:gutter="0"/>
          <w:cols w:space="425" w:num="1"/>
          <w:docGrid w:type="lines" w:linePitch="312" w:charSpace="0"/>
        </w:sectPr>
      </w:pPr>
    </w:p>
    <w:p>
      <w:pPr>
        <w:pStyle w:val="4"/>
      </w:pPr>
      <w:bookmarkStart w:id="74" w:name="_Toc16989"/>
      <w:r>
        <w:rPr>
          <w:rFonts w:hint="eastAsia"/>
        </w:rPr>
        <w:t>4 工程分析</w:t>
      </w:r>
      <w:bookmarkEnd w:id="74"/>
    </w:p>
    <w:p>
      <w:pPr>
        <w:pStyle w:val="5"/>
      </w:pPr>
      <w:bookmarkStart w:id="75" w:name="_Toc4088"/>
      <w:r>
        <w:rPr>
          <w:rFonts w:hint="eastAsia"/>
        </w:rPr>
        <w:t>4.1施工工期工程分析</w:t>
      </w:r>
      <w:bookmarkEnd w:id="75"/>
    </w:p>
    <w:p>
      <w:pPr>
        <w:pStyle w:val="8"/>
      </w:pPr>
      <w:r>
        <w:rPr>
          <w:rFonts w:hint="eastAsia"/>
        </w:rPr>
        <w:t>4.1.1施工期工艺流程及产污环节分析</w:t>
      </w:r>
    </w:p>
    <w:p>
      <w:pPr>
        <w:pStyle w:val="7"/>
        <w:ind w:firstLine="480"/>
      </w:pPr>
      <w:r>
        <w:t>本项目建设厂房等相关设施，项目施工过程的工艺流程及主要产污环节见下图：</w:t>
      </w:r>
    </w:p>
    <w:p>
      <w:pPr>
        <w:pStyle w:val="7"/>
        <w:ind w:firstLine="0" w:firstLineChars="0"/>
        <w:jc w:val="center"/>
      </w:pPr>
      <w:r>
        <w:object>
          <v:shape id="_x0000_i1026" o:spt="75" type="#_x0000_t75" style="height:96.2pt;width:383.05pt;" o:ole="t" filled="f" o:preferrelative="t" stroked="f" coordsize="21600,21600">
            <v:path/>
            <v:fill on="f" focussize="0,0"/>
            <v:stroke on="f" joinstyle="miter"/>
            <v:imagedata r:id="rId20" o:title=""/>
            <o:lock v:ext="edit" aspectratio="t"/>
            <w10:wrap type="none"/>
            <w10:anchorlock/>
          </v:shape>
          <o:OLEObject Type="Embed" ProgID="Visio.Drawing.15" ShapeID="_x0000_i1026" DrawAspect="Content" ObjectID="_1468075726" r:id="rId19">
            <o:LockedField>false</o:LockedField>
          </o:OLEObject>
        </w:object>
      </w:r>
    </w:p>
    <w:p>
      <w:pPr>
        <w:pStyle w:val="44"/>
      </w:pPr>
      <w:r>
        <w:t>图</w:t>
      </w:r>
      <w:r>
        <w:rPr>
          <w:rFonts w:hint="eastAsia"/>
        </w:rPr>
        <w:t>4.1</w:t>
      </w:r>
      <w:r>
        <w:t>-1  施工期工艺流程及产污节点图</w:t>
      </w:r>
    </w:p>
    <w:p>
      <w:pPr>
        <w:ind w:firstLine="482"/>
        <w:rPr>
          <w:b/>
        </w:rPr>
      </w:pPr>
      <w:r>
        <w:rPr>
          <w:rFonts w:hAnsi="宋体"/>
          <w:b/>
        </w:rPr>
        <w:t>工艺流程简述：</w:t>
      </w:r>
    </w:p>
    <w:p>
      <w:pPr>
        <w:spacing w:line="360" w:lineRule="auto"/>
        <w:ind w:firstLine="480"/>
      </w:pPr>
      <w:r>
        <w:t>地表清理：项目区已平整，施工前将清理地表杂物，此过程中产生的污染物主要为粉尘及机械噪声。</w:t>
      </w:r>
    </w:p>
    <w:p>
      <w:pPr>
        <w:spacing w:line="360" w:lineRule="auto"/>
        <w:ind w:firstLine="480"/>
      </w:pPr>
      <w:r>
        <w:t>地基开挖：对照施工图纸，进行地基开挖，此过程中将会产生、土石方、机械噪声、尾气等。</w:t>
      </w:r>
    </w:p>
    <w:p>
      <w:pPr>
        <w:spacing w:line="360" w:lineRule="auto"/>
        <w:ind w:firstLine="480"/>
      </w:pPr>
      <w:r>
        <w:t>浇注基础：为方便下一道施工工序，需对地基进行基础浇灌，此过程中会有施工机械噪声、混凝土养护废水、施工机械尾气及建筑垃圾等产生。</w:t>
      </w:r>
    </w:p>
    <w:p>
      <w:pPr>
        <w:spacing w:line="360" w:lineRule="auto"/>
        <w:ind w:firstLine="480"/>
      </w:pPr>
      <w:r>
        <w:t>厂房建设、房屋浇筑：对项目厂房结构连接成型，</w:t>
      </w:r>
      <w:r>
        <w:rPr>
          <w:rFonts w:hint="eastAsia"/>
        </w:rPr>
        <w:t>辅助设施</w:t>
      </w:r>
      <w:r>
        <w:t>等进行混凝土浇筑，此过程中将会产生混凝土养护废水、施工机械噪声、尾气、焊接废气及建筑垃圾等。</w:t>
      </w:r>
    </w:p>
    <w:p>
      <w:pPr>
        <w:pStyle w:val="7"/>
        <w:ind w:firstLine="480"/>
      </w:pPr>
      <w:r>
        <w:t>建筑装饰、设备安装调试：建筑装饰及设备安装过程中会产生建筑垃圾、施工噪声、施工废水、装修废气及废气包装材料等。</w:t>
      </w:r>
    </w:p>
    <w:p>
      <w:pPr>
        <w:pStyle w:val="8"/>
      </w:pPr>
      <w:r>
        <w:rPr>
          <w:rFonts w:hint="eastAsia"/>
        </w:rPr>
        <w:t>4.1.2施工期污染源分析</w:t>
      </w:r>
    </w:p>
    <w:p>
      <w:pPr>
        <w:pStyle w:val="9"/>
      </w:pPr>
      <w:r>
        <w:rPr>
          <w:rFonts w:hint="eastAsia"/>
        </w:rPr>
        <w:t>4.1.2.1废气</w:t>
      </w:r>
    </w:p>
    <w:p>
      <w:pPr>
        <w:pStyle w:val="7"/>
        <w:ind w:firstLine="480"/>
      </w:pPr>
      <w:r>
        <w:rPr>
          <w:rFonts w:hint="eastAsia"/>
        </w:rPr>
        <w:t>施工期的大气污染源主要来自施工期间土建、建筑材料运输所产生的扬尘、各施工机械运营尾气、装修过程中产生的废气和焊接烟尘。</w:t>
      </w:r>
    </w:p>
    <w:p>
      <w:pPr>
        <w:pStyle w:val="7"/>
        <w:ind w:firstLine="482"/>
        <w:rPr>
          <w:b/>
          <w:bCs/>
        </w:rPr>
      </w:pPr>
      <w:r>
        <w:rPr>
          <w:rFonts w:hint="eastAsia"/>
          <w:b/>
          <w:bCs/>
        </w:rPr>
        <w:t>1、扬尘</w:t>
      </w:r>
    </w:p>
    <w:p>
      <w:pPr>
        <w:pStyle w:val="7"/>
        <w:ind w:firstLine="480"/>
      </w:pPr>
      <w:r>
        <w:rPr>
          <w:rFonts w:hint="eastAsia"/>
        </w:rPr>
        <w:t>项目在基础开挖、主体施工及土石方、项目内道路修建、建材的运输过程及临时堆放场中将产生扬尘，扬尘呈无组织排放的形式，借助风力使施工区空气环境中的总悬浮颗粒物（TSP）指标升高，污染空气环境。扬尘是施工期最大的大气污染，按起尘的原因可分为风力起尘和动力起尘。风力起尘主要是露天堆放一些建筑材料（如黄沙、水泥等）及裸露的施工区表层浮尘在刮风的情况下产生；动力起尘主要是在建材装卸、汽车运输、物料搅拌等过程中因外力作用使空气中有大量悬浮颗粒存在而产生，从而对环境有一定影响。根据云南环境监测中心站对省内类似建筑施工现场的扬尘污染监测，在距施工现场边界50m处，TSP浓度最大达到4.53mg/m</w:t>
      </w:r>
      <w:r>
        <w:rPr>
          <w:rFonts w:hint="eastAsia"/>
          <w:vertAlign w:val="superscript"/>
        </w:rPr>
        <w:t>3</w:t>
      </w:r>
      <w:r>
        <w:rPr>
          <w:rFonts w:hint="eastAsia"/>
        </w:rPr>
        <w:t>，至150m处仍可达到1.51mg/m</w:t>
      </w:r>
      <w:r>
        <w:rPr>
          <w:rFonts w:hint="eastAsia"/>
          <w:vertAlign w:val="superscript"/>
        </w:rPr>
        <w:t>3</w:t>
      </w:r>
      <w:r>
        <w:rPr>
          <w:rFonts w:hint="eastAsia"/>
        </w:rPr>
        <w:t>，只有在200m处才低于0.5mg/m</w:t>
      </w:r>
      <w:r>
        <w:rPr>
          <w:rFonts w:hint="eastAsia"/>
          <w:vertAlign w:val="superscript"/>
        </w:rPr>
        <w:t>3</w:t>
      </w:r>
      <w:r>
        <w:rPr>
          <w:rFonts w:hint="eastAsia"/>
        </w:rPr>
        <w:t>。经以上分析，施工期无组织排放的扬尘污染的范围主要集中在200m以内。</w:t>
      </w:r>
    </w:p>
    <w:p>
      <w:pPr>
        <w:pStyle w:val="7"/>
        <w:ind w:firstLine="482"/>
        <w:rPr>
          <w:b/>
          <w:bCs/>
        </w:rPr>
      </w:pPr>
      <w:r>
        <w:rPr>
          <w:rFonts w:hint="eastAsia"/>
          <w:b/>
          <w:bCs/>
        </w:rPr>
        <w:t>2、机械尾气</w:t>
      </w:r>
    </w:p>
    <w:p>
      <w:pPr>
        <w:pStyle w:val="7"/>
        <w:ind w:firstLine="480"/>
      </w:pPr>
      <w:r>
        <w:rPr>
          <w:rFonts w:hint="eastAsia"/>
        </w:rPr>
        <w:t>尾气主要来自于施工机械和交通运输车辆，排放的主要污染物为NO</w:t>
      </w:r>
      <w:r>
        <w:rPr>
          <w:rFonts w:hint="eastAsia"/>
          <w:vertAlign w:val="subscript"/>
        </w:rPr>
        <w:t>x</w:t>
      </w:r>
      <w:r>
        <w:rPr>
          <w:rFonts w:hint="eastAsia"/>
        </w:rPr>
        <w:t>、CO和烃类等。机动车辆污染物排放系数见表4.1-1。</w:t>
      </w:r>
    </w:p>
    <w:p>
      <w:pPr>
        <w:pStyle w:val="31"/>
      </w:pPr>
      <w:r>
        <w:rPr>
          <w:rFonts w:hint="eastAsia"/>
        </w:rPr>
        <w:t>表4.1-1  机动车辆污染物排放系数</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2800"/>
        <w:gridCol w:w="2333"/>
        <w:gridCol w:w="2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1056" w:type="dxa"/>
            <w:vMerge w:val="restart"/>
            <w:vAlign w:val="center"/>
          </w:tcPr>
          <w:p>
            <w:pPr>
              <w:pStyle w:val="32"/>
            </w:pPr>
            <w:r>
              <w:t>污染物</w:t>
            </w:r>
          </w:p>
        </w:tc>
        <w:tc>
          <w:tcPr>
            <w:tcW w:w="2800" w:type="dxa"/>
            <w:vAlign w:val="center"/>
          </w:tcPr>
          <w:p>
            <w:pPr>
              <w:pStyle w:val="32"/>
              <w:rPr>
                <w:rFonts w:hint="eastAsia" w:eastAsia="宋体"/>
                <w:lang w:eastAsia="zh-CN"/>
              </w:rPr>
            </w:pPr>
            <w:r>
              <w:t>以汽油为燃料</w:t>
            </w:r>
            <w:r>
              <w:rPr>
                <w:rFonts w:hint="eastAsia"/>
                <w:lang w:eastAsia="zh-CN"/>
              </w:rPr>
              <w:t>（</w:t>
            </w:r>
            <w:r>
              <w:t>g/L</w:t>
            </w:r>
            <w:r>
              <w:rPr>
                <w:rFonts w:hint="eastAsia"/>
                <w:lang w:eastAsia="zh-CN"/>
              </w:rPr>
              <w:t>）</w:t>
            </w:r>
          </w:p>
        </w:tc>
        <w:tc>
          <w:tcPr>
            <w:tcW w:w="4666" w:type="dxa"/>
            <w:gridSpan w:val="2"/>
            <w:vAlign w:val="center"/>
          </w:tcPr>
          <w:p>
            <w:pPr>
              <w:pStyle w:val="32"/>
              <w:rPr>
                <w:rFonts w:hint="eastAsia" w:eastAsia="宋体"/>
                <w:lang w:eastAsia="zh-CN"/>
              </w:rPr>
            </w:pPr>
            <w:r>
              <w:t>以柴油为燃料</w:t>
            </w:r>
            <w:r>
              <w:rPr>
                <w:rFonts w:hint="eastAsia"/>
                <w:lang w:eastAsia="zh-CN"/>
              </w:rPr>
              <w:t>（</w:t>
            </w:r>
            <w:r>
              <w:t>g/L</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056" w:type="dxa"/>
            <w:vMerge w:val="continue"/>
            <w:vAlign w:val="center"/>
          </w:tcPr>
          <w:p>
            <w:pPr>
              <w:pStyle w:val="32"/>
            </w:pPr>
          </w:p>
        </w:tc>
        <w:tc>
          <w:tcPr>
            <w:tcW w:w="2800" w:type="dxa"/>
            <w:vAlign w:val="center"/>
          </w:tcPr>
          <w:p>
            <w:pPr>
              <w:pStyle w:val="32"/>
            </w:pPr>
            <w:r>
              <w:t>小汽车</w:t>
            </w:r>
          </w:p>
        </w:tc>
        <w:tc>
          <w:tcPr>
            <w:tcW w:w="2333" w:type="dxa"/>
            <w:vAlign w:val="center"/>
          </w:tcPr>
          <w:p>
            <w:pPr>
              <w:pStyle w:val="32"/>
            </w:pPr>
            <w:r>
              <w:t>载重车</w:t>
            </w:r>
          </w:p>
        </w:tc>
        <w:tc>
          <w:tcPr>
            <w:tcW w:w="2333" w:type="dxa"/>
            <w:vAlign w:val="center"/>
          </w:tcPr>
          <w:p>
            <w:pPr>
              <w:pStyle w:val="32"/>
            </w:pPr>
            <w:r>
              <w:t>机车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056" w:type="dxa"/>
            <w:vAlign w:val="center"/>
          </w:tcPr>
          <w:p>
            <w:pPr>
              <w:pStyle w:val="32"/>
            </w:pPr>
            <w:r>
              <w:t>CO</w:t>
            </w:r>
          </w:p>
        </w:tc>
        <w:tc>
          <w:tcPr>
            <w:tcW w:w="2800" w:type="dxa"/>
            <w:vAlign w:val="center"/>
          </w:tcPr>
          <w:p>
            <w:pPr>
              <w:pStyle w:val="32"/>
            </w:pPr>
            <w:r>
              <w:t>169.0</w:t>
            </w:r>
          </w:p>
        </w:tc>
        <w:tc>
          <w:tcPr>
            <w:tcW w:w="2333" w:type="dxa"/>
            <w:vAlign w:val="center"/>
          </w:tcPr>
          <w:p>
            <w:pPr>
              <w:pStyle w:val="32"/>
            </w:pPr>
            <w:r>
              <w:t>27.0</w:t>
            </w:r>
          </w:p>
        </w:tc>
        <w:tc>
          <w:tcPr>
            <w:tcW w:w="2333" w:type="dxa"/>
            <w:vAlign w:val="center"/>
          </w:tcPr>
          <w:p>
            <w:pPr>
              <w:pStyle w:val="32"/>
            </w:pPr>
            <w: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1056" w:type="dxa"/>
            <w:vAlign w:val="center"/>
          </w:tcPr>
          <w:p>
            <w:pPr>
              <w:pStyle w:val="32"/>
            </w:pPr>
            <w:r>
              <w:t>NOx</w:t>
            </w:r>
          </w:p>
        </w:tc>
        <w:tc>
          <w:tcPr>
            <w:tcW w:w="2800" w:type="dxa"/>
            <w:vAlign w:val="center"/>
          </w:tcPr>
          <w:p>
            <w:pPr>
              <w:pStyle w:val="32"/>
            </w:pPr>
            <w:r>
              <w:t>21.1</w:t>
            </w:r>
          </w:p>
        </w:tc>
        <w:tc>
          <w:tcPr>
            <w:tcW w:w="2333" w:type="dxa"/>
            <w:vAlign w:val="center"/>
          </w:tcPr>
          <w:p>
            <w:pPr>
              <w:pStyle w:val="32"/>
            </w:pPr>
            <w:r>
              <w:t>44.4</w:t>
            </w:r>
          </w:p>
        </w:tc>
        <w:tc>
          <w:tcPr>
            <w:tcW w:w="2333" w:type="dxa"/>
            <w:vAlign w:val="center"/>
          </w:tcPr>
          <w:p>
            <w:pPr>
              <w:pStyle w:val="32"/>
            </w:pPr>
            <w: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 w:hRule="atLeast"/>
        </w:trPr>
        <w:tc>
          <w:tcPr>
            <w:tcW w:w="1056" w:type="dxa"/>
            <w:vAlign w:val="center"/>
          </w:tcPr>
          <w:p>
            <w:pPr>
              <w:pStyle w:val="32"/>
            </w:pPr>
            <w:r>
              <w:t>烃类</w:t>
            </w:r>
          </w:p>
        </w:tc>
        <w:tc>
          <w:tcPr>
            <w:tcW w:w="2800" w:type="dxa"/>
            <w:vAlign w:val="center"/>
          </w:tcPr>
          <w:p>
            <w:pPr>
              <w:pStyle w:val="32"/>
            </w:pPr>
            <w:r>
              <w:t>33.3</w:t>
            </w:r>
          </w:p>
        </w:tc>
        <w:tc>
          <w:tcPr>
            <w:tcW w:w="2333" w:type="dxa"/>
            <w:vAlign w:val="center"/>
          </w:tcPr>
          <w:p>
            <w:pPr>
              <w:pStyle w:val="32"/>
            </w:pPr>
            <w:r>
              <w:t>4.44</w:t>
            </w:r>
          </w:p>
        </w:tc>
        <w:tc>
          <w:tcPr>
            <w:tcW w:w="2333" w:type="dxa"/>
            <w:vAlign w:val="center"/>
          </w:tcPr>
          <w:p>
            <w:pPr>
              <w:pStyle w:val="32"/>
            </w:pPr>
            <w:r>
              <w:t>6.0</w:t>
            </w:r>
          </w:p>
        </w:tc>
      </w:tr>
    </w:tbl>
    <w:p>
      <w:pPr>
        <w:pStyle w:val="7"/>
        <w:ind w:firstLine="480"/>
      </w:pPr>
      <w:r>
        <w:rPr>
          <w:rFonts w:hAnsi="宋体"/>
        </w:rPr>
        <w:t>以重型车为例，其额定燃油率为</w:t>
      </w:r>
      <w:r>
        <w:t>30.19L/100km</w:t>
      </w:r>
      <w:r>
        <w:rPr>
          <w:rFonts w:hAnsi="宋体"/>
        </w:rPr>
        <w:t>，按上表机动车辆污染物排放系数测算，单车污染物平均排放量分别为：</w:t>
      </w:r>
      <w:r>
        <w:t>CO</w:t>
      </w:r>
      <w:r>
        <w:rPr>
          <w:rFonts w:hAnsi="宋体"/>
        </w:rPr>
        <w:t>：</w:t>
      </w:r>
      <w:r>
        <w:t>815.13g/100km</w:t>
      </w:r>
      <w:r>
        <w:rPr>
          <w:rFonts w:hAnsi="宋体"/>
        </w:rPr>
        <w:t>，</w:t>
      </w:r>
      <w:r>
        <w:t>NOx1340.44g/100km</w:t>
      </w:r>
      <w:r>
        <w:rPr>
          <w:rFonts w:hAnsi="宋体"/>
        </w:rPr>
        <w:t>，烃类物质</w:t>
      </w:r>
      <w:r>
        <w:t>134.0g/100km</w:t>
      </w:r>
      <w:r>
        <w:rPr>
          <w:rFonts w:hAnsi="宋体"/>
        </w:rPr>
        <w:t>。</w:t>
      </w:r>
    </w:p>
    <w:p>
      <w:pPr>
        <w:pStyle w:val="7"/>
        <w:ind w:firstLine="482"/>
        <w:rPr>
          <w:b/>
          <w:bCs/>
        </w:rPr>
      </w:pPr>
      <w:r>
        <w:rPr>
          <w:rFonts w:hint="eastAsia" w:hAnsi="宋体"/>
          <w:b/>
          <w:bCs/>
        </w:rPr>
        <w:t>3、</w:t>
      </w:r>
      <w:r>
        <w:rPr>
          <w:rFonts w:hAnsi="宋体"/>
          <w:b/>
          <w:bCs/>
        </w:rPr>
        <w:t>装修废气</w:t>
      </w:r>
    </w:p>
    <w:p>
      <w:pPr>
        <w:pStyle w:val="7"/>
        <w:ind w:firstLine="480"/>
      </w:pPr>
      <w:r>
        <w:t>装修废气主要源于装修材料，装修过程使用的涂料、地板砖及木料等，都将会释放一些对人体有害的化学物质，如甲醛、甲醇、苯及油漆和涂料喷涂产生的废气，属无组织排放，量较少。</w:t>
      </w:r>
    </w:p>
    <w:p>
      <w:pPr>
        <w:pStyle w:val="7"/>
        <w:ind w:firstLine="482"/>
        <w:rPr>
          <w:b/>
          <w:bCs/>
        </w:rPr>
      </w:pPr>
      <w:r>
        <w:rPr>
          <w:rFonts w:hint="eastAsia" w:hAnsi="宋体"/>
          <w:b/>
          <w:bCs/>
        </w:rPr>
        <w:t>4、</w:t>
      </w:r>
      <w:r>
        <w:rPr>
          <w:rFonts w:hAnsi="宋体"/>
          <w:b/>
          <w:bCs/>
        </w:rPr>
        <w:t>焊接烟尘</w:t>
      </w:r>
    </w:p>
    <w:p>
      <w:pPr>
        <w:pStyle w:val="7"/>
        <w:ind w:firstLine="480"/>
      </w:pPr>
      <w:r>
        <w:t>项目厂房钢结构构件均在工厂预制完成，现场只需简单拼装，主要采用高强度螺栓连接，另外有少量焊接工序，焊接时产生焊接烟尘，通过大气扩散后无组织排放。</w:t>
      </w:r>
    </w:p>
    <w:p>
      <w:pPr>
        <w:pStyle w:val="9"/>
      </w:pPr>
      <w:r>
        <w:rPr>
          <w:rFonts w:hint="eastAsia"/>
        </w:rPr>
        <w:t>4.1.2.2废水</w:t>
      </w:r>
    </w:p>
    <w:p>
      <w:pPr>
        <w:pStyle w:val="7"/>
        <w:ind w:firstLine="480"/>
      </w:pPr>
      <w:r>
        <w:rPr>
          <w:rFonts w:hint="eastAsia"/>
        </w:rPr>
        <w:t>施工期的废水主要来自于施工人员的生活污水、基坑开挖过程产生的基坑涌水、施工过程中产生的工程废水以及雨季形成的地表径流。</w:t>
      </w:r>
    </w:p>
    <w:p>
      <w:pPr>
        <w:pStyle w:val="7"/>
        <w:ind w:firstLine="482"/>
        <w:rPr>
          <w:b/>
          <w:bCs/>
        </w:rPr>
      </w:pPr>
      <w:r>
        <w:rPr>
          <w:rFonts w:hint="eastAsia"/>
          <w:b/>
          <w:bCs/>
        </w:rPr>
        <w:t>1、施工人员生活污水</w:t>
      </w:r>
    </w:p>
    <w:p>
      <w:pPr>
        <w:pStyle w:val="7"/>
        <w:ind w:firstLine="480"/>
      </w:pPr>
      <w:r>
        <w:rPr>
          <w:rFonts w:hint="eastAsia"/>
        </w:rPr>
        <w:t>施工人员多为附近村民，住在附近民房，不在项目区内住宿，施工场地设立临时办公用房，用于施工监管，临时办公用房内不设住宿，施工区域内厕所使用临时旱厕，因此施工期的生活污水为施工人员及指挥人员洗手废水。本项施工人员及指挥人员100人/d。</w:t>
      </w:r>
    </w:p>
    <w:p>
      <w:pPr>
        <w:pStyle w:val="7"/>
        <w:ind w:firstLine="480"/>
      </w:pPr>
      <w:r>
        <w:rPr>
          <w:rFonts w:hint="eastAsia"/>
        </w:rPr>
        <w:t>洗手废水用量按0.01m</w:t>
      </w:r>
      <w:r>
        <w:rPr>
          <w:rFonts w:hint="eastAsia"/>
          <w:vertAlign w:val="superscript"/>
        </w:rPr>
        <w:t>3</w:t>
      </w:r>
      <w:r>
        <w:rPr>
          <w:rFonts w:hint="eastAsia"/>
        </w:rPr>
        <w:t>/d.人计，施工人员及指挥人员洗手用水总量为1m</w:t>
      </w:r>
      <w:r>
        <w:rPr>
          <w:rFonts w:hint="eastAsia"/>
          <w:vertAlign w:val="superscript"/>
        </w:rPr>
        <w:t>3</w:t>
      </w:r>
      <w:r>
        <w:rPr>
          <w:rFonts w:hint="eastAsia"/>
        </w:rPr>
        <w:t>/d，产生量按用水量的80%计，为0.8m3/d。废水中污染物主要为COD、BOD5、SS、NH</w:t>
      </w:r>
      <w:r>
        <w:rPr>
          <w:rFonts w:hint="eastAsia"/>
          <w:vertAlign w:val="subscript"/>
        </w:rPr>
        <w:t>3</w:t>
      </w:r>
      <w:r>
        <w:rPr>
          <w:rFonts w:hint="eastAsia"/>
        </w:rPr>
        <w:t>-N、总磷，产生浓度分别约为100mg/L、60mg/L、200mg/L、10mg/L、2mg/L。生活污水与施工废水一起经沉淀池收集沉淀处理后回用于场地降尘。</w:t>
      </w:r>
    </w:p>
    <w:p>
      <w:pPr>
        <w:pStyle w:val="7"/>
        <w:ind w:firstLine="482"/>
        <w:rPr>
          <w:b/>
          <w:bCs/>
        </w:rPr>
      </w:pPr>
      <w:r>
        <w:rPr>
          <w:rFonts w:hint="eastAsia"/>
          <w:b/>
          <w:bCs/>
        </w:rPr>
        <w:t>2、基坑涌水</w:t>
      </w:r>
    </w:p>
    <w:p>
      <w:pPr>
        <w:pStyle w:val="7"/>
        <w:ind w:firstLine="480"/>
      </w:pPr>
      <w:r>
        <w:rPr>
          <w:rFonts w:hint="eastAsia"/>
        </w:rPr>
        <w:t>由于本项目无地下室，油库、污水处理站及管道、电信管线铺设需开挖一定深度，因此基础施工阶段会产生少量的基坑废水，主要包括基坑涌水和下雨时累积的雨水，基坑废水中的主要污染物为SS，浓度一般为650～800 mg/L，基坑涌水及场地雨水设沉淀池沉淀后回用于场地降尘。</w:t>
      </w:r>
    </w:p>
    <w:p>
      <w:pPr>
        <w:pStyle w:val="7"/>
        <w:ind w:firstLine="482"/>
        <w:rPr>
          <w:b/>
          <w:bCs/>
        </w:rPr>
      </w:pPr>
      <w:r>
        <w:rPr>
          <w:rFonts w:hint="eastAsia"/>
          <w:b/>
          <w:bCs/>
        </w:rPr>
        <w:t>3、施工废水</w:t>
      </w:r>
    </w:p>
    <w:p>
      <w:pPr>
        <w:pStyle w:val="7"/>
        <w:ind w:firstLine="480"/>
      </w:pPr>
      <w:r>
        <w:rPr>
          <w:rFonts w:hint="eastAsia"/>
        </w:rPr>
        <w:t>根据《云南省地方标准用水定额》（DB53/T168-2013）建筑业用水定额，本项目建筑结构主要为钢结构，使用商品砼，用水定额为0.8m</w:t>
      </w:r>
      <w:r>
        <w:rPr>
          <w:rFonts w:hint="eastAsia"/>
          <w:vertAlign w:val="superscript"/>
        </w:rPr>
        <w:t>3</w:t>
      </w:r>
      <w:r>
        <w:rPr>
          <w:rFonts w:hint="eastAsia"/>
        </w:rPr>
        <w:t>/m</w:t>
      </w:r>
      <w:r>
        <w:rPr>
          <w:rFonts w:hint="eastAsia"/>
          <w:vertAlign w:val="superscript"/>
        </w:rPr>
        <w:t>2</w:t>
      </w:r>
      <w:r>
        <w:rPr>
          <w:rFonts w:hint="eastAsia"/>
        </w:rPr>
        <w:t>，本项目总建筑面积67828m</w:t>
      </w:r>
      <w:r>
        <w:rPr>
          <w:rFonts w:hint="eastAsia"/>
          <w:vertAlign w:val="superscript"/>
        </w:rPr>
        <w:t>2</w:t>
      </w:r>
      <w:r>
        <w:rPr>
          <w:rFonts w:hint="eastAsia"/>
        </w:rPr>
        <w:t>，施工用水量54262.4m</w:t>
      </w:r>
      <w:r>
        <w:rPr>
          <w:rFonts w:hint="eastAsia"/>
          <w:vertAlign w:val="superscript"/>
        </w:rPr>
        <w:t>3</w:t>
      </w:r>
      <w:r>
        <w:rPr>
          <w:rFonts w:hint="eastAsia"/>
        </w:rPr>
        <w:t>。施工废水产生量约为用水量的5%，则施工废水量约2713m</w:t>
      </w:r>
      <w:r>
        <w:rPr>
          <w:rFonts w:hint="eastAsia"/>
          <w:vertAlign w:val="superscript"/>
        </w:rPr>
        <w:t>3</w:t>
      </w:r>
      <w:r>
        <w:rPr>
          <w:rFonts w:hint="eastAsia"/>
        </w:rPr>
        <w:t>。项目施工期36个月（1095天），每天的施工废水量约2.4m</w:t>
      </w:r>
      <w:r>
        <w:rPr>
          <w:rFonts w:hint="eastAsia"/>
          <w:vertAlign w:val="superscript"/>
        </w:rPr>
        <w:t>3</w:t>
      </w:r>
      <w:r>
        <w:rPr>
          <w:rFonts w:hint="eastAsia"/>
        </w:rPr>
        <w:t>/d。项目施工生产污水不含有毒物质，主要是泥沙悬浮物含量较大，废水悬浮物浓度约为500mg/L~2000mg/L，pH值9-12。施工废水与生活污水一起经沉淀池收集沉淀处理后回用于场地降尘。</w:t>
      </w:r>
    </w:p>
    <w:p>
      <w:pPr>
        <w:pStyle w:val="7"/>
        <w:ind w:firstLine="480"/>
      </w:pPr>
      <w:r>
        <w:rPr>
          <w:rFonts w:hint="eastAsia"/>
        </w:rPr>
        <w:t>（4）雨季地表径流</w:t>
      </w:r>
    </w:p>
    <w:p>
      <w:pPr>
        <w:pStyle w:val="7"/>
        <w:ind w:firstLine="480"/>
      </w:pPr>
      <w:r>
        <w:rPr>
          <w:rFonts w:hint="eastAsia"/>
        </w:rPr>
        <w:t>拟建项目施工期为36个月，施工期跨越雨季，因此施工场地不可避免的会遭遇暴雨的冲刷，使得施工场地成为面源污染源。暴雨后的地表径流冲刷浮土、建筑砂石、垃圾等形成的泥浆水，会携带大量泥沙、土壤养分、水泥、油类</w:t>
      </w:r>
      <w:r>
        <w:rPr>
          <w:rFonts w:hint="eastAsia"/>
          <w:lang w:eastAsia="zh-CN"/>
        </w:rPr>
        <w:t>及其他</w:t>
      </w:r>
      <w:r>
        <w:rPr>
          <w:rFonts w:hint="eastAsia"/>
        </w:rPr>
        <w:t>地表固体污染物，降雨径流产生的主要污染物为SS。场地雨水经截排水沟与基坑涌水一起设置沉淀池通过沉淀后回用于场地降尘或排入周边沟渠。</w:t>
      </w:r>
    </w:p>
    <w:p>
      <w:pPr>
        <w:pStyle w:val="9"/>
      </w:pPr>
      <w:r>
        <w:rPr>
          <w:rFonts w:hint="eastAsia"/>
        </w:rPr>
        <w:t>4.1.2.3噪声</w:t>
      </w:r>
    </w:p>
    <w:p>
      <w:pPr>
        <w:pStyle w:val="7"/>
        <w:ind w:firstLine="480"/>
      </w:pPr>
      <w:r>
        <w:rPr>
          <w:rFonts w:hint="eastAsia"/>
        </w:rPr>
        <w:t>施工期噪声主要是施工现场的各类机械设备噪声、施工作业噪声以及物料运输造成的交通噪声。</w:t>
      </w:r>
    </w:p>
    <w:p>
      <w:pPr>
        <w:pStyle w:val="7"/>
        <w:ind w:firstLine="480"/>
      </w:pPr>
      <w:r>
        <w:rPr>
          <w:rFonts w:hint="eastAsia"/>
        </w:rPr>
        <w:t>（1）施工现场噪声</w:t>
      </w:r>
    </w:p>
    <w:p>
      <w:pPr>
        <w:pStyle w:val="7"/>
        <w:ind w:firstLine="480"/>
      </w:pPr>
      <w:r>
        <w:rPr>
          <w:rFonts w:hint="eastAsia"/>
        </w:rPr>
        <w:t>施工现场噪声主要为机械噪声和施工作业噪声。机械噪声主要由施工机械所造成，如挖土机械、打桩机械、升降机等，以点声源为主；施工作业噪声主要指一些零星的敲打声、装卸车辆的撞击声、拆卸模板的撞击声等，多为瞬时噪声。在这些施工噪声中，对声环境影响最大的是机械噪声。</w:t>
      </w:r>
    </w:p>
    <w:p>
      <w:pPr>
        <w:pStyle w:val="7"/>
        <w:ind w:firstLine="480"/>
      </w:pPr>
      <w:r>
        <w:rPr>
          <w:rFonts w:hint="eastAsia"/>
        </w:rPr>
        <w:t>为了便于拟建项目的噪声影响分析，从噪声的角度出发，将施工过程分为土方阶段、基础阶段、结构阶段和装饰阶段。施工机械较多、噪声污染也比较严重，不同阶段又具有不同的噪声污染特征。</w:t>
      </w:r>
    </w:p>
    <w:p>
      <w:pPr>
        <w:pStyle w:val="7"/>
        <w:ind w:firstLine="480"/>
      </w:pPr>
      <w:r>
        <w:rPr>
          <w:rFonts w:hint="eastAsia"/>
        </w:rPr>
        <w:t>根据类似施工过程的调查，各阶段项目施工所涉及其1m处A声级见下表。</w:t>
      </w:r>
    </w:p>
    <w:p>
      <w:pPr>
        <w:pStyle w:val="31"/>
      </w:pPr>
      <w:r>
        <w:rPr>
          <w:rFonts w:hint="eastAsia"/>
        </w:rPr>
        <w:t>表4.1-2  施工期主要噪声源强  单位：dB（A）</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58"/>
        <w:gridCol w:w="2395"/>
        <w:gridCol w:w="3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tblHeader/>
          <w:jc w:val="center"/>
        </w:trPr>
        <w:tc>
          <w:tcPr>
            <w:tcW w:w="1478" w:type="pct"/>
            <w:vAlign w:val="center"/>
          </w:tcPr>
          <w:p>
            <w:pPr>
              <w:pStyle w:val="33"/>
            </w:pPr>
            <w:r>
              <w:t>施工阶段</w:t>
            </w:r>
          </w:p>
        </w:tc>
        <w:tc>
          <w:tcPr>
            <w:tcW w:w="1440" w:type="pct"/>
            <w:vAlign w:val="center"/>
          </w:tcPr>
          <w:p>
            <w:pPr>
              <w:pStyle w:val="33"/>
            </w:pPr>
            <w:r>
              <w:t>设备名称</w:t>
            </w:r>
          </w:p>
        </w:tc>
        <w:tc>
          <w:tcPr>
            <w:tcW w:w="2082" w:type="pct"/>
            <w:vAlign w:val="center"/>
          </w:tcPr>
          <w:p>
            <w:pPr>
              <w:pStyle w:val="33"/>
            </w:pPr>
            <w:r>
              <w:t>噪声强度[dB(A)]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jc w:val="center"/>
        </w:trPr>
        <w:tc>
          <w:tcPr>
            <w:tcW w:w="1478" w:type="pct"/>
            <w:vMerge w:val="restart"/>
            <w:vAlign w:val="center"/>
          </w:tcPr>
          <w:p>
            <w:pPr>
              <w:pStyle w:val="33"/>
            </w:pPr>
            <w:r>
              <w:t>土石方及基础阶段</w:t>
            </w:r>
          </w:p>
        </w:tc>
        <w:tc>
          <w:tcPr>
            <w:tcW w:w="1440" w:type="pct"/>
            <w:vAlign w:val="center"/>
          </w:tcPr>
          <w:p>
            <w:pPr>
              <w:pStyle w:val="33"/>
            </w:pPr>
            <w:r>
              <w:t>挖掘机</w:t>
            </w:r>
          </w:p>
        </w:tc>
        <w:tc>
          <w:tcPr>
            <w:tcW w:w="2082" w:type="pct"/>
            <w:vAlign w:val="center"/>
          </w:tcPr>
          <w:p>
            <w:pPr>
              <w:pStyle w:val="33"/>
            </w:pPr>
            <w:r>
              <w:t>78～96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45" w:hRule="atLeast"/>
          <w:jc w:val="center"/>
        </w:trPr>
        <w:tc>
          <w:tcPr>
            <w:tcW w:w="1478" w:type="pct"/>
            <w:vMerge w:val="continue"/>
            <w:vAlign w:val="center"/>
          </w:tcPr>
          <w:p>
            <w:pPr>
              <w:pStyle w:val="33"/>
            </w:pPr>
          </w:p>
        </w:tc>
        <w:tc>
          <w:tcPr>
            <w:tcW w:w="1440" w:type="pct"/>
            <w:vAlign w:val="center"/>
          </w:tcPr>
          <w:p>
            <w:pPr>
              <w:pStyle w:val="33"/>
            </w:pPr>
            <w:r>
              <w:t>推土机</w:t>
            </w:r>
          </w:p>
        </w:tc>
        <w:tc>
          <w:tcPr>
            <w:tcW w:w="2082" w:type="pct"/>
            <w:vAlign w:val="center"/>
          </w:tcPr>
          <w:p>
            <w:pPr>
              <w:pStyle w:val="33"/>
            </w:pPr>
            <w:r>
              <w:t>75～95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65" w:hRule="atLeast"/>
          <w:jc w:val="center"/>
        </w:trPr>
        <w:tc>
          <w:tcPr>
            <w:tcW w:w="1478" w:type="pct"/>
            <w:vMerge w:val="continue"/>
            <w:vAlign w:val="center"/>
          </w:tcPr>
          <w:p>
            <w:pPr>
              <w:pStyle w:val="33"/>
            </w:pPr>
          </w:p>
        </w:tc>
        <w:tc>
          <w:tcPr>
            <w:tcW w:w="1440" w:type="pct"/>
            <w:vAlign w:val="center"/>
          </w:tcPr>
          <w:p>
            <w:pPr>
              <w:pStyle w:val="33"/>
            </w:pPr>
            <w:r>
              <w:t>装载机</w:t>
            </w:r>
          </w:p>
        </w:tc>
        <w:tc>
          <w:tcPr>
            <w:tcW w:w="2082" w:type="pct"/>
            <w:vAlign w:val="center"/>
          </w:tcPr>
          <w:p>
            <w:pPr>
              <w:pStyle w:val="33"/>
            </w:pPr>
            <w:r>
              <w:t>75～95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1" w:hRule="atLeast"/>
          <w:jc w:val="center"/>
        </w:trPr>
        <w:tc>
          <w:tcPr>
            <w:tcW w:w="1478" w:type="pct"/>
            <w:vMerge w:val="continue"/>
            <w:vAlign w:val="center"/>
          </w:tcPr>
          <w:p>
            <w:pPr>
              <w:pStyle w:val="33"/>
            </w:pPr>
          </w:p>
        </w:tc>
        <w:tc>
          <w:tcPr>
            <w:tcW w:w="1440" w:type="pct"/>
            <w:vAlign w:val="center"/>
          </w:tcPr>
          <w:p>
            <w:pPr>
              <w:pStyle w:val="33"/>
            </w:pPr>
            <w:r>
              <w:t>铲土机</w:t>
            </w:r>
          </w:p>
        </w:tc>
        <w:tc>
          <w:tcPr>
            <w:tcW w:w="2082" w:type="pct"/>
            <w:vAlign w:val="center"/>
          </w:tcPr>
          <w:p>
            <w:pPr>
              <w:pStyle w:val="33"/>
            </w:pPr>
            <w:r>
              <w:t>75～93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1" w:hRule="atLeast"/>
          <w:jc w:val="center"/>
        </w:trPr>
        <w:tc>
          <w:tcPr>
            <w:tcW w:w="1478" w:type="pct"/>
            <w:vMerge w:val="continue"/>
            <w:vAlign w:val="center"/>
          </w:tcPr>
          <w:p>
            <w:pPr>
              <w:pStyle w:val="33"/>
            </w:pPr>
          </w:p>
        </w:tc>
        <w:tc>
          <w:tcPr>
            <w:tcW w:w="1440" w:type="pct"/>
            <w:vAlign w:val="center"/>
          </w:tcPr>
          <w:p>
            <w:pPr>
              <w:pStyle w:val="33"/>
            </w:pPr>
            <w:r>
              <w:t>运输卡车</w:t>
            </w:r>
          </w:p>
        </w:tc>
        <w:tc>
          <w:tcPr>
            <w:tcW w:w="2082" w:type="pct"/>
            <w:vAlign w:val="center"/>
          </w:tcPr>
          <w:p>
            <w:pPr>
              <w:pStyle w:val="33"/>
            </w:pPr>
            <w:r>
              <w:t>70～95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1" w:hRule="atLeast"/>
          <w:jc w:val="center"/>
        </w:trPr>
        <w:tc>
          <w:tcPr>
            <w:tcW w:w="1478" w:type="pct"/>
            <w:vMerge w:val="continue"/>
            <w:vAlign w:val="center"/>
          </w:tcPr>
          <w:p>
            <w:pPr>
              <w:pStyle w:val="33"/>
            </w:pPr>
          </w:p>
        </w:tc>
        <w:tc>
          <w:tcPr>
            <w:tcW w:w="1440" w:type="pct"/>
            <w:vAlign w:val="center"/>
          </w:tcPr>
          <w:p>
            <w:pPr>
              <w:pStyle w:val="33"/>
            </w:pPr>
            <w:r>
              <w:t>摇臂式起重机</w:t>
            </w:r>
          </w:p>
        </w:tc>
        <w:tc>
          <w:tcPr>
            <w:tcW w:w="2082" w:type="pct"/>
            <w:vAlign w:val="center"/>
          </w:tcPr>
          <w:p>
            <w:pPr>
              <w:pStyle w:val="33"/>
            </w:pPr>
            <w:r>
              <w:t>85~88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1" w:hRule="atLeast"/>
          <w:jc w:val="center"/>
        </w:trPr>
        <w:tc>
          <w:tcPr>
            <w:tcW w:w="1478" w:type="pct"/>
            <w:vMerge w:val="continue"/>
            <w:vAlign w:val="center"/>
          </w:tcPr>
          <w:p>
            <w:pPr>
              <w:pStyle w:val="33"/>
            </w:pPr>
          </w:p>
        </w:tc>
        <w:tc>
          <w:tcPr>
            <w:tcW w:w="1440" w:type="pct"/>
            <w:vAlign w:val="center"/>
          </w:tcPr>
          <w:p>
            <w:pPr>
              <w:pStyle w:val="33"/>
            </w:pPr>
            <w:r>
              <w:t>压路机</w:t>
            </w:r>
          </w:p>
        </w:tc>
        <w:tc>
          <w:tcPr>
            <w:tcW w:w="2082" w:type="pct"/>
            <w:vAlign w:val="center"/>
          </w:tcPr>
          <w:p>
            <w:pPr>
              <w:pStyle w:val="33"/>
            </w:pPr>
            <w:r>
              <w:t>75~88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11" w:hRule="atLeast"/>
          <w:jc w:val="center"/>
        </w:trPr>
        <w:tc>
          <w:tcPr>
            <w:tcW w:w="1478" w:type="pct"/>
            <w:vMerge w:val="continue"/>
            <w:vAlign w:val="center"/>
          </w:tcPr>
          <w:p>
            <w:pPr>
              <w:pStyle w:val="33"/>
            </w:pPr>
          </w:p>
        </w:tc>
        <w:tc>
          <w:tcPr>
            <w:tcW w:w="1440" w:type="pct"/>
            <w:vAlign w:val="center"/>
          </w:tcPr>
          <w:p>
            <w:pPr>
              <w:pStyle w:val="33"/>
            </w:pPr>
            <w:r>
              <w:t>夯土机</w:t>
            </w:r>
          </w:p>
        </w:tc>
        <w:tc>
          <w:tcPr>
            <w:tcW w:w="2082" w:type="pct"/>
            <w:vAlign w:val="center"/>
          </w:tcPr>
          <w:p>
            <w:pPr>
              <w:pStyle w:val="33"/>
            </w:pPr>
            <w:r>
              <w:t>91~100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9" w:hRule="atLeast"/>
          <w:jc w:val="center"/>
        </w:trPr>
        <w:tc>
          <w:tcPr>
            <w:tcW w:w="1478" w:type="pct"/>
            <w:vMerge w:val="continue"/>
            <w:vAlign w:val="center"/>
          </w:tcPr>
          <w:p>
            <w:pPr>
              <w:pStyle w:val="33"/>
            </w:pPr>
          </w:p>
        </w:tc>
        <w:tc>
          <w:tcPr>
            <w:tcW w:w="1440" w:type="pct"/>
            <w:vAlign w:val="center"/>
          </w:tcPr>
          <w:p>
            <w:pPr>
              <w:pStyle w:val="33"/>
            </w:pPr>
            <w:r>
              <w:t>风锤</w:t>
            </w:r>
          </w:p>
        </w:tc>
        <w:tc>
          <w:tcPr>
            <w:tcW w:w="2082" w:type="pct"/>
            <w:vAlign w:val="center"/>
          </w:tcPr>
          <w:p>
            <w:pPr>
              <w:pStyle w:val="33"/>
            </w:pPr>
            <w:r>
              <w:t>75～90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7" w:hRule="atLeast"/>
          <w:jc w:val="center"/>
        </w:trPr>
        <w:tc>
          <w:tcPr>
            <w:tcW w:w="1478" w:type="pct"/>
            <w:vMerge w:val="restart"/>
            <w:vAlign w:val="center"/>
          </w:tcPr>
          <w:p>
            <w:pPr>
              <w:pStyle w:val="33"/>
            </w:pPr>
            <w:r>
              <w:t>底板与结构阶段</w:t>
            </w:r>
          </w:p>
        </w:tc>
        <w:tc>
          <w:tcPr>
            <w:tcW w:w="1440" w:type="pct"/>
            <w:vAlign w:val="center"/>
          </w:tcPr>
          <w:p>
            <w:pPr>
              <w:pStyle w:val="33"/>
            </w:pPr>
            <w:r>
              <w:t>振捣器</w:t>
            </w:r>
          </w:p>
        </w:tc>
        <w:tc>
          <w:tcPr>
            <w:tcW w:w="2082" w:type="pct"/>
            <w:vAlign w:val="center"/>
          </w:tcPr>
          <w:p>
            <w:pPr>
              <w:pStyle w:val="33"/>
            </w:pPr>
            <w:r>
              <w:t>100～105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97" w:hRule="atLeast"/>
          <w:jc w:val="center"/>
        </w:trPr>
        <w:tc>
          <w:tcPr>
            <w:tcW w:w="1478" w:type="pct"/>
            <w:vMerge w:val="continue"/>
            <w:vAlign w:val="center"/>
          </w:tcPr>
          <w:p>
            <w:pPr>
              <w:pStyle w:val="33"/>
            </w:pPr>
          </w:p>
        </w:tc>
        <w:tc>
          <w:tcPr>
            <w:tcW w:w="1440" w:type="pct"/>
            <w:vAlign w:val="center"/>
          </w:tcPr>
          <w:p>
            <w:pPr>
              <w:pStyle w:val="33"/>
            </w:pPr>
            <w:r>
              <w:t>混凝土输送泵</w:t>
            </w:r>
          </w:p>
        </w:tc>
        <w:tc>
          <w:tcPr>
            <w:tcW w:w="2082" w:type="pct"/>
            <w:vAlign w:val="center"/>
          </w:tcPr>
          <w:p>
            <w:pPr>
              <w:pStyle w:val="33"/>
            </w:pPr>
            <w:r>
              <w:t>95-100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75" w:hRule="atLeast"/>
          <w:jc w:val="center"/>
        </w:trPr>
        <w:tc>
          <w:tcPr>
            <w:tcW w:w="1478" w:type="pct"/>
            <w:vMerge w:val="continue"/>
            <w:vAlign w:val="center"/>
          </w:tcPr>
          <w:p>
            <w:pPr>
              <w:pStyle w:val="33"/>
            </w:pPr>
          </w:p>
        </w:tc>
        <w:tc>
          <w:tcPr>
            <w:tcW w:w="1440" w:type="pct"/>
            <w:vAlign w:val="center"/>
          </w:tcPr>
          <w:p>
            <w:pPr>
              <w:pStyle w:val="33"/>
            </w:pPr>
            <w:r>
              <w:t>电锯</w:t>
            </w:r>
          </w:p>
        </w:tc>
        <w:tc>
          <w:tcPr>
            <w:tcW w:w="2082" w:type="pct"/>
            <w:vAlign w:val="center"/>
          </w:tcPr>
          <w:p>
            <w:pPr>
              <w:pStyle w:val="33"/>
            </w:pPr>
            <w:r>
              <w:t>100～110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21" w:hRule="atLeast"/>
          <w:jc w:val="center"/>
        </w:trPr>
        <w:tc>
          <w:tcPr>
            <w:tcW w:w="1478" w:type="pct"/>
            <w:vMerge w:val="continue"/>
            <w:vAlign w:val="center"/>
          </w:tcPr>
          <w:p>
            <w:pPr>
              <w:pStyle w:val="33"/>
            </w:pPr>
          </w:p>
        </w:tc>
        <w:tc>
          <w:tcPr>
            <w:tcW w:w="1440" w:type="pct"/>
            <w:vAlign w:val="center"/>
          </w:tcPr>
          <w:p>
            <w:pPr>
              <w:pStyle w:val="33"/>
            </w:pPr>
            <w:r>
              <w:t>电焊机</w:t>
            </w:r>
          </w:p>
        </w:tc>
        <w:tc>
          <w:tcPr>
            <w:tcW w:w="2082" w:type="pct"/>
            <w:vAlign w:val="center"/>
          </w:tcPr>
          <w:p>
            <w:pPr>
              <w:pStyle w:val="33"/>
            </w:pPr>
            <w:r>
              <w:t>75～85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21" w:hRule="atLeast"/>
          <w:jc w:val="center"/>
        </w:trPr>
        <w:tc>
          <w:tcPr>
            <w:tcW w:w="1478" w:type="pct"/>
            <w:vMerge w:val="continue"/>
            <w:vAlign w:val="center"/>
          </w:tcPr>
          <w:p>
            <w:pPr>
              <w:pStyle w:val="33"/>
            </w:pPr>
          </w:p>
        </w:tc>
        <w:tc>
          <w:tcPr>
            <w:tcW w:w="1440" w:type="pct"/>
            <w:vAlign w:val="center"/>
          </w:tcPr>
          <w:p>
            <w:pPr>
              <w:pStyle w:val="33"/>
            </w:pPr>
            <w:r>
              <w:t>塔吊</w:t>
            </w:r>
          </w:p>
        </w:tc>
        <w:tc>
          <w:tcPr>
            <w:tcW w:w="2082" w:type="pct"/>
            <w:vAlign w:val="center"/>
          </w:tcPr>
          <w:p>
            <w:pPr>
              <w:pStyle w:val="33"/>
            </w:pPr>
            <w:r>
              <w:t>75~95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21" w:hRule="atLeast"/>
          <w:jc w:val="center"/>
        </w:trPr>
        <w:tc>
          <w:tcPr>
            <w:tcW w:w="1478" w:type="pct"/>
            <w:vMerge w:val="continue"/>
            <w:vAlign w:val="center"/>
          </w:tcPr>
          <w:p>
            <w:pPr>
              <w:pStyle w:val="33"/>
            </w:pPr>
          </w:p>
        </w:tc>
        <w:tc>
          <w:tcPr>
            <w:tcW w:w="1440" w:type="pct"/>
            <w:vAlign w:val="center"/>
          </w:tcPr>
          <w:p>
            <w:pPr>
              <w:pStyle w:val="33"/>
            </w:pPr>
            <w:r>
              <w:t>卷扬机</w:t>
            </w:r>
          </w:p>
        </w:tc>
        <w:tc>
          <w:tcPr>
            <w:tcW w:w="2082" w:type="pct"/>
            <w:vAlign w:val="center"/>
          </w:tcPr>
          <w:p>
            <w:pPr>
              <w:pStyle w:val="33"/>
            </w:pPr>
            <w:r>
              <w:t>71~79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74" w:hRule="atLeast"/>
          <w:jc w:val="center"/>
        </w:trPr>
        <w:tc>
          <w:tcPr>
            <w:tcW w:w="1478" w:type="pct"/>
            <w:vMerge w:val="continue"/>
            <w:vAlign w:val="center"/>
          </w:tcPr>
          <w:p>
            <w:pPr>
              <w:pStyle w:val="33"/>
            </w:pPr>
          </w:p>
        </w:tc>
        <w:tc>
          <w:tcPr>
            <w:tcW w:w="1440" w:type="pct"/>
            <w:vAlign w:val="center"/>
          </w:tcPr>
          <w:p>
            <w:pPr>
              <w:pStyle w:val="33"/>
            </w:pPr>
            <w:r>
              <w:t>空压机</w:t>
            </w:r>
          </w:p>
        </w:tc>
        <w:tc>
          <w:tcPr>
            <w:tcW w:w="2082" w:type="pct"/>
            <w:vAlign w:val="center"/>
          </w:tcPr>
          <w:p>
            <w:pPr>
              <w:pStyle w:val="33"/>
            </w:pPr>
            <w:r>
              <w:t>75～90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74" w:hRule="atLeast"/>
          <w:jc w:val="center"/>
        </w:trPr>
        <w:tc>
          <w:tcPr>
            <w:tcW w:w="1478" w:type="pct"/>
            <w:vMerge w:val="restart"/>
            <w:vAlign w:val="center"/>
          </w:tcPr>
          <w:p>
            <w:pPr>
              <w:pStyle w:val="33"/>
            </w:pPr>
            <w:r>
              <w:t>装饰与安装阶段</w:t>
            </w:r>
          </w:p>
        </w:tc>
        <w:tc>
          <w:tcPr>
            <w:tcW w:w="1440" w:type="pct"/>
            <w:vAlign w:val="center"/>
          </w:tcPr>
          <w:p>
            <w:pPr>
              <w:pStyle w:val="33"/>
            </w:pPr>
            <w:r>
              <w:t>压缩机</w:t>
            </w:r>
          </w:p>
        </w:tc>
        <w:tc>
          <w:tcPr>
            <w:tcW w:w="2082" w:type="pct"/>
            <w:vAlign w:val="center"/>
          </w:tcPr>
          <w:p>
            <w:pPr>
              <w:pStyle w:val="33"/>
            </w:pPr>
            <w:r>
              <w:t>75-86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4" w:hRule="atLeast"/>
          <w:jc w:val="center"/>
        </w:trPr>
        <w:tc>
          <w:tcPr>
            <w:tcW w:w="1478" w:type="pct"/>
            <w:vMerge w:val="continue"/>
            <w:vAlign w:val="center"/>
          </w:tcPr>
          <w:p>
            <w:pPr>
              <w:pStyle w:val="33"/>
            </w:pPr>
          </w:p>
        </w:tc>
        <w:tc>
          <w:tcPr>
            <w:tcW w:w="1440" w:type="pct"/>
            <w:vAlign w:val="center"/>
          </w:tcPr>
          <w:p>
            <w:pPr>
              <w:pStyle w:val="33"/>
            </w:pPr>
            <w:r>
              <w:t>气动扳手</w:t>
            </w:r>
          </w:p>
        </w:tc>
        <w:tc>
          <w:tcPr>
            <w:tcW w:w="2082" w:type="pct"/>
            <w:vAlign w:val="center"/>
          </w:tcPr>
          <w:p>
            <w:pPr>
              <w:pStyle w:val="33"/>
            </w:pPr>
            <w:r>
              <w:t>76～88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98" w:hRule="atLeast"/>
          <w:jc w:val="center"/>
        </w:trPr>
        <w:tc>
          <w:tcPr>
            <w:tcW w:w="1478" w:type="pct"/>
            <w:vMerge w:val="continue"/>
            <w:vAlign w:val="center"/>
          </w:tcPr>
          <w:p>
            <w:pPr>
              <w:pStyle w:val="33"/>
            </w:pPr>
          </w:p>
        </w:tc>
        <w:tc>
          <w:tcPr>
            <w:tcW w:w="1440" w:type="pct"/>
            <w:vAlign w:val="center"/>
          </w:tcPr>
          <w:p>
            <w:pPr>
              <w:pStyle w:val="33"/>
            </w:pPr>
            <w:r>
              <w:t>锯床</w:t>
            </w:r>
          </w:p>
        </w:tc>
        <w:tc>
          <w:tcPr>
            <w:tcW w:w="2082" w:type="pct"/>
            <w:vAlign w:val="center"/>
          </w:tcPr>
          <w:p>
            <w:pPr>
              <w:pStyle w:val="33"/>
            </w:pPr>
            <w:r>
              <w:t>90～93</w:t>
            </w:r>
          </w:p>
        </w:tc>
      </w:tr>
    </w:tbl>
    <w:p>
      <w:pPr>
        <w:pStyle w:val="7"/>
        <w:ind w:firstLine="480"/>
      </w:pPr>
      <w:r>
        <w:rPr>
          <w:rFonts w:hAnsi="宋体"/>
        </w:rPr>
        <w:t>（</w:t>
      </w:r>
      <w:r>
        <w:t>2</w:t>
      </w:r>
      <w:r>
        <w:rPr>
          <w:rFonts w:hAnsi="宋体"/>
        </w:rPr>
        <w:t>）施工交通噪声</w:t>
      </w:r>
    </w:p>
    <w:p>
      <w:pPr>
        <w:pStyle w:val="7"/>
        <w:ind w:firstLine="480"/>
      </w:pPr>
      <w:r>
        <w:t>根据建设单位提供给资料，类比同类项目。本项目施工阶段物料运输车辆引起的噪声声级见下表。</w:t>
      </w:r>
    </w:p>
    <w:p>
      <w:pPr>
        <w:pStyle w:val="31"/>
      </w:pPr>
      <w:r>
        <w:t>表</w:t>
      </w:r>
      <w:r>
        <w:rPr>
          <w:rFonts w:hint="eastAsia"/>
        </w:rPr>
        <w:t>4.1</w:t>
      </w:r>
      <w:r>
        <w:t>-3  交通运输车辆声级</w:t>
      </w:r>
    </w:p>
    <w:tbl>
      <w:tblPr>
        <w:tblStyle w:val="27"/>
        <w:tblW w:w="4998" w:type="pct"/>
        <w:jc w:val="center"/>
        <w:tblLayout w:type="autofit"/>
        <w:tblCellMar>
          <w:top w:w="0" w:type="dxa"/>
          <w:left w:w="108" w:type="dxa"/>
          <w:bottom w:w="0" w:type="dxa"/>
          <w:right w:w="108" w:type="dxa"/>
        </w:tblCellMar>
      </w:tblPr>
      <w:tblGrid>
        <w:gridCol w:w="2248"/>
        <w:gridCol w:w="2971"/>
        <w:gridCol w:w="1744"/>
        <w:gridCol w:w="1556"/>
      </w:tblGrid>
      <w:tr>
        <w:tblPrEx>
          <w:tblCellMar>
            <w:top w:w="0" w:type="dxa"/>
            <w:left w:w="108" w:type="dxa"/>
            <w:bottom w:w="0" w:type="dxa"/>
            <w:right w:w="108" w:type="dxa"/>
          </w:tblCellMar>
        </w:tblPrEx>
        <w:trPr>
          <w:trHeight w:val="340" w:hRule="exact"/>
          <w:jc w:val="center"/>
        </w:trPr>
        <w:tc>
          <w:tcPr>
            <w:tcW w:w="1319" w:type="pct"/>
            <w:tcBorders>
              <w:top w:val="single" w:color="auto" w:sz="4" w:space="0"/>
              <w:left w:val="single" w:color="auto" w:sz="4" w:space="0"/>
              <w:bottom w:val="single" w:color="auto" w:sz="4" w:space="0"/>
              <w:right w:val="single" w:color="auto" w:sz="4" w:space="0"/>
            </w:tcBorders>
            <w:vAlign w:val="center"/>
          </w:tcPr>
          <w:p>
            <w:pPr>
              <w:pStyle w:val="33"/>
            </w:pPr>
            <w:r>
              <w:t>施工阶段</w:t>
            </w:r>
          </w:p>
        </w:tc>
        <w:tc>
          <w:tcPr>
            <w:tcW w:w="1743" w:type="pct"/>
            <w:tcBorders>
              <w:top w:val="single" w:color="auto" w:sz="4" w:space="0"/>
              <w:left w:val="nil"/>
              <w:bottom w:val="single" w:color="auto" w:sz="4" w:space="0"/>
              <w:right w:val="single" w:color="auto" w:sz="4" w:space="0"/>
            </w:tcBorders>
            <w:vAlign w:val="center"/>
          </w:tcPr>
          <w:p>
            <w:pPr>
              <w:pStyle w:val="33"/>
            </w:pPr>
            <w:r>
              <w:t>运输内容</w:t>
            </w:r>
          </w:p>
        </w:tc>
        <w:tc>
          <w:tcPr>
            <w:tcW w:w="1023" w:type="pct"/>
            <w:tcBorders>
              <w:top w:val="single" w:color="auto" w:sz="4" w:space="0"/>
              <w:left w:val="nil"/>
              <w:bottom w:val="single" w:color="auto" w:sz="4" w:space="0"/>
              <w:right w:val="single" w:color="auto" w:sz="4" w:space="0"/>
            </w:tcBorders>
            <w:vAlign w:val="center"/>
          </w:tcPr>
          <w:p>
            <w:pPr>
              <w:pStyle w:val="33"/>
            </w:pPr>
            <w:r>
              <w:t>车辆类型</w:t>
            </w:r>
          </w:p>
        </w:tc>
        <w:tc>
          <w:tcPr>
            <w:tcW w:w="913" w:type="pct"/>
            <w:tcBorders>
              <w:top w:val="single" w:color="auto" w:sz="4" w:space="0"/>
              <w:left w:val="nil"/>
              <w:bottom w:val="single" w:color="auto" w:sz="4" w:space="0"/>
              <w:right w:val="single" w:color="auto" w:sz="4" w:space="0"/>
            </w:tcBorders>
            <w:vAlign w:val="center"/>
          </w:tcPr>
          <w:p>
            <w:pPr>
              <w:pStyle w:val="33"/>
            </w:pPr>
            <w:r>
              <w:t>声级 dB(A)</w:t>
            </w:r>
          </w:p>
        </w:tc>
      </w:tr>
      <w:tr>
        <w:tblPrEx>
          <w:tblCellMar>
            <w:top w:w="0" w:type="dxa"/>
            <w:left w:w="108" w:type="dxa"/>
            <w:bottom w:w="0" w:type="dxa"/>
            <w:right w:w="108" w:type="dxa"/>
          </w:tblCellMar>
        </w:tblPrEx>
        <w:trPr>
          <w:trHeight w:val="612" w:hRule="exact"/>
          <w:jc w:val="center"/>
        </w:trPr>
        <w:tc>
          <w:tcPr>
            <w:tcW w:w="1319" w:type="pct"/>
            <w:tcBorders>
              <w:top w:val="nil"/>
              <w:left w:val="single" w:color="auto" w:sz="4" w:space="0"/>
              <w:bottom w:val="single" w:color="auto" w:sz="4" w:space="0"/>
              <w:right w:val="single" w:color="auto" w:sz="4" w:space="0"/>
            </w:tcBorders>
            <w:vAlign w:val="center"/>
          </w:tcPr>
          <w:p>
            <w:pPr>
              <w:pStyle w:val="33"/>
            </w:pPr>
            <w:r>
              <w:rPr>
                <w:rFonts w:hint="eastAsia"/>
                <w:lang w:eastAsia="zh-CN"/>
              </w:rPr>
              <w:t>土石方</w:t>
            </w:r>
            <w:r>
              <w:t>、基础阶段</w:t>
            </w:r>
          </w:p>
        </w:tc>
        <w:tc>
          <w:tcPr>
            <w:tcW w:w="1743" w:type="pct"/>
            <w:tcBorders>
              <w:top w:val="nil"/>
              <w:left w:val="nil"/>
              <w:bottom w:val="single" w:color="auto" w:sz="4" w:space="0"/>
              <w:right w:val="single" w:color="auto" w:sz="4" w:space="0"/>
            </w:tcBorders>
            <w:vAlign w:val="center"/>
          </w:tcPr>
          <w:p>
            <w:pPr>
              <w:pStyle w:val="33"/>
            </w:pPr>
            <w:r>
              <w:t>土石方运输</w:t>
            </w:r>
          </w:p>
        </w:tc>
        <w:tc>
          <w:tcPr>
            <w:tcW w:w="1023" w:type="pct"/>
            <w:tcBorders>
              <w:top w:val="nil"/>
              <w:left w:val="nil"/>
              <w:bottom w:val="single" w:color="auto" w:sz="4" w:space="0"/>
              <w:right w:val="single" w:color="auto" w:sz="4" w:space="0"/>
            </w:tcBorders>
            <w:vAlign w:val="center"/>
          </w:tcPr>
          <w:p>
            <w:pPr>
              <w:pStyle w:val="33"/>
            </w:pPr>
            <w:r>
              <w:t>大型载重车、</w:t>
            </w:r>
          </w:p>
          <w:p>
            <w:pPr>
              <w:pStyle w:val="33"/>
            </w:pPr>
            <w:r>
              <w:t>装载机</w:t>
            </w:r>
          </w:p>
        </w:tc>
        <w:tc>
          <w:tcPr>
            <w:tcW w:w="913" w:type="pct"/>
            <w:tcBorders>
              <w:top w:val="nil"/>
              <w:left w:val="nil"/>
              <w:bottom w:val="single" w:color="auto" w:sz="4" w:space="0"/>
              <w:right w:val="single" w:color="auto" w:sz="4" w:space="0"/>
            </w:tcBorders>
            <w:vAlign w:val="center"/>
          </w:tcPr>
          <w:p>
            <w:pPr>
              <w:pStyle w:val="33"/>
            </w:pPr>
            <w:r>
              <w:t>79~85</w:t>
            </w:r>
          </w:p>
        </w:tc>
      </w:tr>
      <w:tr>
        <w:tblPrEx>
          <w:tblCellMar>
            <w:top w:w="0" w:type="dxa"/>
            <w:left w:w="108" w:type="dxa"/>
            <w:bottom w:w="0" w:type="dxa"/>
            <w:right w:w="108" w:type="dxa"/>
          </w:tblCellMar>
        </w:tblPrEx>
        <w:trPr>
          <w:trHeight w:val="340" w:hRule="exact"/>
          <w:jc w:val="center"/>
        </w:trPr>
        <w:tc>
          <w:tcPr>
            <w:tcW w:w="1319" w:type="pct"/>
            <w:tcBorders>
              <w:top w:val="nil"/>
              <w:left w:val="single" w:color="auto" w:sz="4" w:space="0"/>
              <w:bottom w:val="single" w:color="auto" w:sz="4" w:space="0"/>
              <w:right w:val="single" w:color="auto" w:sz="4" w:space="0"/>
            </w:tcBorders>
            <w:vAlign w:val="center"/>
          </w:tcPr>
          <w:p>
            <w:pPr>
              <w:pStyle w:val="33"/>
            </w:pPr>
            <w:r>
              <w:t>基础、结构阶段</w:t>
            </w:r>
          </w:p>
        </w:tc>
        <w:tc>
          <w:tcPr>
            <w:tcW w:w="1743" w:type="pct"/>
            <w:tcBorders>
              <w:top w:val="nil"/>
              <w:left w:val="nil"/>
              <w:bottom w:val="single" w:color="auto" w:sz="4" w:space="0"/>
              <w:right w:val="single" w:color="auto" w:sz="4" w:space="0"/>
            </w:tcBorders>
            <w:vAlign w:val="center"/>
          </w:tcPr>
          <w:p>
            <w:pPr>
              <w:pStyle w:val="33"/>
            </w:pPr>
            <w:r>
              <w:t>钏筋、商品混凝土</w:t>
            </w:r>
          </w:p>
        </w:tc>
        <w:tc>
          <w:tcPr>
            <w:tcW w:w="1023" w:type="pct"/>
            <w:tcBorders>
              <w:top w:val="nil"/>
              <w:left w:val="nil"/>
              <w:bottom w:val="single" w:color="auto" w:sz="4" w:space="0"/>
              <w:right w:val="single" w:color="auto" w:sz="4" w:space="0"/>
            </w:tcBorders>
            <w:vAlign w:val="center"/>
          </w:tcPr>
          <w:p>
            <w:pPr>
              <w:pStyle w:val="33"/>
            </w:pPr>
            <w:r>
              <w:t>载重车</w:t>
            </w:r>
          </w:p>
        </w:tc>
        <w:tc>
          <w:tcPr>
            <w:tcW w:w="913" w:type="pct"/>
            <w:tcBorders>
              <w:top w:val="nil"/>
              <w:left w:val="nil"/>
              <w:bottom w:val="single" w:color="auto" w:sz="4" w:space="0"/>
              <w:right w:val="single" w:color="auto" w:sz="4" w:space="0"/>
            </w:tcBorders>
            <w:vAlign w:val="center"/>
          </w:tcPr>
          <w:p>
            <w:pPr>
              <w:pStyle w:val="33"/>
            </w:pPr>
            <w:r>
              <w:t>65~74</w:t>
            </w:r>
          </w:p>
        </w:tc>
      </w:tr>
      <w:tr>
        <w:tblPrEx>
          <w:tblCellMar>
            <w:top w:w="0" w:type="dxa"/>
            <w:left w:w="108" w:type="dxa"/>
            <w:bottom w:w="0" w:type="dxa"/>
            <w:right w:w="108" w:type="dxa"/>
          </w:tblCellMar>
        </w:tblPrEx>
        <w:trPr>
          <w:trHeight w:val="340" w:hRule="exact"/>
          <w:jc w:val="center"/>
        </w:trPr>
        <w:tc>
          <w:tcPr>
            <w:tcW w:w="1319" w:type="pct"/>
            <w:tcBorders>
              <w:top w:val="nil"/>
              <w:left w:val="single" w:color="auto" w:sz="4" w:space="0"/>
              <w:bottom w:val="single" w:color="auto" w:sz="4" w:space="0"/>
              <w:right w:val="single" w:color="auto" w:sz="4" w:space="0"/>
            </w:tcBorders>
            <w:vAlign w:val="center"/>
          </w:tcPr>
          <w:p>
            <w:pPr>
              <w:pStyle w:val="33"/>
            </w:pPr>
            <w:r>
              <w:t>装修阶段</w:t>
            </w:r>
          </w:p>
        </w:tc>
        <w:tc>
          <w:tcPr>
            <w:tcW w:w="1743" w:type="pct"/>
            <w:tcBorders>
              <w:top w:val="nil"/>
              <w:left w:val="nil"/>
              <w:bottom w:val="single" w:color="auto" w:sz="4" w:space="0"/>
              <w:right w:val="single" w:color="auto" w:sz="4" w:space="0"/>
            </w:tcBorders>
            <w:vAlign w:val="center"/>
          </w:tcPr>
          <w:p>
            <w:pPr>
              <w:pStyle w:val="33"/>
            </w:pPr>
            <w:r>
              <w:t>各种装修材料及必要的设备</w:t>
            </w:r>
          </w:p>
        </w:tc>
        <w:tc>
          <w:tcPr>
            <w:tcW w:w="1023" w:type="pct"/>
            <w:tcBorders>
              <w:top w:val="nil"/>
              <w:left w:val="nil"/>
              <w:bottom w:val="single" w:color="auto" w:sz="4" w:space="0"/>
              <w:right w:val="single" w:color="auto" w:sz="4" w:space="0"/>
            </w:tcBorders>
            <w:vAlign w:val="center"/>
          </w:tcPr>
          <w:p>
            <w:pPr>
              <w:pStyle w:val="33"/>
            </w:pPr>
            <w:r>
              <w:t>轻型载重卡车</w:t>
            </w:r>
          </w:p>
        </w:tc>
        <w:tc>
          <w:tcPr>
            <w:tcW w:w="913" w:type="pct"/>
            <w:tcBorders>
              <w:top w:val="nil"/>
              <w:left w:val="nil"/>
              <w:bottom w:val="single" w:color="auto" w:sz="4" w:space="0"/>
              <w:right w:val="single" w:color="auto" w:sz="4" w:space="0"/>
            </w:tcBorders>
            <w:vAlign w:val="center"/>
          </w:tcPr>
          <w:p>
            <w:pPr>
              <w:pStyle w:val="33"/>
            </w:pPr>
            <w:r>
              <w:t>60~69</w:t>
            </w:r>
          </w:p>
        </w:tc>
      </w:tr>
    </w:tbl>
    <w:p>
      <w:pPr>
        <w:pStyle w:val="9"/>
      </w:pPr>
      <w:r>
        <w:rPr>
          <w:rFonts w:hint="eastAsia"/>
        </w:rPr>
        <w:t>4.1.2.4固废</w:t>
      </w:r>
    </w:p>
    <w:p>
      <w:pPr>
        <w:pStyle w:val="7"/>
        <w:ind w:firstLine="480"/>
      </w:pPr>
      <w:r>
        <w:rPr>
          <w:rFonts w:hint="eastAsia"/>
        </w:rPr>
        <w:t>本项目施工期主要固废为场地基础施工产生的土石方，建筑施工废弃的砖石、水泥凝结废渣、装修废料等。另外还有少量施工人员产生的生活垃圾。</w:t>
      </w:r>
    </w:p>
    <w:p>
      <w:pPr>
        <w:pStyle w:val="7"/>
        <w:ind w:firstLine="480"/>
      </w:pPr>
      <w:r>
        <w:rPr>
          <w:rFonts w:hint="eastAsia"/>
        </w:rPr>
        <w:t>（1）土石方</w:t>
      </w:r>
    </w:p>
    <w:p>
      <w:pPr>
        <w:pStyle w:val="7"/>
        <w:ind w:firstLine="480"/>
      </w:pPr>
      <w:r>
        <w:rPr>
          <w:rFonts w:hint="eastAsia"/>
        </w:rPr>
        <w:t>本项目在建设过程中总计开挖土石方18.46万m</w:t>
      </w:r>
      <w:r>
        <w:rPr>
          <w:rFonts w:hint="eastAsia"/>
          <w:vertAlign w:val="superscript"/>
        </w:rPr>
        <w:t>3</w:t>
      </w:r>
      <w:r>
        <w:rPr>
          <w:rFonts w:hint="eastAsia"/>
        </w:rPr>
        <w:t>，表土剥离4.02万m</w:t>
      </w:r>
      <w:r>
        <w:rPr>
          <w:rFonts w:hint="eastAsia"/>
          <w:vertAlign w:val="superscript"/>
        </w:rPr>
        <w:t>3</w:t>
      </w:r>
      <w:r>
        <w:rPr>
          <w:rFonts w:hint="eastAsia"/>
        </w:rPr>
        <w:t>，建设过程中回填土方21.58万m</w:t>
      </w:r>
      <w:r>
        <w:rPr>
          <w:rFonts w:hint="eastAsia"/>
          <w:vertAlign w:val="superscript"/>
        </w:rPr>
        <w:t>3</w:t>
      </w:r>
      <w:r>
        <w:rPr>
          <w:rFonts w:hint="eastAsia"/>
        </w:rPr>
        <w:t>。本项目建设过程中无多余弃方产生。</w:t>
      </w:r>
    </w:p>
    <w:p>
      <w:pPr>
        <w:pStyle w:val="7"/>
        <w:ind w:firstLine="480"/>
      </w:pPr>
      <w:r>
        <w:rPr>
          <w:rFonts w:hint="eastAsia"/>
        </w:rPr>
        <w:t>（2）建筑垃圾</w:t>
      </w:r>
    </w:p>
    <w:p>
      <w:pPr>
        <w:pStyle w:val="7"/>
        <w:ind w:firstLine="480"/>
      </w:pPr>
      <w:r>
        <w:rPr>
          <w:rFonts w:hint="eastAsia"/>
        </w:rPr>
        <w:t>施工期建筑垃圾主要有土、渣土、废钢筋和各种废钢配件，金属管线废料、木屑、刨花、各种装饰材料的包装箱、包装袋等，散落的砂浆和混凝土，碎砖和碎混凝土块。本项目建筑垃圾产生量参照《昆明市人民政府办公厅关于转发昆明市城市建筑垃圾管理实施办法实施细则的通知》（昆政办【2011】88号），房屋主体施工产生建筑垃圾计量=建筑面积×单位面积建筑废弃量，本项目厂房建筑为钢架结构，建筑废弃量为0.01m</w:t>
      </w:r>
      <w:r>
        <w:rPr>
          <w:rFonts w:hint="eastAsia"/>
          <w:vertAlign w:val="superscript"/>
        </w:rPr>
        <w:t>3</w:t>
      </w:r>
      <w:r>
        <w:rPr>
          <w:rFonts w:hint="eastAsia"/>
        </w:rPr>
        <w:t>/m</w:t>
      </w:r>
      <w:r>
        <w:rPr>
          <w:rFonts w:hint="eastAsia"/>
          <w:vertAlign w:val="superscript"/>
        </w:rPr>
        <w:t>2</w:t>
      </w:r>
      <w:r>
        <w:rPr>
          <w:rFonts w:hint="eastAsia"/>
        </w:rPr>
        <w:t>，本项目建筑面积为67828m</w:t>
      </w:r>
      <w:r>
        <w:rPr>
          <w:rFonts w:hint="eastAsia"/>
          <w:vertAlign w:val="superscript"/>
        </w:rPr>
        <w:t>2</w:t>
      </w:r>
      <w:r>
        <w:rPr>
          <w:rFonts w:hint="eastAsia"/>
        </w:rPr>
        <w:t>，则厂房建筑垃圾产生量为678.28m</w:t>
      </w:r>
      <w:r>
        <w:rPr>
          <w:rFonts w:hint="eastAsia"/>
          <w:vertAlign w:val="superscript"/>
        </w:rPr>
        <w:t>3</w:t>
      </w:r>
      <w:r>
        <w:rPr>
          <w:rFonts w:hint="eastAsia"/>
        </w:rPr>
        <w:t>，厂房建筑垃圾主要为钢材等，收集后外售不能利用的建筑垃圾收集后按照砚山县市政管理部门要求处置。</w:t>
      </w:r>
    </w:p>
    <w:p>
      <w:pPr>
        <w:pStyle w:val="7"/>
        <w:ind w:firstLine="480"/>
      </w:pPr>
      <w:r>
        <w:rPr>
          <w:rFonts w:hint="eastAsia"/>
        </w:rPr>
        <w:t>（3）生活垃圾</w:t>
      </w:r>
    </w:p>
    <w:p>
      <w:pPr>
        <w:pStyle w:val="7"/>
        <w:ind w:firstLine="480"/>
      </w:pPr>
      <w:r>
        <w:rPr>
          <w:rFonts w:hint="eastAsia"/>
        </w:rPr>
        <w:t>项目施工人员大部分为附近村民，住在附近民房，不在项目区内住宿，施工场地设立临时办公用房，用于施工监管，临时办公用房设置食堂，施工人员生活垃圾产生量按0.5kg/人•d计，项目拟定施工人员为100人，施工工期为36个月（1095天），则施工期生活垃圾的产生量为50kg/d，整个施工期产生的生活垃圾量为54.75t，集中收集后，委托当地环卫部门清运。</w:t>
      </w:r>
    </w:p>
    <w:p>
      <w:pPr>
        <w:pStyle w:val="9"/>
      </w:pPr>
      <w:r>
        <w:rPr>
          <w:rFonts w:hint="eastAsia"/>
        </w:rPr>
        <w:t>4.1.2.5生态影响</w:t>
      </w:r>
    </w:p>
    <w:p>
      <w:pPr>
        <w:pStyle w:val="7"/>
        <w:ind w:firstLine="480"/>
      </w:pPr>
      <w:r>
        <w:rPr>
          <w:rFonts w:hint="eastAsia"/>
        </w:rPr>
        <w:t>本项目属新建工程，施工过程中对当地生态环境和植被有一定的破坏。土地的占用将改变项目区域土地利用的现状，由于土地利用格局的改变，将使区域自然体系的生产能力受到一定程度的影响。</w:t>
      </w:r>
    </w:p>
    <w:p>
      <w:pPr>
        <w:pStyle w:val="7"/>
        <w:ind w:firstLine="482"/>
        <w:rPr>
          <w:b/>
          <w:bCs/>
        </w:rPr>
      </w:pPr>
      <w:r>
        <w:rPr>
          <w:rFonts w:hint="eastAsia"/>
          <w:b/>
          <w:bCs/>
        </w:rPr>
        <w:t>1、对土地利用的影响</w:t>
      </w:r>
    </w:p>
    <w:p>
      <w:pPr>
        <w:pStyle w:val="7"/>
        <w:ind w:firstLine="480"/>
      </w:pPr>
      <w:r>
        <w:rPr>
          <w:rFonts w:hint="eastAsia"/>
        </w:rPr>
        <w:t>项目建设将新占用土地200.04亩，所占用土地目前已规划为建设用地，根据现场勘查，项目区现状占地类型为草地、林地，征地手续由政府相关部门负责办理。土地的占用将改变项目区的原有土地利用格局，但项目的建设将进一步提高土地利用价值。项目占地及建设不占用基本农田。</w:t>
      </w:r>
    </w:p>
    <w:p>
      <w:pPr>
        <w:pStyle w:val="7"/>
        <w:ind w:firstLine="482"/>
        <w:rPr>
          <w:b/>
          <w:bCs/>
        </w:rPr>
      </w:pPr>
      <w:r>
        <w:rPr>
          <w:rFonts w:hint="eastAsia"/>
          <w:b/>
          <w:bCs/>
        </w:rPr>
        <w:t>2、对动植物的影响</w:t>
      </w:r>
    </w:p>
    <w:p>
      <w:pPr>
        <w:pStyle w:val="7"/>
        <w:ind w:firstLine="480"/>
      </w:pPr>
      <w:r>
        <w:rPr>
          <w:rFonts w:hint="eastAsia"/>
        </w:rPr>
        <w:t>据环评单位现场踏勘，工程建设区域内地表无原生植被及天然植被分布，项目区内地表植被主要为人工植被。项目施工会对占地内地表植被造成一定破坏，土地的占用及施工人员的活动，将影响区域内的小动物，如鼠类、麻雀等，由于项目区内人为活动频繁，已无大型动物出没。</w:t>
      </w:r>
    </w:p>
    <w:p>
      <w:pPr>
        <w:pStyle w:val="7"/>
        <w:ind w:firstLine="480"/>
      </w:pPr>
      <w:r>
        <w:rPr>
          <w:rFonts w:hint="eastAsia"/>
        </w:rPr>
        <w:t>项目规划从外区域移植一定量的乔木和灌木，绿化本区域。项目建成后，项目区的林草覆盖率有所增加，项目的建设给生态环境造成的负面影响减小。</w:t>
      </w:r>
    </w:p>
    <w:p>
      <w:pPr>
        <w:pStyle w:val="5"/>
      </w:pPr>
      <w:bookmarkStart w:id="76" w:name="_Toc17958"/>
      <w:r>
        <w:rPr>
          <w:rFonts w:hint="eastAsia"/>
        </w:rPr>
        <w:t>4.2运营期生产工艺及产污环节分析</w:t>
      </w:r>
      <w:bookmarkEnd w:id="76"/>
    </w:p>
    <w:p>
      <w:pPr>
        <w:pStyle w:val="8"/>
      </w:pPr>
      <w:r>
        <w:rPr>
          <w:rFonts w:hint="eastAsia"/>
        </w:rPr>
        <w:t>4.2.1一期工程（铝合金圆铸锭、板锭生产工艺）生产工艺</w:t>
      </w:r>
    </w:p>
    <w:p>
      <w:pPr>
        <w:pStyle w:val="7"/>
        <w:ind w:firstLine="480"/>
        <w:rPr>
          <w:rFonts w:hint="eastAsia"/>
        </w:rPr>
      </w:pPr>
      <w:r>
        <w:rPr>
          <w:rFonts w:hint="eastAsia"/>
        </w:rPr>
        <w:t>一期工程年产高端铝合金圆铸锭16万吨、铝合金板锭16万吨。一期工程两种产品生产工艺基本一致，区别在于铸造工序不同。本项目板锭使用铝制结晶器，在板锭铸造过程中为了防止板锭表面有划痕或者裂纹，需要在结晶器（铸造盘）表面涂抹润滑油，进而导致板锭生产循环冷却水含油分；其余生产工序（熔炼、晶粒细化、过滤、均质、铝灰分离）相同，故本次不再进行单独描述。生产工艺如下。</w:t>
      </w:r>
    </w:p>
    <w:p>
      <w:pPr>
        <w:pStyle w:val="7"/>
        <w:ind w:firstLine="0" w:firstLineChars="0"/>
        <w:jc w:val="center"/>
        <w:rPr>
          <w:rStyle w:val="47"/>
        </w:rPr>
      </w:pPr>
      <w:r>
        <w:object>
          <v:shape id="_x0000_i1027" o:spt="75" type="#_x0000_t75" style="height:617.45pt;width:431.4pt;" o:ole="t" filled="f" o:preferrelative="t" stroked="f" coordsize="21600,21600">
            <v:path/>
            <v:fill on="f" focussize="0,0"/>
            <v:stroke on="f" joinstyle="miter"/>
            <v:imagedata r:id="rId22" cropleft="597f" croptop="-616f" cropright="574f" o:title=""/>
            <o:lock v:ext="edit" aspectratio="t"/>
            <w10:wrap type="none"/>
            <w10:anchorlock/>
          </v:shape>
          <o:OLEObject Type="Embed" ProgID="Visio.Drawing.11" ShapeID="_x0000_i1027" DrawAspect="Content" ObjectID="_1468075727" r:id="rId21">
            <o:LockedField>false</o:LockedField>
          </o:OLEObject>
        </w:object>
      </w:r>
      <w:r>
        <w:rPr>
          <w:rStyle w:val="47"/>
        </w:rPr>
        <w:t>图</w:t>
      </w:r>
      <w:r>
        <w:rPr>
          <w:rStyle w:val="47"/>
          <w:rFonts w:hint="eastAsia"/>
        </w:rPr>
        <w:t>4</w:t>
      </w:r>
      <w:r>
        <w:rPr>
          <w:rStyle w:val="47"/>
        </w:rPr>
        <w:t xml:space="preserve">.2-1  </w:t>
      </w:r>
      <w:r>
        <w:rPr>
          <w:rStyle w:val="47"/>
          <w:rFonts w:hint="eastAsia"/>
        </w:rPr>
        <w:t>铝合金圆铸锭、板锭</w:t>
      </w:r>
      <w:r>
        <w:rPr>
          <w:rStyle w:val="47"/>
        </w:rPr>
        <w:t>工艺流程</w:t>
      </w:r>
      <w:r>
        <w:rPr>
          <w:rStyle w:val="47"/>
          <w:rFonts w:hint="eastAsia"/>
        </w:rPr>
        <w:t>及产物节点图（G：废气  W：废水  N：噪声  S：固废）</w:t>
      </w:r>
    </w:p>
    <w:p>
      <w:pPr>
        <w:pStyle w:val="7"/>
        <w:ind w:firstLine="480"/>
      </w:pPr>
    </w:p>
    <w:p>
      <w:pPr>
        <w:pStyle w:val="7"/>
        <w:ind w:firstLine="482"/>
        <w:rPr>
          <w:b/>
          <w:bCs/>
        </w:rPr>
      </w:pPr>
      <w:r>
        <w:rPr>
          <w:b/>
          <w:bCs/>
        </w:rPr>
        <w:t>1、熔保炉</w:t>
      </w:r>
    </w:p>
    <w:p>
      <w:pPr>
        <w:pStyle w:val="7"/>
        <w:ind w:firstLine="480"/>
      </w:pPr>
      <w:r>
        <w:rPr>
          <w:rFonts w:hint="eastAsia"/>
        </w:rPr>
        <w:t>（1）配料</w:t>
      </w:r>
    </w:p>
    <w:p>
      <w:pPr>
        <w:pStyle w:val="7"/>
        <w:ind w:firstLine="480"/>
      </w:pPr>
      <w:r>
        <w:rPr>
          <w:rFonts w:hint="eastAsia"/>
        </w:rPr>
        <w:t>为从源头控制污染物产生，项目入炉原料严格要求：熔铝炉进料为铝水、铝白料、各类合金添加剂等原辅材料。</w:t>
      </w:r>
    </w:p>
    <w:p>
      <w:pPr>
        <w:pStyle w:val="7"/>
        <w:ind w:firstLine="480"/>
      </w:pPr>
      <w:r>
        <w:rPr>
          <w:rFonts w:hint="eastAsia"/>
        </w:rPr>
        <w:t>利用电解铝液直接配料，可以节省铝锭重熔烧损，降低能耗及生产成本。电解铝液存在“二多（氢含量多、夹杂物多）、一少（有效晶核少）”，直接利用将使铸造产品出现气孔多、夹渣多、晶粒粗大等质量问题。因此利用冷料（铝白料、废边角料、不合格产品）和电解铝液作为炉料搭配，有利于增加熔体的形核质点，避免熔体过热，同时在线加入铝钛硼丝，可获得较细的晶粒组织。</w:t>
      </w:r>
    </w:p>
    <w:p>
      <w:pPr>
        <w:pStyle w:val="7"/>
        <w:ind w:firstLine="480"/>
      </w:pPr>
      <w:r>
        <w:rPr>
          <w:rFonts w:hint="eastAsia"/>
        </w:rPr>
        <w:t>根据所生产合金的牌号及每炉的装炉料，按照配料规程将电解铝水、冷料、返回熔化的下脚料和合金添加剂等配好后依次装入熔铝炉中。项目所需铝水直接由</w:t>
      </w:r>
      <w:r>
        <w:t>厂区东侧的云南宏泰新型材料有限公司</w:t>
      </w:r>
      <w:r>
        <w:rPr>
          <w:rFonts w:hint="eastAsia"/>
        </w:rPr>
        <w:t>电解车间真空抬包运至车间，从真空抬包中直接注入合金熔铝炉内，根据产品材质要求和炉前化验结果配入镁锭、铝铜合金、铝锰合金等合金及添加剂。镁锭加入时需打开炉盖，其他物料通过加料口加入。配料时间约为30min。</w:t>
      </w:r>
    </w:p>
    <w:p>
      <w:pPr>
        <w:pStyle w:val="7"/>
        <w:ind w:firstLine="480"/>
      </w:pPr>
      <w:r>
        <w:rPr>
          <w:rFonts w:hint="eastAsia"/>
        </w:rPr>
        <w:t>（2）熔炼：</w:t>
      </w:r>
      <w:r>
        <w:t>配料后，将</w:t>
      </w:r>
      <w:r>
        <w:rPr>
          <w:rFonts w:hint="eastAsia"/>
        </w:rPr>
        <w:t>熔炼</w:t>
      </w:r>
      <w:r>
        <w:t>炉关闭，点火进行熔炼，</w:t>
      </w:r>
      <w:r>
        <w:rPr>
          <w:rFonts w:hint="eastAsia"/>
        </w:rPr>
        <w:t>熔炼</w:t>
      </w:r>
      <w:r>
        <w:t>炉采用天然气为燃料进行加热，加热时间约为30</w:t>
      </w:r>
      <w:r>
        <w:rPr>
          <w:rFonts w:hint="eastAsia"/>
        </w:rPr>
        <w:t>min</w:t>
      </w:r>
      <w:r>
        <w:t>。</w:t>
      </w:r>
    </w:p>
    <w:p>
      <w:pPr>
        <w:pStyle w:val="7"/>
        <w:ind w:firstLine="480"/>
      </w:pPr>
      <w:r>
        <w:rPr>
          <w:rFonts w:hint="eastAsia"/>
          <w:bCs/>
        </w:rPr>
        <w:t>（3）</w:t>
      </w:r>
      <w:r>
        <w:rPr>
          <w:bCs/>
        </w:rPr>
        <w:t>精炼</w:t>
      </w:r>
      <w:r>
        <w:rPr>
          <w:rFonts w:hint="eastAsia"/>
          <w:bCs/>
        </w:rPr>
        <w:t>：</w:t>
      </w:r>
      <w:r>
        <w:rPr>
          <w:bCs/>
        </w:rPr>
        <w:t>当原料熔炼到要求时，进行喷粉精炼。喷粉精炼前调整炉内铝液温度，喷粉温度控制在720-750℃。开启永磁搅拌系统，使用喷粉机将精炼剂喷入铝液；喷粉时间为15分钟；气体压力0.15Mpa。</w:t>
      </w:r>
      <w:r>
        <w:rPr>
          <w:rFonts w:hint="eastAsia"/>
        </w:rPr>
        <w:t>项目使用的精炼剂中主要成分为冰晶石（</w:t>
      </w:r>
      <w:r>
        <w:t>Na</w:t>
      </w:r>
      <w:r>
        <w:rPr>
          <w:vertAlign w:val="subscript"/>
        </w:rPr>
        <w:t>3</w:t>
      </w:r>
      <w:r>
        <w:t>AlF</w:t>
      </w:r>
      <w:r>
        <w:rPr>
          <w:vertAlign w:val="subscript"/>
        </w:rPr>
        <w:t>6</w:t>
      </w:r>
      <w:r>
        <w:rPr>
          <w:rFonts w:hint="eastAsia"/>
        </w:rPr>
        <w:t>）和氟硅酸钠（</w:t>
      </w:r>
      <w:r>
        <w:t>Na</w:t>
      </w:r>
      <w:r>
        <w:rPr>
          <w:vertAlign w:val="subscript"/>
        </w:rPr>
        <w:t>2</w:t>
      </w:r>
      <w:r>
        <w:t>SiF</w:t>
      </w:r>
      <w:r>
        <w:rPr>
          <w:vertAlign w:val="subscript"/>
        </w:rPr>
        <w:t>6</w:t>
      </w:r>
      <w:r>
        <w:rPr>
          <w:rFonts w:hint="eastAsia"/>
        </w:rPr>
        <w:t>），含量分别为30%、20%。冰晶石熔点为1000℃，在熔炼过程中主要作为助溶剂。氟硅酸钠在300℃以上分解产生四氟化硅（</w:t>
      </w:r>
      <w:r>
        <w:t>SiF</w:t>
      </w:r>
      <w:r>
        <w:rPr>
          <w:rFonts w:hint="eastAsia"/>
          <w:vertAlign w:val="subscript"/>
        </w:rPr>
        <w:t>4</w:t>
      </w:r>
      <w:r>
        <w:rPr>
          <w:rFonts w:hint="eastAsia"/>
        </w:rPr>
        <w:t>）和氟化钠（</w:t>
      </w:r>
      <w:r>
        <w:t>NaF</w:t>
      </w:r>
      <w:r>
        <w:rPr>
          <w:rFonts w:hint="eastAsia"/>
        </w:rPr>
        <w:t>），具体反应方程式为：</w:t>
      </w:r>
      <w:r>
        <w:t>Na</w:t>
      </w:r>
      <w:r>
        <w:rPr>
          <w:vertAlign w:val="subscript"/>
        </w:rPr>
        <w:t>2</w:t>
      </w:r>
      <w:r>
        <w:t>SiF</w:t>
      </w:r>
      <w:r>
        <w:rPr>
          <w:vertAlign w:val="subscript"/>
        </w:rPr>
        <w:t>6</w:t>
      </w:r>
      <w:r>
        <w:rPr>
          <w:rFonts w:hint="eastAsia"/>
        </w:rPr>
        <w:t>==</w:t>
      </w:r>
      <w:r>
        <w:t>SiF</w:t>
      </w:r>
      <w:r>
        <w:rPr>
          <w:rFonts w:hint="eastAsia"/>
          <w:vertAlign w:val="subscript"/>
        </w:rPr>
        <w:t>4</w:t>
      </w:r>
      <w:r>
        <w:rPr>
          <w:vertAlign w:val="subscript"/>
        </w:rPr>
        <w:t xml:space="preserve"> </w:t>
      </w:r>
      <w:r>
        <w:rPr>
          <w:rFonts w:hint="eastAsia"/>
        </w:rPr>
        <w:t>+</w:t>
      </w:r>
      <w:r>
        <w:t>NaF</w:t>
      </w:r>
      <w:r>
        <w:rPr>
          <w:rFonts w:hint="eastAsia"/>
          <w:vertAlign w:val="subscript"/>
        </w:rPr>
        <w:t>，</w:t>
      </w:r>
      <w:r>
        <w:rPr>
          <w:rFonts w:hint="eastAsia"/>
        </w:rPr>
        <w:t>其中</w:t>
      </w:r>
      <w:r>
        <w:t>SiF</w:t>
      </w:r>
      <w:r>
        <w:rPr>
          <w:rFonts w:hint="eastAsia"/>
          <w:vertAlign w:val="subscript"/>
        </w:rPr>
        <w:t>4</w:t>
      </w:r>
      <w:r>
        <w:rPr>
          <w:rFonts w:hint="eastAsia"/>
        </w:rPr>
        <w:t>挥发成气体起到除气的作用，</w:t>
      </w:r>
      <w:r>
        <w:t>NaF</w:t>
      </w:r>
      <w:r>
        <w:rPr>
          <w:rFonts w:hint="eastAsia"/>
        </w:rPr>
        <w:t>具有弱变质的作用。另外氟硅酸钠还跟氧化铝发生反应，会产生氟化铝，反应方程式如下：3</w:t>
      </w:r>
      <w:r>
        <w:t>Na</w:t>
      </w:r>
      <w:r>
        <w:rPr>
          <w:vertAlign w:val="subscript"/>
        </w:rPr>
        <w:t>2</w:t>
      </w:r>
      <w:r>
        <w:t>SiF</w:t>
      </w:r>
      <w:r>
        <w:rPr>
          <w:vertAlign w:val="subscript"/>
        </w:rPr>
        <w:t>6</w:t>
      </w:r>
      <w:r>
        <w:t>+2Al</w:t>
      </w:r>
      <w:r>
        <w:rPr>
          <w:vertAlign w:val="subscript"/>
        </w:rPr>
        <w:t>2</w:t>
      </w:r>
      <w:r>
        <w:t>O</w:t>
      </w:r>
      <w:r>
        <w:rPr>
          <w:vertAlign w:val="subscript"/>
        </w:rPr>
        <w:t>3</w:t>
      </w:r>
      <w:r>
        <w:rPr>
          <w:rFonts w:hint="eastAsia"/>
        </w:rPr>
        <w:t>==2</w:t>
      </w:r>
      <w:r>
        <w:t>Na</w:t>
      </w:r>
      <w:r>
        <w:rPr>
          <w:vertAlign w:val="subscript"/>
        </w:rPr>
        <w:t>3</w:t>
      </w:r>
      <w:r>
        <w:t>AlF</w:t>
      </w:r>
      <w:r>
        <w:rPr>
          <w:vertAlign w:val="subscript"/>
        </w:rPr>
        <w:t>6</w:t>
      </w:r>
      <w:r>
        <w:rPr>
          <w:rFonts w:hint="eastAsia"/>
        </w:rPr>
        <w:t>+3</w:t>
      </w:r>
      <w:r>
        <w:t>SiO</w:t>
      </w:r>
      <w:r>
        <w:rPr>
          <w:rFonts w:hint="eastAsia"/>
          <w:vertAlign w:val="subscript"/>
        </w:rPr>
        <w:t>2</w:t>
      </w:r>
      <w:r>
        <w:rPr>
          <w:vertAlign w:val="subscript"/>
        </w:rPr>
        <w:t xml:space="preserve"> </w:t>
      </w:r>
      <w:r>
        <w:rPr>
          <w:rFonts w:hint="eastAsia"/>
        </w:rPr>
        <w:t>+2</w:t>
      </w:r>
      <w:r>
        <w:t>AlF</w:t>
      </w:r>
      <w:r>
        <w:rPr>
          <w:vertAlign w:val="subscript"/>
        </w:rPr>
        <w:t>3</w:t>
      </w:r>
      <w:r>
        <w:rPr>
          <w:rFonts w:hint="eastAsia"/>
        </w:rPr>
        <w:t>，生成的</w:t>
      </w:r>
      <w:r>
        <w:t>SiO</w:t>
      </w:r>
      <w:r>
        <w:rPr>
          <w:rFonts w:hint="eastAsia"/>
          <w:vertAlign w:val="subscript"/>
        </w:rPr>
        <w:t>2</w:t>
      </w:r>
      <w:r>
        <w:rPr>
          <w:rFonts w:hint="eastAsia"/>
        </w:rPr>
        <w:t>结合成块状渣易除去。</w:t>
      </w:r>
    </w:p>
    <w:p>
      <w:pPr>
        <w:spacing w:line="360" w:lineRule="auto"/>
        <w:ind w:firstLine="480" w:firstLineChars="200"/>
        <w:rPr>
          <w:bCs/>
        </w:rPr>
      </w:pPr>
      <w:r>
        <w:rPr>
          <w:bCs/>
        </w:rPr>
        <w:t>为更有效去除铝熔体中的氢及金属</w:t>
      </w:r>
      <w:r>
        <w:rPr>
          <w:rFonts w:hint="eastAsia"/>
          <w:bCs/>
        </w:rPr>
        <w:t>杂质</w:t>
      </w:r>
      <w:r>
        <w:rPr>
          <w:bCs/>
        </w:rPr>
        <w:t>，本项目</w:t>
      </w:r>
      <w:r>
        <w:rPr>
          <w:rFonts w:hint="eastAsia"/>
          <w:bCs/>
        </w:rPr>
        <w:t>另外</w:t>
      </w:r>
      <w:r>
        <w:rPr>
          <w:bCs/>
        </w:rPr>
        <w:t>采用氩气+氯气混合气体用于精炼过程，氯气</w:t>
      </w:r>
      <w:r>
        <w:rPr>
          <w:rFonts w:hint="eastAsia"/>
          <w:bCs/>
        </w:rPr>
        <w:t>由项目的氯气站提供，</w:t>
      </w:r>
      <w:r>
        <w:rPr>
          <w:bCs/>
        </w:rPr>
        <w:t>经管道输送到车间现场，输送至除气配气柜中，与氩气配比一定浓度对铝</w:t>
      </w:r>
      <w:r>
        <w:rPr>
          <w:rFonts w:hint="eastAsia"/>
          <w:bCs/>
        </w:rPr>
        <w:t>水</w:t>
      </w:r>
      <w:r>
        <w:rPr>
          <w:bCs/>
        </w:rPr>
        <w:t>进行净化处理。</w:t>
      </w:r>
    </w:p>
    <w:p>
      <w:pPr>
        <w:spacing w:line="360" w:lineRule="auto"/>
        <w:ind w:firstLine="480" w:firstLineChars="200"/>
        <w:rPr>
          <w:bCs/>
        </w:rPr>
      </w:pPr>
      <w:r>
        <w:rPr>
          <w:bCs/>
        </w:rPr>
        <w:t>氯气除氢原理：Cl</w:t>
      </w:r>
      <w:r>
        <w:rPr>
          <w:bCs/>
          <w:vertAlign w:val="subscript"/>
        </w:rPr>
        <w:t>2</w:t>
      </w:r>
      <w:r>
        <w:rPr>
          <w:bCs/>
        </w:rPr>
        <w:t>+H</w:t>
      </w:r>
      <w:r>
        <w:rPr>
          <w:bCs/>
          <w:vertAlign w:val="subscript"/>
        </w:rPr>
        <w:t>2</w:t>
      </w:r>
      <w:r>
        <w:rPr>
          <w:bCs/>
        </w:rPr>
        <w:t>=2HCl</w:t>
      </w:r>
    </w:p>
    <w:p>
      <w:pPr>
        <w:pStyle w:val="7"/>
        <w:ind w:firstLine="480"/>
      </w:pPr>
      <w:r>
        <w:rPr>
          <w:rFonts w:hint="eastAsia"/>
        </w:rPr>
        <w:t>氩气为惰性气体，在精炼过程中起保护作用，同时稀释氯气，使氯气能与铝液中的氢更充分的接触，提高精炼效率，减少氯气的使用量。</w:t>
      </w:r>
    </w:p>
    <w:p>
      <w:pPr>
        <w:spacing w:line="360" w:lineRule="auto"/>
        <w:ind w:firstLine="480" w:firstLineChars="200"/>
        <w:rPr>
          <w:bCs/>
        </w:rPr>
      </w:pPr>
      <w:r>
        <w:rPr>
          <w:bCs/>
        </w:rPr>
        <w:t>本项目液氯供应采用液氯钢瓶的供应方式，采用的钢瓶规格为1000kg/个，单座氯气车间配套2个，1用1备。</w:t>
      </w:r>
    </w:p>
    <w:p>
      <w:pPr>
        <w:pStyle w:val="7"/>
        <w:ind w:firstLine="480"/>
      </w:pPr>
      <w:r>
        <w:rPr>
          <w:rFonts w:hint="eastAsia"/>
        </w:rPr>
        <w:t>（4）</w:t>
      </w:r>
      <w:r>
        <w:t>扒渣、搅拌、快速分析</w:t>
      </w:r>
      <w:r>
        <w:rPr>
          <w:rFonts w:hint="eastAsia"/>
        </w:rPr>
        <w:t>：</w:t>
      </w:r>
      <w:r>
        <w:t>铝液中含有的氧化铝、废料及少量金属中含有的灰尘会在熔炼过程通过搅拌上浮到熔液的表面，通过机械除渣将其去除，以保证合金的品质</w:t>
      </w:r>
      <w:r>
        <w:rPr>
          <w:rFonts w:hint="eastAsia"/>
        </w:rPr>
        <w:t>，扒渣过程中需要打开炉门</w:t>
      </w:r>
      <w:r>
        <w:t>。项目采用电磁搅拌器对铝液进行搅拌，并用检测仪器快速分析铝液成分，该过程约为</w:t>
      </w:r>
      <w:r>
        <w:rPr>
          <w:rFonts w:hint="eastAsia"/>
        </w:rPr>
        <w:t>3</w:t>
      </w:r>
      <w:r>
        <w:t>0分钟。</w:t>
      </w:r>
      <w:r>
        <w:rPr>
          <w:rFonts w:hint="eastAsia"/>
        </w:rPr>
        <w:t>扒渣产生的废渣进入铝灰分离车间进行处理。</w:t>
      </w:r>
    </w:p>
    <w:p>
      <w:pPr>
        <w:pStyle w:val="7"/>
        <w:ind w:firstLine="480"/>
      </w:pPr>
      <w:r>
        <w:rPr>
          <w:rFonts w:hint="eastAsia"/>
        </w:rPr>
        <w:t>（5）</w:t>
      </w:r>
      <w:r>
        <w:t>调整成分</w:t>
      </w:r>
      <w:r>
        <w:rPr>
          <w:rFonts w:hint="eastAsia"/>
        </w:rPr>
        <w:t>：</w:t>
      </w:r>
      <w:r>
        <w:t>经快速分析后，根据分析结果，再次向铝液中添加铜锭、镁锭</w:t>
      </w:r>
      <w:r>
        <w:rPr>
          <w:rFonts w:hint="eastAsia"/>
        </w:rPr>
        <w:t>以及相关合金</w:t>
      </w:r>
      <w:r>
        <w:t>，待成分合格后进入下一道工序。该工序操作时间约为30分钟。</w:t>
      </w:r>
    </w:p>
    <w:p>
      <w:pPr>
        <w:pStyle w:val="7"/>
        <w:ind w:firstLine="480"/>
      </w:pPr>
      <w:r>
        <w:rPr>
          <w:rFonts w:hint="eastAsia"/>
        </w:rPr>
        <w:t>（6）</w:t>
      </w:r>
      <w:r>
        <w:t>静置保温</w:t>
      </w:r>
      <w:r>
        <w:rPr>
          <w:rFonts w:hint="eastAsia"/>
        </w:rPr>
        <w:t>：</w:t>
      </w:r>
      <w:r>
        <w:t>项目铝液成分调整完毕后，为保证产品品质需静置保温一段时间，让铝液成分更加均匀，静置保温时间约为15分钟。</w:t>
      </w:r>
    </w:p>
    <w:p>
      <w:pPr>
        <w:pStyle w:val="7"/>
        <w:ind w:firstLine="482"/>
        <w:rPr>
          <w:b/>
        </w:rPr>
      </w:pPr>
      <w:r>
        <w:rPr>
          <w:b/>
        </w:rPr>
        <w:t>2、晶粒细化</w:t>
      </w:r>
    </w:p>
    <w:p>
      <w:pPr>
        <w:pStyle w:val="7"/>
        <w:ind w:firstLine="480"/>
      </w:pPr>
      <w:r>
        <w:rPr>
          <w:bCs/>
        </w:rPr>
        <w:t>理想的铸</w:t>
      </w:r>
      <w:r>
        <w:rPr>
          <w:rFonts w:hint="eastAsia"/>
          <w:bCs/>
        </w:rPr>
        <w:t>锭</w:t>
      </w:r>
      <w:r>
        <w:rPr>
          <w:bCs/>
        </w:rPr>
        <w:t>组织是铸锭整个截面上具有均匀、细小的等轴晶，这是因为等轴晶各向异性小，加工时变形均匀、性能优异、塑性好，利于结晶及随后的塑性加工。要得到这种组织，通常需要对熔体进行细化处理。凡是能促进形核、抑制晶粒长大的处理，都能细化晶粒。本项目采用铝钛硼丝作为晶粒细化剂。在铝</w:t>
      </w:r>
      <w:r>
        <w:rPr>
          <w:rFonts w:hint="eastAsia"/>
          <w:bCs/>
        </w:rPr>
        <w:t>锭</w:t>
      </w:r>
      <w:r>
        <w:rPr>
          <w:bCs/>
        </w:rPr>
        <w:t>生产开始时，铝液先流经晶粒细化槽，向晶粒细化槽匀速通入铝钛硼丝，利用铝液的高温将其熔化。</w:t>
      </w:r>
    </w:p>
    <w:p>
      <w:pPr>
        <w:pStyle w:val="7"/>
        <w:numPr>
          <w:ilvl w:val="0"/>
          <w:numId w:val="7"/>
        </w:numPr>
        <w:ind w:firstLine="482" w:firstLineChars="0"/>
        <w:rPr>
          <w:b/>
          <w:bCs/>
        </w:rPr>
      </w:pPr>
      <w:r>
        <w:rPr>
          <w:b/>
          <w:bCs/>
        </w:rPr>
        <w:t>过滤</w:t>
      </w:r>
    </w:p>
    <w:p>
      <w:pPr>
        <w:pStyle w:val="7"/>
        <w:ind w:firstLine="480"/>
      </w:pPr>
      <w:r>
        <w:t>铝在熔化和结晶过程中，气泡、氧化膜和非金属夹杂物破坏了金属材料的连续性，减少了铸件的有效承载截面，同时引起应力集中使铸件的机械性能变坏。为了避免这些危害，在铝液流过晶粒细化槽后进入过滤槽，利用铝液过滤板将滤液中的杂质过滤去除，同时在线除气机除气。</w:t>
      </w:r>
    </w:p>
    <w:p>
      <w:pPr>
        <w:numPr>
          <w:ilvl w:val="0"/>
          <w:numId w:val="7"/>
        </w:numPr>
        <w:spacing w:line="360" w:lineRule="auto"/>
        <w:ind w:firstLine="482"/>
        <w:rPr>
          <w:b/>
        </w:rPr>
      </w:pPr>
      <w:r>
        <w:rPr>
          <w:rFonts w:hint="eastAsia"/>
          <w:b/>
        </w:rPr>
        <w:t>铸造</w:t>
      </w:r>
      <w:r>
        <w:rPr>
          <w:b/>
        </w:rPr>
        <w:t>：</w:t>
      </w:r>
    </w:p>
    <w:p>
      <w:pPr>
        <w:pStyle w:val="7"/>
        <w:ind w:firstLine="480"/>
      </w:pPr>
      <w:r>
        <w:rPr>
          <w:rFonts w:hint="eastAsia"/>
        </w:rPr>
        <w:t>精炼后的铝液经静置后进入铸造工序。铸造工序分为铸铝合金圆铸锭和铸铝合金板锭。</w:t>
      </w:r>
    </w:p>
    <w:p>
      <w:pPr>
        <w:pStyle w:val="7"/>
        <w:ind w:firstLine="480"/>
      </w:pPr>
      <w:r>
        <w:rPr>
          <w:rFonts w:hint="eastAsia"/>
        </w:rPr>
        <w:t>铝合金圆铸锭主要分为铸锭、锯切两道工序。精炼后的铝液从流道口放液进入铸造盘（结晶器）内，放液过程中通过流量阀大小控制流速和液位高度，同时控制温度等其他参数。当铝液在模具内达到设定高度时，模具开始下降，在模具下部结晶的铝棒被引出模具，并且随模具匀速下降，同时被冷却水直接冷却。铝棒冷却后采用锯切机进行锯切。</w:t>
      </w:r>
    </w:p>
    <w:p>
      <w:pPr>
        <w:pStyle w:val="7"/>
        <w:ind w:firstLine="480"/>
      </w:pPr>
      <w:r>
        <w:rPr>
          <w:rFonts w:hint="eastAsia"/>
        </w:rPr>
        <w:t>铝合金板锭主要分为铸锭、叠锭两道工序。打开精炼炉的底部的放液口，铝合金液进入铸锭机接液槽内，经流槽流入锭模中，流满一槽后，将流模移向下一锭模，铸锭机是连续前进的。装载有铝合金液的模具经冷却水池直接冷却，待完全凝固成铝合金板锭后铸模翻转，铝合金锭脱模而出，无需使用脱模剂。在板锭铸造过程为了防止板锭表面有划痕或者裂纹，需要在结晶器表面涂抹润滑油。</w:t>
      </w:r>
    </w:p>
    <w:p>
      <w:pPr>
        <w:pStyle w:val="7"/>
        <w:ind w:left="480" w:firstLine="0" w:firstLineChars="0"/>
        <w:rPr>
          <w:b/>
          <w:bCs/>
        </w:rPr>
      </w:pPr>
      <w:r>
        <w:rPr>
          <w:rFonts w:hint="eastAsia"/>
          <w:b/>
          <w:bCs/>
        </w:rPr>
        <w:t>5、均质</w:t>
      </w:r>
    </w:p>
    <w:p>
      <w:pPr>
        <w:pStyle w:val="7"/>
        <w:ind w:firstLine="480"/>
      </w:pPr>
      <w:r>
        <w:rPr>
          <w:rFonts w:hint="eastAsia"/>
        </w:rPr>
        <w:t>毛结晶件在锯切机经过切头尾。锯切后根据产品需求送入均质炉进行均热，改变铸件的机械性能。</w:t>
      </w:r>
    </w:p>
    <w:p>
      <w:pPr>
        <w:pStyle w:val="7"/>
        <w:ind w:left="480" w:firstLine="0" w:firstLineChars="0"/>
        <w:rPr>
          <w:b/>
          <w:bCs/>
        </w:rPr>
      </w:pPr>
      <w:r>
        <w:rPr>
          <w:rFonts w:hint="eastAsia"/>
          <w:b/>
          <w:bCs/>
        </w:rPr>
        <w:t>6、铝灰分离</w:t>
      </w:r>
    </w:p>
    <w:p>
      <w:pPr>
        <w:pStyle w:val="7"/>
        <w:ind w:firstLine="480"/>
        <w:rPr>
          <w:rFonts w:hint="eastAsia"/>
        </w:rPr>
      </w:pPr>
      <w:r>
        <w:rPr>
          <w:rStyle w:val="53"/>
          <w:rFonts w:hint="eastAsia"/>
        </w:rPr>
        <w:t>本项目铝灰分离</w:t>
      </w:r>
      <w:r>
        <w:rPr>
          <w:rStyle w:val="53"/>
          <w:rFonts w:hint="eastAsia"/>
          <w:lang w:val="en-US" w:eastAsia="zh-CN"/>
        </w:rPr>
        <w:t>车间</w:t>
      </w:r>
      <w:r>
        <w:rPr>
          <w:rStyle w:val="53"/>
          <w:rFonts w:hint="eastAsia"/>
        </w:rPr>
        <w:t>设置</w:t>
      </w:r>
      <w:r>
        <w:rPr>
          <w:rFonts w:hint="eastAsia"/>
          <w:lang w:val="en-US" w:eastAsia="zh-CN"/>
        </w:rPr>
        <w:t>2</w:t>
      </w:r>
      <w:r>
        <w:rPr>
          <w:rFonts w:hint="eastAsia"/>
        </w:rPr>
        <w:t>套</w:t>
      </w:r>
      <w:r>
        <w:rPr>
          <w:rFonts w:hint="eastAsia"/>
          <w:lang w:val="en-US" w:eastAsia="zh-CN"/>
        </w:rPr>
        <w:t>铝灰分离</w:t>
      </w:r>
      <w:r>
        <w:rPr>
          <w:rFonts w:hint="eastAsia"/>
        </w:rPr>
        <w:t>一体化设备，包括炒灰、冷灰、破碎、筛分及布袋除尘系统。</w:t>
      </w:r>
      <w:r>
        <w:rPr>
          <w:rFonts w:hint="eastAsia"/>
          <w:lang w:val="en-US" w:eastAsia="zh-CN"/>
        </w:rPr>
        <w:t>铝灰分离工艺流程</w:t>
      </w:r>
      <w:r>
        <w:rPr>
          <w:rFonts w:hint="eastAsia"/>
        </w:rPr>
        <w:t>见图</w:t>
      </w:r>
      <w:r>
        <w:rPr>
          <w:rFonts w:hint="eastAsia"/>
          <w:lang w:val="en-US" w:eastAsia="zh-CN"/>
        </w:rPr>
        <w:t>4.2-2</w:t>
      </w:r>
      <w:r>
        <w:rPr>
          <w:rFonts w:hint="eastAsia"/>
        </w:rPr>
        <w:t>。</w:t>
      </w:r>
    </w:p>
    <w:p>
      <w:pPr>
        <w:pStyle w:val="44"/>
        <w:bidi w:val="0"/>
        <w:jc w:val="center"/>
        <w:rPr>
          <w:rFonts w:hint="eastAsia" w:eastAsia="宋体"/>
          <w:lang w:eastAsia="zh-CN"/>
        </w:rPr>
      </w:pPr>
      <w:r>
        <w:rPr>
          <w:rFonts w:hint="eastAsia" w:eastAsia="宋体"/>
          <w:lang w:eastAsia="zh-CN"/>
        </w:rPr>
        <w:object>
          <v:shape id="_x0000_i1028" o:spt="75" type="#_x0000_t75" style="height:172.1pt;width:393.3pt;" o:ole="t" filled="f" o:preferrelative="t" stroked="f" coordsize="21600,21600">
            <v:path/>
            <v:fill on="f" focussize="0,0"/>
            <v:stroke on="f"/>
            <v:imagedata r:id="rId24" cropleft="8736f" croptop="1812f" cropright="6177f" cropbottom="48048f" o:title=""/>
            <o:lock v:ext="edit" aspectratio="t"/>
            <w10:wrap type="none"/>
            <w10:anchorlock/>
          </v:shape>
          <o:OLEObject Type="Embed" ProgID="Visio.Drawing.15" ShapeID="_x0000_i1028" DrawAspect="Content" ObjectID="_1468075728" r:id="rId23">
            <o:LockedField>false</o:LockedField>
          </o:OLEObject>
        </w:object>
      </w:r>
    </w:p>
    <w:p>
      <w:pPr>
        <w:pStyle w:val="44"/>
        <w:bidi w:val="0"/>
        <w:rPr>
          <w:rFonts w:hint="eastAsia"/>
        </w:rPr>
      </w:pPr>
      <w:r>
        <w:rPr>
          <w:rFonts w:hint="eastAsia"/>
        </w:rPr>
        <w:t>图</w:t>
      </w:r>
      <w:r>
        <w:rPr>
          <w:rFonts w:hint="eastAsia"/>
          <w:lang w:val="en-US" w:eastAsia="zh-CN"/>
        </w:rPr>
        <w:t>4.2-2</w:t>
      </w:r>
      <w:r>
        <w:rPr>
          <w:rFonts w:hint="eastAsia"/>
        </w:rPr>
        <w:t xml:space="preserve"> </w:t>
      </w:r>
      <w:r>
        <w:rPr>
          <w:rFonts w:hint="eastAsia"/>
          <w:lang w:val="en-US" w:eastAsia="zh-CN"/>
        </w:rPr>
        <w:t xml:space="preserve"> 铝灰分离</w:t>
      </w:r>
      <w:r>
        <w:rPr>
          <w:rFonts w:hint="eastAsia"/>
        </w:rPr>
        <w:t>工艺流程图</w:t>
      </w:r>
    </w:p>
    <w:p>
      <w:pPr>
        <w:pStyle w:val="7"/>
        <w:ind w:firstLine="480"/>
        <w:rPr>
          <w:rFonts w:hint="eastAsia"/>
        </w:rPr>
      </w:pPr>
      <w:r>
        <w:rPr>
          <w:rFonts w:hint="eastAsia"/>
        </w:rPr>
        <w:t>首先将熔铝炉扒渣过程产生的热铝熔渣不落地由灰车送往炒灰间加入炒灰机，炒灰机利用铝渣自燃原理产生的热能进行运转，利用机内可调节高度的搅拌装置，经过由高至低搅拌，夹杂的铝渣逐渐沉向灰锅底部溶解成液体，灰锅变了熔池，灰则浮在熔池上部</w:t>
      </w:r>
      <w:r>
        <w:rPr>
          <w:rFonts w:hint="eastAsia"/>
          <w:lang w:eastAsia="zh-CN"/>
        </w:rPr>
        <w:t>。</w:t>
      </w:r>
      <w:r>
        <w:rPr>
          <w:rFonts w:hint="eastAsia"/>
        </w:rPr>
        <w:t>在搅拌的作用下，灰从灰锅上部的排灰口排出，进入后续冷灰桶冷却；铝液在灰锅底部的放液口排出注入下部铝液包内，直接回炉或冷却为铝块后送熔化工序回炉做冷却剂，重熔利用。主要工作原理为：根据固相物体与液相物体的物理性质不同，比重不同而</w:t>
      </w:r>
      <w:r>
        <w:rPr>
          <w:rFonts w:hint="eastAsia"/>
          <w:lang w:val="en-US" w:eastAsia="zh-CN"/>
        </w:rPr>
        <w:t>使铝灰</w:t>
      </w:r>
      <w:r>
        <w:rPr>
          <w:rFonts w:hint="eastAsia"/>
        </w:rPr>
        <w:t>分离开。</w:t>
      </w:r>
    </w:p>
    <w:p>
      <w:pPr>
        <w:pStyle w:val="7"/>
        <w:ind w:firstLine="480"/>
        <w:rPr>
          <w:rFonts w:hint="eastAsia"/>
        </w:rPr>
      </w:pPr>
      <w:r>
        <w:rPr>
          <w:rFonts w:hint="eastAsia"/>
        </w:rPr>
        <w:t>由炒灰机分离出来的铝灰导入冷灰机，降温后的铝灰渣经破碎机破碎后进入全密封的筛灰机，分离出的铝灰与铝粒则由筛灰机底部不同的排口进入各自的包装袋</w:t>
      </w:r>
      <w:r>
        <w:rPr>
          <w:rFonts w:hint="eastAsia"/>
          <w:lang w:eastAsia="zh-CN"/>
        </w:rPr>
        <w:t>。</w:t>
      </w:r>
      <w:r>
        <w:rPr>
          <w:rFonts w:hint="eastAsia"/>
        </w:rPr>
        <w:t>铝粒返回熔铝炉使用，铝灰属于危险废物，袋装后进入危废暂存间定期交有资质单位处置。</w:t>
      </w:r>
    </w:p>
    <w:p>
      <w:pPr>
        <w:pStyle w:val="7"/>
        <w:ind w:firstLine="480"/>
        <w:rPr>
          <w:rFonts w:hint="eastAsia"/>
        </w:rPr>
      </w:pPr>
      <w:r>
        <w:rPr>
          <w:rFonts w:hint="eastAsia"/>
          <w:lang w:val="en-US" w:eastAsia="zh-CN"/>
        </w:rPr>
        <w:t>铝灰分离车间</w:t>
      </w:r>
      <w:r>
        <w:rPr>
          <w:rFonts w:hint="eastAsia"/>
        </w:rPr>
        <w:t>的炒灰、冷却、破碎、筛分工序设备间实现了全封闭对接，为一体化设备。炒灰机设置落地式集气罩，对炒灰机加料及炒灰粉尘进行收集，进入布袋除尘系统处理，净化后达标排放。</w:t>
      </w:r>
    </w:p>
    <w:p>
      <w:pPr>
        <w:pStyle w:val="7"/>
        <w:ind w:firstLine="480"/>
        <w:rPr>
          <w:rFonts w:hint="eastAsia"/>
        </w:rPr>
      </w:pPr>
      <w:r>
        <w:rPr>
          <w:rFonts w:hint="eastAsia"/>
        </w:rPr>
        <w:t>冷灰机、破碎机、筛灰机为全封闭设备，负压集气，炒灰、冷却、筛分过程产生烟粉尘收集后全部进入布袋除尘系统，净化后达标排放。</w:t>
      </w:r>
    </w:p>
    <w:p>
      <w:pPr>
        <w:pStyle w:val="7"/>
        <w:ind w:firstLine="480"/>
        <w:rPr>
          <w:rFonts w:hint="eastAsia"/>
        </w:rPr>
      </w:pPr>
      <w:r>
        <w:rPr>
          <w:rFonts w:hint="eastAsia"/>
        </w:rPr>
        <w:t>筛灰机筛出的铝灰在装袋时尽量密闭，编制袋套住出灰口时需完全封闭，然后静置片刻待后再取下编织袋进行封口，尽量减少装袋时的粉尘逸散。</w:t>
      </w:r>
    </w:p>
    <w:p>
      <w:pPr>
        <w:pStyle w:val="8"/>
      </w:pPr>
      <w:r>
        <w:rPr>
          <w:rFonts w:hint="eastAsia"/>
        </w:rPr>
        <w:t>4.2.2二期工程（铝合金铸轧板）生产工艺</w:t>
      </w:r>
    </w:p>
    <w:p>
      <w:pPr>
        <w:pStyle w:val="7"/>
        <w:bidi w:val="0"/>
        <w:rPr>
          <w:rFonts w:hint="eastAsia"/>
        </w:rPr>
      </w:pPr>
      <w:r>
        <w:rPr>
          <w:rFonts w:hint="eastAsia"/>
          <w:lang w:val="en-US" w:eastAsia="zh-CN"/>
        </w:rPr>
        <w:t>二</w:t>
      </w:r>
      <w:r>
        <w:rPr>
          <w:rFonts w:hint="eastAsia"/>
        </w:rPr>
        <w:t>期工程</w:t>
      </w:r>
      <w:r>
        <w:rPr>
          <w:rFonts w:hint="eastAsia"/>
          <w:lang w:val="en-US" w:eastAsia="zh-CN"/>
        </w:rPr>
        <w:t>年产</w:t>
      </w:r>
      <w:r>
        <w:rPr>
          <w:rFonts w:hint="eastAsia"/>
        </w:rPr>
        <w:t>高档铝合金铸轧板6万吨</w:t>
      </w:r>
      <w:r>
        <w:rPr>
          <w:rFonts w:hint="eastAsia"/>
          <w:lang w:eastAsia="zh-CN"/>
        </w:rPr>
        <w:t>，</w:t>
      </w:r>
      <w:r>
        <w:rPr>
          <w:rFonts w:hint="eastAsia"/>
        </w:rPr>
        <w:t>生产工艺</w:t>
      </w:r>
      <w:r>
        <w:rPr>
          <w:rFonts w:hint="eastAsia"/>
          <w:lang w:val="en-US" w:eastAsia="zh-CN"/>
        </w:rPr>
        <w:t>流程图见图4.2-3</w:t>
      </w:r>
      <w:r>
        <w:rPr>
          <w:rFonts w:hint="eastAsia"/>
        </w:rPr>
        <w:t>。</w:t>
      </w:r>
    </w:p>
    <w:p>
      <w:pPr>
        <w:pStyle w:val="7"/>
        <w:ind w:firstLine="0" w:firstLineChars="0"/>
        <w:jc w:val="center"/>
        <w:rPr>
          <w:rStyle w:val="47"/>
        </w:rPr>
      </w:pPr>
      <w:r>
        <w:object>
          <v:shape id="_x0000_i1029" o:spt="75" type="#_x0000_t75" style="height:555.25pt;width:431.4pt;" o:ole="t" filled="f" o:preferrelative="t" stroked="f" coordsize="21600,21600">
            <v:path/>
            <v:fill on="f" focussize="0,0"/>
            <v:stroke on="f" joinstyle="miter"/>
            <v:imagedata r:id="rId26" cropleft="597f" croptop="-616f" cropright="574f" cropbottom="6751f" o:title=""/>
            <o:lock v:ext="edit" aspectratio="t"/>
            <w10:wrap type="none"/>
            <w10:anchorlock/>
          </v:shape>
          <o:OLEObject Type="Embed" ProgID="Visio.Drawing.11" ShapeID="_x0000_i1029" DrawAspect="Content" ObjectID="_1468075729" r:id="rId25">
            <o:LockedField>false</o:LockedField>
          </o:OLEObject>
        </w:object>
      </w:r>
      <w:r>
        <w:rPr>
          <w:rStyle w:val="47"/>
        </w:rPr>
        <w:t>图</w:t>
      </w:r>
      <w:r>
        <w:rPr>
          <w:rStyle w:val="47"/>
          <w:rFonts w:hint="eastAsia"/>
        </w:rPr>
        <w:t>4.2-</w:t>
      </w:r>
      <w:r>
        <w:rPr>
          <w:rStyle w:val="47"/>
          <w:rFonts w:hint="eastAsia"/>
          <w:lang w:val="en-US" w:eastAsia="zh-CN"/>
        </w:rPr>
        <w:t>3</w:t>
      </w:r>
      <w:r>
        <w:rPr>
          <w:rStyle w:val="47"/>
        </w:rPr>
        <w:t xml:space="preserve">  </w:t>
      </w:r>
      <w:r>
        <w:rPr>
          <w:rStyle w:val="47"/>
          <w:rFonts w:hint="eastAsia"/>
        </w:rPr>
        <w:t>铝合金铸轧板</w:t>
      </w:r>
      <w:r>
        <w:rPr>
          <w:rStyle w:val="47"/>
        </w:rPr>
        <w:t>工艺流程</w:t>
      </w:r>
      <w:r>
        <w:rPr>
          <w:rStyle w:val="47"/>
          <w:rFonts w:hint="eastAsia"/>
        </w:rPr>
        <w:t>及产物节点图（G：废气  W：废水  N：噪声  S：固废）</w:t>
      </w:r>
    </w:p>
    <w:p>
      <w:pPr>
        <w:pStyle w:val="7"/>
        <w:ind w:firstLine="482"/>
        <w:rPr>
          <w:b/>
          <w:bCs/>
        </w:rPr>
      </w:pPr>
      <w:r>
        <w:rPr>
          <w:rFonts w:hint="eastAsia"/>
          <w:b/>
          <w:bCs/>
        </w:rPr>
        <w:t>1、熔炼炉</w:t>
      </w:r>
    </w:p>
    <w:p>
      <w:pPr>
        <w:pStyle w:val="7"/>
        <w:ind w:firstLine="480"/>
      </w:pPr>
      <w:r>
        <w:rPr>
          <w:rFonts w:hint="eastAsia"/>
        </w:rPr>
        <w:t>拟建项目在熔炼炉中进行的操作有配料、熔炼、精炼、搅拌、扒渣、快速分析以及调整成等。</w:t>
      </w:r>
    </w:p>
    <w:p>
      <w:pPr>
        <w:pStyle w:val="7"/>
        <w:ind w:firstLine="480"/>
      </w:pPr>
      <w:r>
        <w:rPr>
          <w:rFonts w:hint="eastAsia"/>
        </w:rPr>
        <w:t>（1）配料：项目所需铝水直接由</w:t>
      </w:r>
      <w:r>
        <w:t>厂区东侧的云南宏泰新型材料有限公司</w:t>
      </w:r>
      <w:r>
        <w:rPr>
          <w:rFonts w:hint="eastAsia"/>
        </w:rPr>
        <w:t>电解车间真空抬包运至车间，从真空抬包中直接注入合金熔铝炉内，根据产品材质要求和炉前化验结果配入镁锭、铝锭、铝铜合金、铝锰合金等添加剂。配料时间约为30分钟。</w:t>
      </w:r>
    </w:p>
    <w:p>
      <w:pPr>
        <w:pStyle w:val="7"/>
        <w:ind w:firstLine="480"/>
      </w:pPr>
      <w:r>
        <w:rPr>
          <w:rFonts w:hint="eastAsia"/>
        </w:rPr>
        <w:t>（2）熔炼：配料后，将熔炼炉关闭，点火进行熔炼，熔炼炉采用天然气为燃料进行加热，熔炼温度约为750℃，加热时间约为40分钟。</w:t>
      </w:r>
    </w:p>
    <w:p>
      <w:pPr>
        <w:pStyle w:val="7"/>
        <w:ind w:firstLine="480"/>
      </w:pPr>
      <w:r>
        <w:rPr>
          <w:rFonts w:hint="eastAsia"/>
        </w:rPr>
        <w:t>（3）精炼：当原料熔炼到要求时，进行喷粉精炼。喷粉精炼前调整炉内铝液温度，喷粉温度控制在720-750℃。开启永磁搅拌系统，使用喷粉机将精炼剂喷入铝液；喷粉时间为40分钟；气体压力0.25-0.3Mpa。项目精炼剂由空压机压缩的氮气作为动力，经喷管均匀的喷入铝液中。</w:t>
      </w:r>
    </w:p>
    <w:p>
      <w:pPr>
        <w:pStyle w:val="7"/>
        <w:ind w:firstLine="482"/>
      </w:pPr>
      <w:r>
        <w:rPr>
          <w:rFonts w:hint="eastAsia"/>
          <w:b/>
          <w:bCs/>
        </w:rPr>
        <w:t>N</w:t>
      </w:r>
      <w:r>
        <w:rPr>
          <w:rFonts w:hint="eastAsia"/>
          <w:b/>
          <w:bCs/>
          <w:vertAlign w:val="subscript"/>
        </w:rPr>
        <w:t>2</w:t>
      </w:r>
      <w:r>
        <w:rPr>
          <w:rFonts w:hint="eastAsia"/>
          <w:b/>
          <w:bCs/>
        </w:rPr>
        <w:t>和精炼剂作用：</w:t>
      </w:r>
      <w:r>
        <w:rPr>
          <w:rFonts w:hint="eastAsia"/>
        </w:rPr>
        <w:t>精炼过程中炉内处理主要是向铝液内通入N</w:t>
      </w:r>
      <w:r>
        <w:rPr>
          <w:rFonts w:hint="eastAsia"/>
          <w:vertAlign w:val="subscript"/>
        </w:rPr>
        <w:t>2</w:t>
      </w:r>
      <w:r>
        <w:rPr>
          <w:rFonts w:hint="eastAsia"/>
        </w:rPr>
        <w:t>和精炼剂以去除熔体中的氧化物夹杂和H</w:t>
      </w:r>
      <w:r>
        <w:rPr>
          <w:rFonts w:hint="eastAsia"/>
          <w:vertAlign w:val="subscript"/>
        </w:rPr>
        <w:t>2</w:t>
      </w:r>
      <w:r>
        <w:rPr>
          <w:rFonts w:hint="eastAsia"/>
        </w:rPr>
        <w:t>。根据分压脱气原理，N</w:t>
      </w:r>
      <w:r>
        <w:rPr>
          <w:rFonts w:hint="eastAsia"/>
          <w:vertAlign w:val="subscript"/>
        </w:rPr>
        <w:t>2</w:t>
      </w:r>
      <w:r>
        <w:rPr>
          <w:rFonts w:hint="eastAsia"/>
        </w:rPr>
        <w:t>被吹入的铝液后形成许多细小的气泡，使溶于铝液中的H</w:t>
      </w:r>
      <w:r>
        <w:rPr>
          <w:rFonts w:hint="eastAsia"/>
          <w:vertAlign w:val="subscript"/>
        </w:rPr>
        <w:t>2</w:t>
      </w:r>
      <w:r>
        <w:rPr>
          <w:rFonts w:hint="eastAsia"/>
        </w:rPr>
        <w:t>不断扩散进气泡中，气泡浮出液面后H</w:t>
      </w:r>
      <w:r>
        <w:rPr>
          <w:rFonts w:hint="eastAsia"/>
          <w:vertAlign w:val="subscript"/>
        </w:rPr>
        <w:t>2</w:t>
      </w:r>
      <w:r>
        <w:rPr>
          <w:rFonts w:hint="eastAsia"/>
        </w:rPr>
        <w:t>也随之溢出。此外，通入N</w:t>
      </w:r>
      <w:r>
        <w:rPr>
          <w:rFonts w:hint="eastAsia"/>
          <w:vertAlign w:val="subscript"/>
        </w:rPr>
        <w:t>2</w:t>
      </w:r>
      <w:r>
        <w:rPr>
          <w:rFonts w:hint="eastAsia"/>
        </w:rPr>
        <w:t>还具有去除熔体中氧化物夹杂作用，主要依靠N</w:t>
      </w:r>
      <w:r>
        <w:rPr>
          <w:rFonts w:hint="eastAsia"/>
          <w:vertAlign w:val="subscript"/>
        </w:rPr>
        <w:t>2</w:t>
      </w:r>
      <w:r>
        <w:rPr>
          <w:rFonts w:hint="eastAsia"/>
        </w:rPr>
        <w:t>气泡的吸附作用，使部分氧化物夹杂被带到溶液表面，便于扒渣处理。精炼剂主要是去除熔体中的氧化物夹杂。</w:t>
      </w:r>
    </w:p>
    <w:p>
      <w:pPr>
        <w:pStyle w:val="7"/>
        <w:ind w:firstLine="480"/>
      </w:pPr>
      <w:r>
        <w:rPr>
          <w:rFonts w:hint="eastAsia"/>
        </w:rPr>
        <w:t>（4）扒渣、搅拌、快速分析：铝液中含有的氧化铝、废料及小量金属中含有的灰尘会在熔炼过程通过搅拌上浮到熔液的表面，通过机械除渣将其去除，以保证合金的品质。项目采用永磁搅拌机对铝液进行搅拌，并用检测仪器快速分析铝液成分，该过程约为40分钟。</w:t>
      </w:r>
    </w:p>
    <w:p>
      <w:pPr>
        <w:pStyle w:val="7"/>
        <w:ind w:firstLine="480"/>
      </w:pPr>
      <w:r>
        <w:rPr>
          <w:rFonts w:hint="eastAsia"/>
        </w:rPr>
        <w:t>（5）调整成分：经快速分析后，根据分析结果，再次向铝液中添加铜剂、锰剂、铁剂等金属，待成分合格后进入下一道工序。该工序操作时间约为30分钟。</w:t>
      </w:r>
    </w:p>
    <w:p>
      <w:pPr>
        <w:pStyle w:val="7"/>
        <w:ind w:firstLine="480"/>
      </w:pPr>
      <w:r>
        <w:rPr>
          <w:rFonts w:hint="eastAsia"/>
        </w:rPr>
        <w:t>（6）静置保温：项目铝液成分调整完毕后，为保证产品品质需静置保温一段时间，让铝液成分更加均匀。铝水经槽转输到静置保温炉内，静置保温炉采用天然气加热。静置保温时间约为8h。</w:t>
      </w:r>
    </w:p>
    <w:p>
      <w:pPr>
        <w:pStyle w:val="7"/>
        <w:ind w:firstLine="482"/>
        <w:rPr>
          <w:b/>
          <w:bCs/>
        </w:rPr>
      </w:pPr>
      <w:r>
        <w:rPr>
          <w:rFonts w:hint="eastAsia"/>
          <w:b/>
          <w:bCs/>
        </w:rPr>
        <w:t>2、晶粒细化</w:t>
      </w:r>
    </w:p>
    <w:p>
      <w:pPr>
        <w:pStyle w:val="7"/>
        <w:ind w:firstLine="480"/>
      </w:pPr>
      <w:r>
        <w:rPr>
          <w:rFonts w:hint="eastAsia"/>
        </w:rPr>
        <w:t>理想的铝材组织是整个截面上具有均匀、细小的等轴晶，这是因为等轴晶各向异性小，加工时变形均匀、性能优异、塑性好，利于铸造及随后的塑性加工。 要得到这种组织，通常需要对熔体进行细化处理。凡是能促进形核、抑制晶粒长大的处理，都能细化晶粒。本项目采用铝钛硼丝作为晶粒细化剂。在铝棒浇铸开始时，铝液先流经晶粒细化槽，向晶粒细化槽匀速通入铝钛硼丝，利用铝液的高温将其熔化。</w:t>
      </w:r>
    </w:p>
    <w:p>
      <w:pPr>
        <w:pStyle w:val="7"/>
        <w:numPr>
          <w:ilvl w:val="0"/>
          <w:numId w:val="6"/>
        </w:numPr>
        <w:ind w:firstLine="482"/>
        <w:rPr>
          <w:b/>
          <w:bCs/>
        </w:rPr>
      </w:pPr>
      <w:r>
        <w:rPr>
          <w:rFonts w:hint="eastAsia"/>
          <w:b/>
          <w:bCs/>
        </w:rPr>
        <w:t>除气、过滤</w:t>
      </w:r>
    </w:p>
    <w:p>
      <w:pPr>
        <w:pStyle w:val="7"/>
        <w:ind w:firstLine="480"/>
      </w:pPr>
      <w:r>
        <w:rPr>
          <w:rFonts w:hint="eastAsia"/>
        </w:rPr>
        <w:t>铝在熔化和铸造过程中，气泡、氧化膜和非金属夹杂物破坏了金属材料的连续性，减少了铸件的有效承载截面，同时引起应力集中使铸件的机械性能变坏。为了避免这些危害，在铝液流过晶粒细化槽后进入过除气箱和过滤槽，去除铝液中的气泡和杂质。</w:t>
      </w:r>
    </w:p>
    <w:p>
      <w:pPr>
        <w:pStyle w:val="7"/>
        <w:numPr>
          <w:ilvl w:val="0"/>
          <w:numId w:val="6"/>
        </w:numPr>
        <w:ind w:firstLine="482"/>
        <w:rPr>
          <w:b/>
          <w:bCs/>
        </w:rPr>
      </w:pPr>
      <w:r>
        <w:rPr>
          <w:rFonts w:hint="eastAsia"/>
          <w:b/>
          <w:bCs/>
        </w:rPr>
        <w:t>铸轧</w:t>
      </w:r>
    </w:p>
    <w:p>
      <w:pPr>
        <w:pStyle w:val="7"/>
        <w:ind w:firstLine="480"/>
      </w:pPr>
      <w:r>
        <w:rPr>
          <w:rFonts w:hint="eastAsia"/>
        </w:rPr>
        <w:t>首先操作人员戴好劳保用品，项目将处理后的铝液，缓慢流入铸轧机内，经铸轧机铸轧成铝板卷，铝板厚度约为6~10mm。铸轧机采用水间接冷却，用燃烧的液化石油气进行外部烘烤润滑，铸轧时间约为8h。</w:t>
      </w:r>
    </w:p>
    <w:p>
      <w:pPr>
        <w:pStyle w:val="7"/>
        <w:numPr>
          <w:ilvl w:val="0"/>
          <w:numId w:val="6"/>
        </w:numPr>
        <w:ind w:firstLine="482"/>
        <w:rPr>
          <w:b/>
          <w:bCs/>
        </w:rPr>
      </w:pPr>
      <w:r>
        <w:rPr>
          <w:rFonts w:hint="eastAsia"/>
          <w:b/>
          <w:bCs/>
        </w:rPr>
        <w:t>检验包装</w:t>
      </w:r>
    </w:p>
    <w:p>
      <w:pPr>
        <w:pStyle w:val="7"/>
        <w:ind w:firstLine="480"/>
      </w:pPr>
      <w:r>
        <w:rPr>
          <w:rFonts w:hint="eastAsia"/>
        </w:rPr>
        <w:t>经过检验合格的铝板，包装入库待售。</w:t>
      </w:r>
    </w:p>
    <w:p>
      <w:pPr>
        <w:pStyle w:val="7"/>
        <w:ind w:left="480" w:firstLine="0" w:firstLineChars="0"/>
        <w:rPr>
          <w:b/>
          <w:bCs/>
        </w:rPr>
      </w:pPr>
      <w:r>
        <w:rPr>
          <w:rFonts w:hint="eastAsia"/>
          <w:b/>
          <w:bCs/>
        </w:rPr>
        <w:t>6、铝灰分离</w:t>
      </w:r>
    </w:p>
    <w:p>
      <w:pPr>
        <w:pStyle w:val="7"/>
        <w:ind w:firstLine="480"/>
        <w:rPr>
          <w:rFonts w:hint="eastAsia"/>
        </w:rPr>
      </w:pPr>
      <w:r>
        <w:rPr>
          <w:rStyle w:val="53"/>
          <w:rFonts w:hint="eastAsia"/>
          <w:lang w:val="en-US" w:eastAsia="zh-CN"/>
        </w:rPr>
        <w:t>二期工程</w:t>
      </w:r>
      <w:r>
        <w:rPr>
          <w:rStyle w:val="53"/>
          <w:rFonts w:hint="eastAsia"/>
        </w:rPr>
        <w:t>铝灰分离</w:t>
      </w:r>
      <w:r>
        <w:rPr>
          <w:rStyle w:val="53"/>
          <w:rFonts w:hint="eastAsia"/>
          <w:lang w:val="en-US" w:eastAsia="zh-CN"/>
        </w:rPr>
        <w:t>车间</w:t>
      </w:r>
      <w:r>
        <w:rPr>
          <w:rStyle w:val="53"/>
          <w:rFonts w:hint="eastAsia"/>
        </w:rPr>
        <w:t>设置</w:t>
      </w:r>
      <w:r>
        <w:rPr>
          <w:rFonts w:hint="eastAsia"/>
          <w:lang w:val="en-US" w:eastAsia="zh-CN"/>
        </w:rPr>
        <w:t>2</w:t>
      </w:r>
      <w:r>
        <w:rPr>
          <w:rFonts w:hint="eastAsia"/>
        </w:rPr>
        <w:t>套</w:t>
      </w:r>
      <w:r>
        <w:rPr>
          <w:rFonts w:hint="eastAsia"/>
          <w:lang w:val="en-US" w:eastAsia="zh-CN"/>
        </w:rPr>
        <w:t>铝灰分离</w:t>
      </w:r>
      <w:r>
        <w:rPr>
          <w:rFonts w:hint="eastAsia"/>
        </w:rPr>
        <w:t>一体化设备，包括炒灰、冷灰、破碎、筛分及布袋除尘系统。</w:t>
      </w:r>
      <w:r>
        <w:rPr>
          <w:rFonts w:hint="eastAsia"/>
          <w:lang w:val="en-US" w:eastAsia="zh-CN"/>
        </w:rPr>
        <w:t>铝灰分离工艺流程</w:t>
      </w:r>
      <w:r>
        <w:rPr>
          <w:rFonts w:hint="eastAsia"/>
        </w:rPr>
        <w:t>见图</w:t>
      </w:r>
      <w:r>
        <w:rPr>
          <w:rFonts w:hint="eastAsia"/>
          <w:lang w:val="en-US" w:eastAsia="zh-CN"/>
        </w:rPr>
        <w:t>4.2-4</w:t>
      </w:r>
      <w:r>
        <w:rPr>
          <w:rFonts w:hint="eastAsia"/>
        </w:rPr>
        <w:t>。</w:t>
      </w:r>
    </w:p>
    <w:p>
      <w:pPr>
        <w:pStyle w:val="44"/>
        <w:bidi w:val="0"/>
        <w:jc w:val="center"/>
        <w:rPr>
          <w:rFonts w:hint="eastAsia" w:eastAsia="宋体"/>
          <w:lang w:eastAsia="zh-CN"/>
        </w:rPr>
      </w:pPr>
      <w:r>
        <w:rPr>
          <w:rFonts w:hint="eastAsia" w:eastAsia="宋体"/>
          <w:lang w:eastAsia="zh-CN"/>
        </w:rPr>
        <w:object>
          <v:shape id="_x0000_i1030" o:spt="75" type="#_x0000_t75" style="height:172.1pt;width:393.3pt;" o:ole="t" filled="f" o:preferrelative="t" stroked="f" coordsize="21600,21600">
            <v:path/>
            <v:fill on="f" focussize="0,0"/>
            <v:stroke on="f"/>
            <v:imagedata r:id="rId28" cropleft="8736f" croptop="1812f" cropright="6177f" cropbottom="48048f" o:title=""/>
            <o:lock v:ext="edit" aspectratio="t"/>
            <w10:wrap type="none"/>
            <w10:anchorlock/>
          </v:shape>
          <o:OLEObject Type="Embed" ProgID="Visio.Drawing.15" ShapeID="_x0000_i1030" DrawAspect="Content" ObjectID="_1468075730" r:id="rId27">
            <o:LockedField>false</o:LockedField>
          </o:OLEObject>
        </w:object>
      </w:r>
    </w:p>
    <w:p>
      <w:pPr>
        <w:pStyle w:val="44"/>
        <w:bidi w:val="0"/>
        <w:rPr>
          <w:rFonts w:hint="eastAsia"/>
        </w:rPr>
      </w:pPr>
      <w:r>
        <w:rPr>
          <w:rFonts w:hint="eastAsia"/>
        </w:rPr>
        <w:t>图</w:t>
      </w:r>
      <w:r>
        <w:rPr>
          <w:rFonts w:hint="eastAsia"/>
          <w:lang w:val="en-US" w:eastAsia="zh-CN"/>
        </w:rPr>
        <w:t>4.2-4</w:t>
      </w:r>
      <w:r>
        <w:rPr>
          <w:rFonts w:hint="eastAsia"/>
        </w:rPr>
        <w:t xml:space="preserve"> </w:t>
      </w:r>
      <w:r>
        <w:rPr>
          <w:rFonts w:hint="eastAsia"/>
          <w:lang w:val="en-US" w:eastAsia="zh-CN"/>
        </w:rPr>
        <w:t xml:space="preserve"> 铝灰分离</w:t>
      </w:r>
      <w:r>
        <w:rPr>
          <w:rFonts w:hint="eastAsia"/>
        </w:rPr>
        <w:t>工艺流程图</w:t>
      </w:r>
    </w:p>
    <w:p>
      <w:pPr>
        <w:pStyle w:val="7"/>
        <w:ind w:firstLine="480"/>
        <w:rPr>
          <w:rFonts w:hint="eastAsia"/>
        </w:rPr>
      </w:pPr>
      <w:r>
        <w:rPr>
          <w:rFonts w:hint="eastAsia"/>
        </w:rPr>
        <w:t>首先将熔铝炉扒渣过程产生的热铝熔渣不落地由灰车送往炒灰间加入炒灰机，炒灰机利用铝渣自燃原理产生的热能进行运转，利用机内可调节高度的搅拌装置，经过由高至低搅拌，夹杂的铝渣逐渐沉向灰锅底部溶解成液体，灰锅变了熔池，灰则浮在熔池上部</w:t>
      </w:r>
      <w:r>
        <w:rPr>
          <w:rFonts w:hint="eastAsia"/>
          <w:lang w:eastAsia="zh-CN"/>
        </w:rPr>
        <w:t>。</w:t>
      </w:r>
      <w:r>
        <w:rPr>
          <w:rFonts w:hint="eastAsia"/>
        </w:rPr>
        <w:t>在搅拌的作用下，灰从灰锅上部的排灰口排出，进入后续冷灰桶冷却；铝液在灰锅底部的放液口排出注入下部铝液包内，直接回炉或冷却为铝块后送熔化工序回炉做冷却剂，重熔利用。主要工作原理为：根据固相物体与液相物体的物理性质不同，比重不同而</w:t>
      </w:r>
      <w:r>
        <w:rPr>
          <w:rFonts w:hint="eastAsia"/>
          <w:lang w:val="en-US" w:eastAsia="zh-CN"/>
        </w:rPr>
        <w:t>使铝灰</w:t>
      </w:r>
      <w:r>
        <w:rPr>
          <w:rFonts w:hint="eastAsia"/>
        </w:rPr>
        <w:t>分离开。</w:t>
      </w:r>
    </w:p>
    <w:p>
      <w:pPr>
        <w:pStyle w:val="7"/>
        <w:ind w:firstLine="480"/>
        <w:rPr>
          <w:rFonts w:hint="eastAsia"/>
        </w:rPr>
      </w:pPr>
      <w:r>
        <w:rPr>
          <w:rFonts w:hint="eastAsia"/>
        </w:rPr>
        <w:t>由炒灰机分离出来的铝灰导入冷灰机，降温后的铝灰渣经破碎机破碎后进入全密封的筛灰机，分离出的铝灰与铝粒则由筛灰机底部不同的排口进入各自的包装袋</w:t>
      </w:r>
      <w:r>
        <w:rPr>
          <w:rFonts w:hint="eastAsia"/>
          <w:lang w:eastAsia="zh-CN"/>
        </w:rPr>
        <w:t>。</w:t>
      </w:r>
      <w:r>
        <w:rPr>
          <w:rFonts w:hint="eastAsia"/>
        </w:rPr>
        <w:t>铝粒返回熔铝炉使用，铝灰属于危险废物，袋装后进入危废暂存间定期交有资质单位处置。</w:t>
      </w:r>
    </w:p>
    <w:p>
      <w:pPr>
        <w:pStyle w:val="7"/>
        <w:ind w:firstLine="480"/>
        <w:rPr>
          <w:rFonts w:hint="eastAsia"/>
          <w:color w:val="auto"/>
        </w:rPr>
      </w:pPr>
      <w:r>
        <w:rPr>
          <w:rFonts w:hint="eastAsia"/>
          <w:color w:val="auto"/>
          <w:lang w:val="en-US" w:eastAsia="zh-CN"/>
        </w:rPr>
        <w:t>铝灰分离车间</w:t>
      </w:r>
      <w:r>
        <w:rPr>
          <w:rFonts w:hint="eastAsia"/>
          <w:color w:val="auto"/>
        </w:rPr>
        <w:t>的炒灰、冷却、破碎、筛分工序设备间实现了全封闭对接，为一体化设备。炒灰机设置落地式集气罩，对炒灰机加料及炒灰粉尘进行收集，进入布袋除尘系统处理，净化后达标排放。</w:t>
      </w:r>
    </w:p>
    <w:p>
      <w:pPr>
        <w:pStyle w:val="7"/>
        <w:ind w:firstLine="480"/>
        <w:rPr>
          <w:rFonts w:hint="eastAsia"/>
          <w:color w:val="auto"/>
        </w:rPr>
      </w:pPr>
      <w:r>
        <w:rPr>
          <w:rFonts w:hint="eastAsia"/>
          <w:color w:val="auto"/>
        </w:rPr>
        <w:t>冷灰机、破碎机、筛灰机为全封闭设备，负压集气，炒灰、冷却、筛分过程产生烟粉尘收集后全部进入布袋除尘系统，净化后达标排放。</w:t>
      </w:r>
    </w:p>
    <w:p>
      <w:pPr>
        <w:pStyle w:val="7"/>
        <w:ind w:firstLine="480"/>
        <w:rPr>
          <w:rFonts w:hint="eastAsia"/>
          <w:color w:val="auto"/>
          <w:lang w:val="en-US" w:eastAsia="zh-CN"/>
        </w:rPr>
      </w:pPr>
      <w:r>
        <w:rPr>
          <w:rFonts w:hint="eastAsia"/>
          <w:color w:val="auto"/>
        </w:rPr>
        <w:t>筛灰机筛出的铝灰在装袋时尽量密闭，编制袋套住出灰口时需完全封闭，然后静置片刻待后再取下编织袋进行封口，尽量减少装袋时的粉尘逸散。</w:t>
      </w:r>
    </w:p>
    <w:p>
      <w:pPr>
        <w:pStyle w:val="41"/>
      </w:pPr>
      <w:r>
        <w:t>表</w:t>
      </w:r>
      <w:r>
        <w:rPr>
          <w:rFonts w:hint="eastAsia"/>
        </w:rPr>
        <w:t>4.2-1</w:t>
      </w:r>
      <w:r>
        <w:t xml:space="preserve">  项目产污环节一览表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18"/>
        <w:gridCol w:w="1678"/>
        <w:gridCol w:w="1339"/>
        <w:gridCol w:w="1078"/>
        <w:gridCol w:w="3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shd w:val="clear" w:color="auto" w:fill="auto"/>
            <w:vAlign w:val="center"/>
          </w:tcPr>
          <w:p>
            <w:pPr>
              <w:pStyle w:val="33"/>
            </w:pPr>
            <w:r>
              <w:t>项目</w:t>
            </w:r>
          </w:p>
        </w:tc>
        <w:tc>
          <w:tcPr>
            <w:tcW w:w="421" w:type="pct"/>
            <w:shd w:val="clear" w:color="auto" w:fill="auto"/>
            <w:vAlign w:val="center"/>
          </w:tcPr>
          <w:p>
            <w:pPr>
              <w:pStyle w:val="33"/>
            </w:pPr>
            <w:r>
              <w:t>序号</w:t>
            </w:r>
          </w:p>
        </w:tc>
        <w:tc>
          <w:tcPr>
            <w:tcW w:w="985" w:type="pct"/>
            <w:shd w:val="clear" w:color="auto" w:fill="auto"/>
            <w:vAlign w:val="center"/>
          </w:tcPr>
          <w:p>
            <w:pPr>
              <w:pStyle w:val="33"/>
            </w:pPr>
            <w:r>
              <w:t>产生点</w:t>
            </w:r>
          </w:p>
        </w:tc>
        <w:tc>
          <w:tcPr>
            <w:tcW w:w="786" w:type="pct"/>
            <w:shd w:val="clear" w:color="auto" w:fill="auto"/>
            <w:vAlign w:val="center"/>
          </w:tcPr>
          <w:p>
            <w:pPr>
              <w:pStyle w:val="33"/>
            </w:pPr>
            <w:r>
              <w:t>主要污染</w:t>
            </w:r>
          </w:p>
          <w:p>
            <w:pPr>
              <w:pStyle w:val="33"/>
            </w:pPr>
            <w:r>
              <w:t>因子</w:t>
            </w:r>
          </w:p>
        </w:tc>
        <w:tc>
          <w:tcPr>
            <w:tcW w:w="633" w:type="pct"/>
            <w:shd w:val="clear" w:color="auto" w:fill="auto"/>
            <w:vAlign w:val="center"/>
          </w:tcPr>
          <w:p>
            <w:pPr>
              <w:pStyle w:val="33"/>
            </w:pPr>
            <w:r>
              <w:t>排放规律</w:t>
            </w:r>
          </w:p>
        </w:tc>
        <w:tc>
          <w:tcPr>
            <w:tcW w:w="1923" w:type="pct"/>
            <w:shd w:val="clear" w:color="auto" w:fill="auto"/>
            <w:vAlign w:val="center"/>
          </w:tcPr>
          <w:p>
            <w:pPr>
              <w:pStyle w:val="33"/>
            </w:pPr>
            <w:r>
              <w:t>处理措施及排放去向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6"/>
            <w:shd w:val="clear" w:color="auto" w:fill="auto"/>
            <w:vAlign w:val="center"/>
          </w:tcPr>
          <w:p>
            <w:pPr>
              <w:pStyle w:val="33"/>
            </w:pPr>
            <w:r>
              <w:rPr>
                <w:rFonts w:hint="eastAsia"/>
                <w:b/>
                <w:bCs/>
              </w:rPr>
              <w:t>一期工程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restart"/>
            <w:shd w:val="clear" w:color="auto" w:fill="auto"/>
            <w:vAlign w:val="center"/>
          </w:tcPr>
          <w:p>
            <w:pPr>
              <w:pStyle w:val="33"/>
            </w:pPr>
            <w:r>
              <w:t>废气</w:t>
            </w:r>
          </w:p>
        </w:tc>
        <w:tc>
          <w:tcPr>
            <w:tcW w:w="421" w:type="pct"/>
            <w:shd w:val="clear" w:color="auto" w:fill="auto"/>
            <w:vAlign w:val="center"/>
          </w:tcPr>
          <w:p>
            <w:pPr>
              <w:pStyle w:val="33"/>
            </w:pPr>
            <w:r>
              <w:t>G1</w:t>
            </w:r>
            <w:r>
              <w:rPr>
                <w:rFonts w:hint="eastAsia"/>
              </w:rPr>
              <w:t>-1</w:t>
            </w:r>
          </w:p>
        </w:tc>
        <w:tc>
          <w:tcPr>
            <w:tcW w:w="985" w:type="pct"/>
            <w:shd w:val="clear" w:color="auto" w:fill="auto"/>
            <w:vAlign w:val="center"/>
          </w:tcPr>
          <w:p>
            <w:pPr>
              <w:pStyle w:val="33"/>
            </w:pPr>
            <w:r>
              <w:rPr>
                <w:rFonts w:hint="eastAsia"/>
              </w:rPr>
              <w:t>熔炼</w:t>
            </w:r>
            <w:r>
              <w:t>炉、保温炉</w:t>
            </w:r>
            <w:r>
              <w:rPr>
                <w:rFonts w:hint="eastAsia"/>
              </w:rPr>
              <w:t>产生的燃烧废气</w:t>
            </w:r>
          </w:p>
        </w:tc>
        <w:tc>
          <w:tcPr>
            <w:tcW w:w="786" w:type="pct"/>
            <w:shd w:val="clear" w:color="auto" w:fill="auto"/>
            <w:vAlign w:val="center"/>
          </w:tcPr>
          <w:p>
            <w:pPr>
              <w:pStyle w:val="33"/>
            </w:pPr>
            <w:r>
              <w:t>颗粒物、SO</w:t>
            </w:r>
            <w:r>
              <w:rPr>
                <w:vertAlign w:val="subscript"/>
              </w:rPr>
              <w:t>2</w:t>
            </w:r>
            <w:r>
              <w:t>、NO</w:t>
            </w:r>
            <w:r>
              <w:rPr>
                <w:vertAlign w:val="subscript"/>
              </w:rPr>
              <w:t>x</w:t>
            </w:r>
          </w:p>
        </w:tc>
        <w:tc>
          <w:tcPr>
            <w:tcW w:w="633" w:type="pct"/>
            <w:shd w:val="clear" w:color="auto" w:fill="auto"/>
            <w:vAlign w:val="center"/>
          </w:tcPr>
          <w:p>
            <w:pPr>
              <w:pStyle w:val="33"/>
            </w:pPr>
            <w:r>
              <w:t>有组织，连续</w:t>
            </w:r>
            <w:r>
              <w:rPr>
                <w:rFonts w:hint="eastAsia"/>
              </w:rPr>
              <w:t>性</w:t>
            </w:r>
          </w:p>
        </w:tc>
        <w:tc>
          <w:tcPr>
            <w:tcW w:w="1923" w:type="pct"/>
            <w:shd w:val="clear" w:color="auto" w:fill="auto"/>
            <w:vAlign w:val="center"/>
          </w:tcPr>
          <w:p>
            <w:pPr>
              <w:pStyle w:val="33"/>
            </w:pPr>
            <w:r>
              <w:t>经</w:t>
            </w:r>
            <w:bookmarkStart w:id="77" w:name="_Hlk42495376"/>
            <w:r>
              <w:rPr>
                <w:rFonts w:hint="eastAsia"/>
              </w:rPr>
              <w:t>石灰粉</w:t>
            </w:r>
            <w:bookmarkEnd w:id="77"/>
            <w:r>
              <w:t>+布袋除尘器处理后通过高30m排气筒</w:t>
            </w:r>
            <w:r>
              <w:rPr>
                <w:rFonts w:hint="eastAsia"/>
              </w:rPr>
              <w:t>（P1-1）</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G</w:t>
            </w:r>
            <w:r>
              <w:rPr>
                <w:rFonts w:hint="eastAsia"/>
              </w:rPr>
              <w:t>1-2</w:t>
            </w:r>
          </w:p>
        </w:tc>
        <w:tc>
          <w:tcPr>
            <w:tcW w:w="985" w:type="pct"/>
            <w:shd w:val="clear" w:color="auto" w:fill="auto"/>
            <w:vAlign w:val="center"/>
          </w:tcPr>
          <w:p>
            <w:pPr>
              <w:pStyle w:val="33"/>
            </w:pPr>
            <w:r>
              <w:rPr>
                <w:rFonts w:hint="eastAsia"/>
              </w:rPr>
              <w:t>精炼废气</w:t>
            </w:r>
          </w:p>
        </w:tc>
        <w:tc>
          <w:tcPr>
            <w:tcW w:w="786" w:type="pct"/>
            <w:shd w:val="clear" w:color="auto" w:fill="auto"/>
            <w:vAlign w:val="center"/>
          </w:tcPr>
          <w:p>
            <w:pPr>
              <w:pStyle w:val="33"/>
            </w:pPr>
            <w:r>
              <w:t>颗粒物、</w:t>
            </w:r>
            <w:r>
              <w:rPr>
                <w:rFonts w:hint="eastAsia"/>
              </w:rPr>
              <w:t>氟化物、氯气、氯化氢</w:t>
            </w:r>
          </w:p>
        </w:tc>
        <w:tc>
          <w:tcPr>
            <w:tcW w:w="633" w:type="pct"/>
            <w:shd w:val="clear" w:color="auto" w:fill="auto"/>
            <w:vAlign w:val="center"/>
          </w:tcPr>
          <w:p>
            <w:pPr>
              <w:pStyle w:val="33"/>
            </w:pPr>
            <w:r>
              <w:t>有组织，连续</w:t>
            </w:r>
            <w:r>
              <w:rPr>
                <w:rFonts w:hint="eastAsia"/>
              </w:rPr>
              <w:t>性</w:t>
            </w:r>
          </w:p>
        </w:tc>
        <w:tc>
          <w:tcPr>
            <w:tcW w:w="1923" w:type="pct"/>
            <w:shd w:val="clear" w:color="auto" w:fill="auto"/>
            <w:vAlign w:val="center"/>
          </w:tcPr>
          <w:p>
            <w:pPr>
              <w:pStyle w:val="33"/>
            </w:pPr>
            <w:r>
              <w:t>经</w:t>
            </w:r>
            <w:r>
              <w:rPr>
                <w:rFonts w:hint="eastAsia"/>
              </w:rPr>
              <w:t>石灰粉</w:t>
            </w:r>
            <w:r>
              <w:t>+布袋除尘器处理后通过高30m排气筒</w:t>
            </w:r>
            <w:r>
              <w:rPr>
                <w:rFonts w:hint="eastAsia"/>
              </w:rPr>
              <w:t>（P1-1）</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G</w:t>
            </w:r>
            <w:r>
              <w:rPr>
                <w:rFonts w:hint="eastAsia"/>
              </w:rPr>
              <w:t>1-3</w:t>
            </w:r>
          </w:p>
        </w:tc>
        <w:tc>
          <w:tcPr>
            <w:tcW w:w="985" w:type="pct"/>
            <w:shd w:val="clear" w:color="auto" w:fill="auto"/>
            <w:vAlign w:val="center"/>
          </w:tcPr>
          <w:p>
            <w:pPr>
              <w:pStyle w:val="33"/>
            </w:pPr>
            <w:r>
              <w:rPr>
                <w:rFonts w:hint="eastAsia"/>
              </w:rPr>
              <w:t>扒渣废气</w:t>
            </w:r>
          </w:p>
        </w:tc>
        <w:tc>
          <w:tcPr>
            <w:tcW w:w="786" w:type="pct"/>
            <w:shd w:val="clear" w:color="auto" w:fill="auto"/>
            <w:vAlign w:val="center"/>
          </w:tcPr>
          <w:p>
            <w:pPr>
              <w:pStyle w:val="33"/>
            </w:pPr>
            <w:r>
              <w:t>颗粒物</w:t>
            </w:r>
          </w:p>
        </w:tc>
        <w:tc>
          <w:tcPr>
            <w:tcW w:w="633" w:type="pct"/>
            <w:shd w:val="clear" w:color="auto" w:fill="auto"/>
            <w:vAlign w:val="center"/>
          </w:tcPr>
          <w:p>
            <w:pPr>
              <w:pStyle w:val="33"/>
            </w:pPr>
            <w:r>
              <w:t>有组织，</w:t>
            </w:r>
            <w:r>
              <w:rPr>
                <w:rFonts w:hint="eastAsia"/>
              </w:rPr>
              <w:t>间歇性</w:t>
            </w:r>
          </w:p>
        </w:tc>
        <w:tc>
          <w:tcPr>
            <w:tcW w:w="1923" w:type="pct"/>
            <w:shd w:val="clear" w:color="auto" w:fill="auto"/>
            <w:vAlign w:val="center"/>
          </w:tcPr>
          <w:p>
            <w:pPr>
              <w:pStyle w:val="33"/>
            </w:pPr>
            <w:r>
              <w:t>经</w:t>
            </w:r>
            <w:r>
              <w:rPr>
                <w:rFonts w:hint="eastAsia"/>
              </w:rPr>
              <w:t>石灰粉</w:t>
            </w:r>
            <w:r>
              <w:t>+布袋除尘器处理后通过高30m排气筒</w:t>
            </w:r>
            <w:r>
              <w:rPr>
                <w:rFonts w:hint="eastAsia"/>
              </w:rPr>
              <w:t>（P1-1）</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vMerge w:val="restart"/>
            <w:shd w:val="clear" w:color="auto" w:fill="auto"/>
            <w:vAlign w:val="center"/>
          </w:tcPr>
          <w:p>
            <w:pPr>
              <w:pStyle w:val="33"/>
            </w:pPr>
            <w:r>
              <w:t>G</w:t>
            </w:r>
            <w:r>
              <w:rPr>
                <w:rFonts w:hint="eastAsia"/>
              </w:rPr>
              <w:t>1-4</w:t>
            </w:r>
          </w:p>
        </w:tc>
        <w:tc>
          <w:tcPr>
            <w:tcW w:w="985" w:type="pct"/>
            <w:vMerge w:val="restart"/>
            <w:shd w:val="clear" w:color="auto" w:fill="auto"/>
            <w:vAlign w:val="center"/>
          </w:tcPr>
          <w:p>
            <w:pPr>
              <w:pStyle w:val="33"/>
            </w:pPr>
            <w:r>
              <w:t>铝灰分离</w:t>
            </w:r>
            <w:r>
              <w:rPr>
                <w:rFonts w:hint="eastAsia"/>
              </w:rPr>
              <w:t>废气</w:t>
            </w:r>
          </w:p>
        </w:tc>
        <w:tc>
          <w:tcPr>
            <w:tcW w:w="786" w:type="pct"/>
            <w:vMerge w:val="restart"/>
            <w:shd w:val="clear" w:color="auto" w:fill="auto"/>
            <w:vAlign w:val="center"/>
          </w:tcPr>
          <w:p>
            <w:pPr>
              <w:pStyle w:val="33"/>
            </w:pPr>
            <w:r>
              <w:t>颗粒物</w:t>
            </w:r>
          </w:p>
        </w:tc>
        <w:tc>
          <w:tcPr>
            <w:tcW w:w="633" w:type="pct"/>
            <w:shd w:val="clear" w:color="auto" w:fill="auto"/>
            <w:vAlign w:val="center"/>
          </w:tcPr>
          <w:p>
            <w:pPr>
              <w:pStyle w:val="33"/>
            </w:pPr>
            <w:r>
              <w:t>有组织，连续</w:t>
            </w:r>
            <w:r>
              <w:rPr>
                <w:rFonts w:hint="eastAsia"/>
              </w:rPr>
              <w:t>性</w:t>
            </w:r>
          </w:p>
        </w:tc>
        <w:tc>
          <w:tcPr>
            <w:tcW w:w="1923" w:type="pct"/>
            <w:shd w:val="clear" w:color="auto" w:fill="auto"/>
            <w:vAlign w:val="center"/>
          </w:tcPr>
          <w:p>
            <w:pPr>
              <w:pStyle w:val="33"/>
            </w:pPr>
            <w:r>
              <w:t>经集气罩+布袋除尘器处理后通过高20m排气筒</w:t>
            </w:r>
            <w:r>
              <w:rPr>
                <w:rFonts w:hint="eastAsia"/>
              </w:rPr>
              <w:t>（P1-2）</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vMerge w:val="continue"/>
            <w:shd w:val="clear" w:color="auto" w:fill="auto"/>
            <w:vAlign w:val="center"/>
          </w:tcPr>
          <w:p>
            <w:pPr>
              <w:pStyle w:val="33"/>
            </w:pPr>
          </w:p>
        </w:tc>
        <w:tc>
          <w:tcPr>
            <w:tcW w:w="985" w:type="pct"/>
            <w:vMerge w:val="continue"/>
            <w:shd w:val="clear" w:color="auto" w:fill="auto"/>
            <w:vAlign w:val="center"/>
          </w:tcPr>
          <w:p>
            <w:pPr>
              <w:pStyle w:val="33"/>
            </w:pPr>
          </w:p>
        </w:tc>
        <w:tc>
          <w:tcPr>
            <w:tcW w:w="786" w:type="pct"/>
            <w:vMerge w:val="continue"/>
            <w:shd w:val="clear" w:color="auto" w:fill="auto"/>
            <w:vAlign w:val="center"/>
          </w:tcPr>
          <w:p>
            <w:pPr>
              <w:pStyle w:val="33"/>
            </w:pPr>
          </w:p>
        </w:tc>
        <w:tc>
          <w:tcPr>
            <w:tcW w:w="633" w:type="pct"/>
            <w:shd w:val="clear" w:color="auto" w:fill="auto"/>
            <w:vAlign w:val="center"/>
          </w:tcPr>
          <w:p>
            <w:pPr>
              <w:pStyle w:val="33"/>
            </w:pPr>
            <w:r>
              <w:t>无组织，间断</w:t>
            </w:r>
          </w:p>
        </w:tc>
        <w:tc>
          <w:tcPr>
            <w:tcW w:w="1923" w:type="pct"/>
            <w:shd w:val="clear" w:color="auto" w:fill="auto"/>
            <w:vAlign w:val="center"/>
          </w:tcPr>
          <w:p>
            <w:pPr>
              <w:pStyle w:val="33"/>
            </w:pPr>
            <w: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G</w:t>
            </w:r>
            <w:r>
              <w:rPr>
                <w:rFonts w:hint="eastAsia"/>
              </w:rPr>
              <w:t>1-5</w:t>
            </w:r>
          </w:p>
        </w:tc>
        <w:tc>
          <w:tcPr>
            <w:tcW w:w="985" w:type="pct"/>
            <w:shd w:val="clear" w:color="auto" w:fill="auto"/>
            <w:vAlign w:val="center"/>
          </w:tcPr>
          <w:p>
            <w:pPr>
              <w:pStyle w:val="33"/>
            </w:pPr>
            <w:r>
              <w:t>均质炉</w:t>
            </w:r>
            <w:r>
              <w:rPr>
                <w:rFonts w:hint="eastAsia"/>
              </w:rPr>
              <w:t>燃烧废气</w:t>
            </w:r>
          </w:p>
        </w:tc>
        <w:tc>
          <w:tcPr>
            <w:tcW w:w="786" w:type="pct"/>
            <w:shd w:val="clear" w:color="auto" w:fill="auto"/>
            <w:vAlign w:val="center"/>
          </w:tcPr>
          <w:p>
            <w:pPr>
              <w:pStyle w:val="33"/>
            </w:pPr>
            <w:r>
              <w:t>颗粒物、SO</w:t>
            </w:r>
            <w:r>
              <w:rPr>
                <w:vertAlign w:val="subscript"/>
              </w:rPr>
              <w:t>2</w:t>
            </w:r>
            <w:r>
              <w:t>、NOx</w:t>
            </w:r>
          </w:p>
        </w:tc>
        <w:tc>
          <w:tcPr>
            <w:tcW w:w="633" w:type="pct"/>
            <w:shd w:val="clear" w:color="auto" w:fill="auto"/>
            <w:vAlign w:val="center"/>
          </w:tcPr>
          <w:p>
            <w:pPr>
              <w:pStyle w:val="33"/>
            </w:pPr>
            <w:r>
              <w:t>有组织，连续</w:t>
            </w:r>
          </w:p>
        </w:tc>
        <w:tc>
          <w:tcPr>
            <w:tcW w:w="1923" w:type="pct"/>
            <w:shd w:val="clear" w:color="auto" w:fill="auto"/>
            <w:vAlign w:val="center"/>
          </w:tcPr>
          <w:p>
            <w:pPr>
              <w:pStyle w:val="33"/>
            </w:pPr>
            <w:r>
              <w:t>废气经收集后通过</w:t>
            </w:r>
            <w:r>
              <w:rPr>
                <w:rFonts w:hint="eastAsia"/>
              </w:rPr>
              <w:t>25</w:t>
            </w:r>
            <w:r>
              <w:t>m高排气筒</w:t>
            </w:r>
            <w:r>
              <w:rPr>
                <w:rFonts w:hint="eastAsia"/>
              </w:rPr>
              <w:t>（P1-3、P1-4、P1-5）</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restart"/>
            <w:shd w:val="clear" w:color="auto" w:fill="auto"/>
            <w:vAlign w:val="center"/>
          </w:tcPr>
          <w:p>
            <w:pPr>
              <w:pStyle w:val="33"/>
            </w:pPr>
            <w:r>
              <w:t>废水</w:t>
            </w:r>
          </w:p>
        </w:tc>
        <w:tc>
          <w:tcPr>
            <w:tcW w:w="421" w:type="pct"/>
            <w:shd w:val="clear" w:color="auto" w:fill="auto"/>
            <w:vAlign w:val="center"/>
          </w:tcPr>
          <w:p>
            <w:pPr>
              <w:pStyle w:val="33"/>
            </w:pPr>
            <w:r>
              <w:rPr>
                <w:rFonts w:hint="eastAsia"/>
              </w:rPr>
              <w:t>W1-1</w:t>
            </w:r>
          </w:p>
        </w:tc>
        <w:tc>
          <w:tcPr>
            <w:tcW w:w="985" w:type="pct"/>
            <w:shd w:val="clear" w:color="auto" w:fill="auto"/>
            <w:vAlign w:val="center"/>
          </w:tcPr>
          <w:p>
            <w:pPr>
              <w:pStyle w:val="33"/>
            </w:pPr>
            <w:r>
              <w:rPr>
                <w:rFonts w:hint="eastAsia"/>
              </w:rPr>
              <w:t>圆铸锭冷却循环系统定期排水</w:t>
            </w:r>
          </w:p>
        </w:tc>
        <w:tc>
          <w:tcPr>
            <w:tcW w:w="786" w:type="pct"/>
            <w:shd w:val="clear" w:color="auto" w:fill="auto"/>
            <w:vAlign w:val="center"/>
          </w:tcPr>
          <w:p>
            <w:pPr>
              <w:pStyle w:val="33"/>
            </w:pPr>
            <w:r>
              <w:rPr>
                <w:rFonts w:hint="eastAsia"/>
              </w:rPr>
              <w:t>悬浮物</w:t>
            </w:r>
          </w:p>
        </w:tc>
        <w:tc>
          <w:tcPr>
            <w:tcW w:w="633" w:type="pct"/>
            <w:shd w:val="clear" w:color="auto" w:fill="auto"/>
            <w:vAlign w:val="center"/>
          </w:tcPr>
          <w:p>
            <w:pPr>
              <w:pStyle w:val="33"/>
            </w:pPr>
            <w:r>
              <w:t>间断</w:t>
            </w:r>
          </w:p>
        </w:tc>
        <w:tc>
          <w:tcPr>
            <w:tcW w:w="1923" w:type="pct"/>
            <w:shd w:val="clear" w:color="auto" w:fill="auto"/>
            <w:vAlign w:val="center"/>
          </w:tcPr>
          <w:p>
            <w:pPr>
              <w:pStyle w:val="33"/>
              <w:rPr>
                <w:highlight w:val="yellow"/>
              </w:rPr>
            </w:pPr>
            <w:r>
              <w:rPr>
                <w:rFonts w:hint="eastAsia"/>
              </w:rPr>
              <w:t>收集后通过污水管网进入砚山县第一污水处理厂处理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rPr>
                <w:rFonts w:hint="eastAsia"/>
              </w:rPr>
              <w:t>W1-2</w:t>
            </w:r>
          </w:p>
        </w:tc>
        <w:tc>
          <w:tcPr>
            <w:tcW w:w="985" w:type="pct"/>
            <w:shd w:val="clear" w:color="auto" w:fill="auto"/>
            <w:vAlign w:val="center"/>
          </w:tcPr>
          <w:p>
            <w:pPr>
              <w:pStyle w:val="33"/>
            </w:pPr>
            <w:r>
              <w:rPr>
                <w:rFonts w:hint="eastAsia"/>
              </w:rPr>
              <w:t>板锭冷却循环系统定期排水</w:t>
            </w:r>
          </w:p>
        </w:tc>
        <w:tc>
          <w:tcPr>
            <w:tcW w:w="786" w:type="pct"/>
            <w:shd w:val="clear" w:color="auto" w:fill="auto"/>
            <w:vAlign w:val="center"/>
          </w:tcPr>
          <w:p>
            <w:pPr>
              <w:pStyle w:val="33"/>
            </w:pPr>
            <w:r>
              <w:rPr>
                <w:rFonts w:hint="eastAsia"/>
              </w:rPr>
              <w:t>悬浮物、石油类</w:t>
            </w:r>
          </w:p>
        </w:tc>
        <w:tc>
          <w:tcPr>
            <w:tcW w:w="633" w:type="pct"/>
            <w:shd w:val="clear" w:color="auto" w:fill="auto"/>
            <w:vAlign w:val="center"/>
          </w:tcPr>
          <w:p>
            <w:pPr>
              <w:pStyle w:val="33"/>
            </w:pPr>
            <w:r>
              <w:t>间断</w:t>
            </w:r>
          </w:p>
        </w:tc>
        <w:tc>
          <w:tcPr>
            <w:tcW w:w="1923" w:type="pct"/>
            <w:shd w:val="clear" w:color="auto" w:fill="auto"/>
            <w:vAlign w:val="center"/>
          </w:tcPr>
          <w:p>
            <w:pPr>
              <w:pStyle w:val="33"/>
              <w:rPr>
                <w:highlight w:val="yellow"/>
              </w:rPr>
            </w:pPr>
            <w:r>
              <w:t>经</w:t>
            </w:r>
            <w:r>
              <w:rPr>
                <w:rFonts w:hint="eastAsia"/>
              </w:rPr>
              <w:t>自建污水处理站处理后通过污水管网进入砚山县第一污水处理厂处理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W</w:t>
            </w:r>
            <w:r>
              <w:rPr>
                <w:rFonts w:hint="eastAsia"/>
              </w:rPr>
              <w:t>1-3</w:t>
            </w:r>
          </w:p>
        </w:tc>
        <w:tc>
          <w:tcPr>
            <w:tcW w:w="985" w:type="pct"/>
            <w:shd w:val="clear" w:color="auto" w:fill="auto"/>
            <w:vAlign w:val="center"/>
          </w:tcPr>
          <w:p>
            <w:pPr>
              <w:pStyle w:val="33"/>
            </w:pPr>
            <w:r>
              <w:t>职工生活</w:t>
            </w:r>
          </w:p>
        </w:tc>
        <w:tc>
          <w:tcPr>
            <w:tcW w:w="786" w:type="pct"/>
            <w:shd w:val="clear" w:color="auto" w:fill="auto"/>
            <w:vAlign w:val="center"/>
          </w:tcPr>
          <w:p>
            <w:pPr>
              <w:pStyle w:val="33"/>
            </w:pPr>
            <w:r>
              <w:rPr>
                <w:rFonts w:hint="eastAsia"/>
              </w:rPr>
              <w:t>C</w:t>
            </w:r>
            <w:r>
              <w:t>OD</w:t>
            </w:r>
            <w:r>
              <w:rPr>
                <w:rFonts w:hint="eastAsia"/>
              </w:rPr>
              <w:t>cr、B</w:t>
            </w:r>
            <w:r>
              <w:t>OD5</w:t>
            </w:r>
            <w:r>
              <w:rPr>
                <w:rFonts w:hint="eastAsia"/>
              </w:rPr>
              <w:t>、氨氮、悬浮物、动植物油</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rPr>
                <w:rFonts w:hint="eastAsia"/>
              </w:rPr>
              <w:t>化粪池、隔油池处理后通过污水管网进入砚山县第一污水处理厂处理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W</w:t>
            </w:r>
            <w:r>
              <w:rPr>
                <w:rFonts w:hint="eastAsia"/>
              </w:rPr>
              <w:t>1-4</w:t>
            </w:r>
          </w:p>
        </w:tc>
        <w:tc>
          <w:tcPr>
            <w:tcW w:w="985" w:type="pct"/>
            <w:shd w:val="clear" w:color="auto" w:fill="auto"/>
            <w:vAlign w:val="center"/>
          </w:tcPr>
          <w:p>
            <w:pPr>
              <w:pStyle w:val="33"/>
            </w:pPr>
            <w:r>
              <w:rPr>
                <w:rFonts w:hint="eastAsia"/>
              </w:rPr>
              <w:t>初期雨水</w:t>
            </w:r>
          </w:p>
        </w:tc>
        <w:tc>
          <w:tcPr>
            <w:tcW w:w="786" w:type="pct"/>
            <w:shd w:val="clear" w:color="auto" w:fill="auto"/>
            <w:vAlign w:val="center"/>
          </w:tcPr>
          <w:p>
            <w:pPr>
              <w:pStyle w:val="33"/>
            </w:pPr>
            <w:r>
              <w:rPr>
                <w:rFonts w:hint="eastAsia"/>
              </w:rPr>
              <w:t>C</w:t>
            </w:r>
            <w:r>
              <w:t>OD</w:t>
            </w:r>
            <w:r>
              <w:rPr>
                <w:rFonts w:hint="eastAsia"/>
              </w:rPr>
              <w:t>cr、悬浮物</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t>经</w:t>
            </w:r>
            <w:r>
              <w:rPr>
                <w:rFonts w:hint="eastAsia"/>
              </w:rPr>
              <w:t>初期雨水池收集沉淀后</w:t>
            </w:r>
            <w:r>
              <w:t>回用</w:t>
            </w:r>
            <w:r>
              <w:rPr>
                <w:rFonts w:hint="eastAsia"/>
              </w:rPr>
              <w:t>于厂区绿化和道路清扫，剩余部分用于冷却循环系统补充水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restart"/>
            <w:shd w:val="clear" w:color="auto" w:fill="auto"/>
            <w:vAlign w:val="center"/>
          </w:tcPr>
          <w:p>
            <w:pPr>
              <w:pStyle w:val="33"/>
            </w:pPr>
            <w:r>
              <w:t>固废</w:t>
            </w:r>
          </w:p>
        </w:tc>
        <w:tc>
          <w:tcPr>
            <w:tcW w:w="421" w:type="pct"/>
            <w:shd w:val="clear" w:color="auto" w:fill="auto"/>
            <w:vAlign w:val="center"/>
          </w:tcPr>
          <w:p>
            <w:pPr>
              <w:pStyle w:val="33"/>
            </w:pPr>
            <w:r>
              <w:t>S1</w:t>
            </w:r>
            <w:r>
              <w:rPr>
                <w:rFonts w:hint="eastAsia"/>
              </w:rPr>
              <w:t>-1</w:t>
            </w:r>
          </w:p>
        </w:tc>
        <w:tc>
          <w:tcPr>
            <w:tcW w:w="985" w:type="pct"/>
            <w:shd w:val="clear" w:color="auto" w:fill="auto"/>
            <w:vAlign w:val="center"/>
          </w:tcPr>
          <w:p>
            <w:pPr>
              <w:pStyle w:val="33"/>
            </w:pPr>
            <w:r>
              <w:t>铝灰分离系统</w:t>
            </w:r>
          </w:p>
        </w:tc>
        <w:tc>
          <w:tcPr>
            <w:tcW w:w="786" w:type="pct"/>
            <w:shd w:val="clear" w:color="auto" w:fill="auto"/>
            <w:vAlign w:val="center"/>
          </w:tcPr>
          <w:p>
            <w:pPr>
              <w:pStyle w:val="33"/>
            </w:pPr>
            <w:r>
              <w:t>铝灰</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S</w:t>
            </w:r>
            <w:r>
              <w:rPr>
                <w:rFonts w:hint="eastAsia"/>
              </w:rPr>
              <w:t>1-</w:t>
            </w:r>
            <w:r>
              <w:t>2</w:t>
            </w:r>
          </w:p>
        </w:tc>
        <w:tc>
          <w:tcPr>
            <w:tcW w:w="985" w:type="pct"/>
            <w:shd w:val="clear" w:color="auto" w:fill="auto"/>
            <w:vAlign w:val="center"/>
          </w:tcPr>
          <w:p>
            <w:pPr>
              <w:pStyle w:val="33"/>
            </w:pPr>
            <w:r>
              <w:t>除尘系统</w:t>
            </w:r>
          </w:p>
        </w:tc>
        <w:tc>
          <w:tcPr>
            <w:tcW w:w="786" w:type="pct"/>
            <w:shd w:val="clear" w:color="auto" w:fill="auto"/>
            <w:vAlign w:val="center"/>
          </w:tcPr>
          <w:p>
            <w:pPr>
              <w:pStyle w:val="33"/>
            </w:pPr>
            <w:r>
              <w:t>金属氧化物及夹杂物</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S</w:t>
            </w:r>
            <w:r>
              <w:rPr>
                <w:rFonts w:hint="eastAsia"/>
              </w:rPr>
              <w:t>1-3</w:t>
            </w:r>
          </w:p>
        </w:tc>
        <w:tc>
          <w:tcPr>
            <w:tcW w:w="985" w:type="pct"/>
            <w:shd w:val="clear" w:color="auto" w:fill="auto"/>
            <w:vAlign w:val="center"/>
          </w:tcPr>
          <w:p>
            <w:pPr>
              <w:pStyle w:val="33"/>
            </w:pPr>
            <w:r>
              <w:t>过滤槽</w:t>
            </w:r>
          </w:p>
        </w:tc>
        <w:tc>
          <w:tcPr>
            <w:tcW w:w="786" w:type="pct"/>
            <w:shd w:val="clear" w:color="auto" w:fill="auto"/>
            <w:vAlign w:val="center"/>
          </w:tcPr>
          <w:p>
            <w:pPr>
              <w:pStyle w:val="33"/>
            </w:pPr>
            <w:r>
              <w:t>废过滤板</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rPr>
                <w:rFonts w:hint="eastAsia"/>
              </w:rPr>
              <w:t>由更换厂家回收处置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rPr>
                <w:rFonts w:hint="eastAsia"/>
              </w:rPr>
              <w:t>S1-4</w:t>
            </w:r>
          </w:p>
        </w:tc>
        <w:tc>
          <w:tcPr>
            <w:tcW w:w="985" w:type="pct"/>
            <w:shd w:val="clear" w:color="auto" w:fill="auto"/>
            <w:vAlign w:val="center"/>
          </w:tcPr>
          <w:p>
            <w:pPr>
              <w:pStyle w:val="33"/>
            </w:pPr>
            <w:r>
              <w:t>检验工序</w:t>
            </w:r>
          </w:p>
        </w:tc>
        <w:tc>
          <w:tcPr>
            <w:tcW w:w="786" w:type="pct"/>
            <w:shd w:val="clear" w:color="auto" w:fill="auto"/>
            <w:vAlign w:val="center"/>
          </w:tcPr>
          <w:p>
            <w:pPr>
              <w:pStyle w:val="33"/>
            </w:pPr>
            <w:r>
              <w:t>不合格品</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rPr>
                <w:rFonts w:hint="eastAsia"/>
              </w:rPr>
              <w:t>集中收集后作为原材料回用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S</w:t>
            </w:r>
            <w:r>
              <w:rPr>
                <w:rFonts w:hint="eastAsia"/>
              </w:rPr>
              <w:t>1-5</w:t>
            </w:r>
          </w:p>
        </w:tc>
        <w:tc>
          <w:tcPr>
            <w:tcW w:w="985" w:type="pct"/>
            <w:shd w:val="clear" w:color="auto" w:fill="auto"/>
            <w:vAlign w:val="center"/>
          </w:tcPr>
          <w:p>
            <w:pPr>
              <w:pStyle w:val="33"/>
            </w:pPr>
            <w:r>
              <w:t>锯切工序</w:t>
            </w:r>
          </w:p>
        </w:tc>
        <w:tc>
          <w:tcPr>
            <w:tcW w:w="786" w:type="pct"/>
            <w:shd w:val="clear" w:color="auto" w:fill="auto"/>
            <w:vAlign w:val="center"/>
          </w:tcPr>
          <w:p>
            <w:pPr>
              <w:pStyle w:val="33"/>
            </w:pPr>
            <w:r>
              <w:t>下脚料、铝屑</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rPr>
                <w:rFonts w:hint="eastAsia"/>
              </w:rPr>
              <w:t>集中收集后作为原材料回用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S</w:t>
            </w:r>
            <w:r>
              <w:rPr>
                <w:rFonts w:hint="eastAsia"/>
              </w:rPr>
              <w:t>1-6</w:t>
            </w:r>
          </w:p>
        </w:tc>
        <w:tc>
          <w:tcPr>
            <w:tcW w:w="985" w:type="pct"/>
            <w:shd w:val="clear" w:color="auto" w:fill="auto"/>
            <w:vAlign w:val="center"/>
          </w:tcPr>
          <w:p>
            <w:pPr>
              <w:pStyle w:val="33"/>
            </w:pPr>
            <w:r>
              <w:rPr>
                <w:rFonts w:hint="eastAsia"/>
              </w:rPr>
              <w:t>包装工序</w:t>
            </w:r>
          </w:p>
        </w:tc>
        <w:tc>
          <w:tcPr>
            <w:tcW w:w="786" w:type="pct"/>
            <w:shd w:val="clear" w:color="auto" w:fill="auto"/>
            <w:vAlign w:val="center"/>
          </w:tcPr>
          <w:p>
            <w:pPr>
              <w:pStyle w:val="33"/>
            </w:pPr>
            <w:r>
              <w:t>废包装物</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rPr>
                <w:rFonts w:hint="eastAsia"/>
              </w:rPr>
              <w:t>收集后作外售处理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rPr>
                <w:color w:val="auto"/>
              </w:rPr>
            </w:pPr>
          </w:p>
        </w:tc>
        <w:tc>
          <w:tcPr>
            <w:tcW w:w="421" w:type="pct"/>
            <w:shd w:val="clear" w:color="auto" w:fill="auto"/>
            <w:vAlign w:val="center"/>
          </w:tcPr>
          <w:p>
            <w:pPr>
              <w:pStyle w:val="33"/>
              <w:rPr>
                <w:color w:val="auto"/>
              </w:rPr>
            </w:pPr>
            <w:r>
              <w:rPr>
                <w:color w:val="auto"/>
              </w:rPr>
              <w:t>S</w:t>
            </w:r>
            <w:r>
              <w:rPr>
                <w:rFonts w:hint="eastAsia"/>
                <w:color w:val="auto"/>
              </w:rPr>
              <w:t>1-7</w:t>
            </w:r>
          </w:p>
        </w:tc>
        <w:tc>
          <w:tcPr>
            <w:tcW w:w="985" w:type="pct"/>
            <w:shd w:val="clear" w:color="auto" w:fill="auto"/>
            <w:vAlign w:val="center"/>
          </w:tcPr>
          <w:p>
            <w:pPr>
              <w:pStyle w:val="33"/>
              <w:rPr>
                <w:color w:val="auto"/>
              </w:rPr>
            </w:pPr>
            <w:r>
              <w:rPr>
                <w:color w:val="auto"/>
              </w:rPr>
              <w:t>设备维修、保养</w:t>
            </w:r>
          </w:p>
        </w:tc>
        <w:tc>
          <w:tcPr>
            <w:tcW w:w="786" w:type="pct"/>
            <w:shd w:val="clear" w:color="auto" w:fill="auto"/>
            <w:vAlign w:val="center"/>
          </w:tcPr>
          <w:p>
            <w:pPr>
              <w:pStyle w:val="33"/>
              <w:rPr>
                <w:color w:val="auto"/>
              </w:rPr>
            </w:pPr>
            <w:r>
              <w:rPr>
                <w:color w:val="auto"/>
              </w:rPr>
              <w:t>废润滑油、废机油</w:t>
            </w:r>
          </w:p>
        </w:tc>
        <w:tc>
          <w:tcPr>
            <w:tcW w:w="633" w:type="pct"/>
            <w:shd w:val="clear" w:color="auto" w:fill="auto"/>
            <w:vAlign w:val="center"/>
          </w:tcPr>
          <w:p>
            <w:pPr>
              <w:pStyle w:val="33"/>
              <w:rPr>
                <w:color w:val="auto"/>
              </w:rPr>
            </w:pPr>
            <w:r>
              <w:rPr>
                <w:color w:val="auto"/>
              </w:rPr>
              <w:t>间断</w:t>
            </w:r>
          </w:p>
        </w:tc>
        <w:tc>
          <w:tcPr>
            <w:tcW w:w="1923" w:type="pct"/>
            <w:shd w:val="clear" w:color="auto" w:fill="auto"/>
            <w:vAlign w:val="center"/>
          </w:tcPr>
          <w:p>
            <w:pPr>
              <w:pStyle w:val="33"/>
              <w:rPr>
                <w:color w:val="auto"/>
              </w:rPr>
            </w:pPr>
            <w:r>
              <w:rPr>
                <w:color w:val="auto"/>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rPr>
                <w:color w:val="auto"/>
              </w:rPr>
            </w:pPr>
          </w:p>
        </w:tc>
        <w:tc>
          <w:tcPr>
            <w:tcW w:w="421" w:type="pct"/>
            <w:shd w:val="clear" w:color="auto" w:fill="auto"/>
            <w:vAlign w:val="center"/>
          </w:tcPr>
          <w:p>
            <w:pPr>
              <w:pStyle w:val="33"/>
              <w:rPr>
                <w:color w:val="auto"/>
              </w:rPr>
            </w:pPr>
            <w:r>
              <w:rPr>
                <w:color w:val="auto"/>
              </w:rPr>
              <w:t>S</w:t>
            </w:r>
            <w:r>
              <w:rPr>
                <w:rFonts w:hint="eastAsia"/>
                <w:color w:val="auto"/>
              </w:rPr>
              <w:t>1-8</w:t>
            </w:r>
          </w:p>
        </w:tc>
        <w:tc>
          <w:tcPr>
            <w:tcW w:w="985" w:type="pct"/>
            <w:shd w:val="clear" w:color="auto" w:fill="auto"/>
            <w:vAlign w:val="center"/>
          </w:tcPr>
          <w:p>
            <w:pPr>
              <w:pStyle w:val="33"/>
              <w:rPr>
                <w:color w:val="auto"/>
              </w:rPr>
            </w:pPr>
            <w:r>
              <w:rPr>
                <w:rFonts w:hint="eastAsia"/>
                <w:color w:val="auto"/>
                <w:lang w:val="en-US" w:eastAsia="zh-CN"/>
              </w:rPr>
              <w:t>质检</w:t>
            </w:r>
            <w:r>
              <w:rPr>
                <w:rFonts w:hint="eastAsia"/>
                <w:color w:val="auto"/>
              </w:rPr>
              <w:t>室</w:t>
            </w:r>
          </w:p>
        </w:tc>
        <w:tc>
          <w:tcPr>
            <w:tcW w:w="786" w:type="pct"/>
            <w:shd w:val="clear" w:color="auto" w:fill="auto"/>
            <w:vAlign w:val="center"/>
          </w:tcPr>
          <w:p>
            <w:pPr>
              <w:pStyle w:val="33"/>
              <w:rPr>
                <w:color w:val="auto"/>
              </w:rPr>
            </w:pPr>
            <w:r>
              <w:rPr>
                <w:rFonts w:hint="eastAsia"/>
                <w:color w:val="auto"/>
              </w:rPr>
              <w:t>废酸液</w:t>
            </w:r>
          </w:p>
        </w:tc>
        <w:tc>
          <w:tcPr>
            <w:tcW w:w="633" w:type="pct"/>
            <w:shd w:val="clear" w:color="auto" w:fill="auto"/>
            <w:vAlign w:val="center"/>
          </w:tcPr>
          <w:p>
            <w:pPr>
              <w:pStyle w:val="33"/>
              <w:rPr>
                <w:color w:val="auto"/>
              </w:rPr>
            </w:pPr>
            <w:r>
              <w:rPr>
                <w:color w:val="auto"/>
              </w:rPr>
              <w:t>间断</w:t>
            </w:r>
          </w:p>
        </w:tc>
        <w:tc>
          <w:tcPr>
            <w:tcW w:w="1923" w:type="pct"/>
            <w:shd w:val="clear" w:color="auto" w:fill="auto"/>
            <w:vAlign w:val="center"/>
          </w:tcPr>
          <w:p>
            <w:pPr>
              <w:pStyle w:val="33"/>
              <w:rPr>
                <w:color w:val="auto"/>
              </w:rPr>
            </w:pPr>
            <w:r>
              <w:rPr>
                <w:color w:val="auto"/>
                <w:szCs w:val="21"/>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rPr>
                <w:color w:val="auto"/>
              </w:rPr>
            </w:pPr>
          </w:p>
        </w:tc>
        <w:tc>
          <w:tcPr>
            <w:tcW w:w="421" w:type="pct"/>
            <w:shd w:val="clear" w:color="auto" w:fill="auto"/>
            <w:vAlign w:val="center"/>
          </w:tcPr>
          <w:p>
            <w:pPr>
              <w:pStyle w:val="33"/>
              <w:rPr>
                <w:color w:val="auto"/>
              </w:rPr>
            </w:pPr>
            <w:r>
              <w:rPr>
                <w:rFonts w:hint="eastAsia"/>
                <w:color w:val="auto"/>
              </w:rPr>
              <w:t>S1-9</w:t>
            </w:r>
          </w:p>
        </w:tc>
        <w:tc>
          <w:tcPr>
            <w:tcW w:w="985" w:type="pct"/>
            <w:shd w:val="clear" w:color="auto" w:fill="auto"/>
            <w:vAlign w:val="center"/>
          </w:tcPr>
          <w:p>
            <w:pPr>
              <w:pStyle w:val="33"/>
              <w:rPr>
                <w:color w:val="auto"/>
              </w:rPr>
            </w:pPr>
            <w:r>
              <w:rPr>
                <w:rFonts w:hint="eastAsia"/>
                <w:color w:val="auto"/>
                <w:lang w:val="en-US" w:eastAsia="zh-CN"/>
              </w:rPr>
              <w:t>质检</w:t>
            </w:r>
            <w:r>
              <w:rPr>
                <w:rFonts w:hint="eastAsia"/>
                <w:color w:val="auto"/>
              </w:rPr>
              <w:t>室</w:t>
            </w:r>
          </w:p>
        </w:tc>
        <w:tc>
          <w:tcPr>
            <w:tcW w:w="786" w:type="pct"/>
            <w:shd w:val="clear" w:color="auto" w:fill="auto"/>
            <w:vAlign w:val="center"/>
          </w:tcPr>
          <w:p>
            <w:pPr>
              <w:pStyle w:val="33"/>
              <w:rPr>
                <w:color w:val="auto"/>
              </w:rPr>
            </w:pPr>
            <w:r>
              <w:rPr>
                <w:rFonts w:hint="eastAsia"/>
                <w:color w:val="auto"/>
              </w:rPr>
              <w:t>废碱液</w:t>
            </w:r>
          </w:p>
        </w:tc>
        <w:tc>
          <w:tcPr>
            <w:tcW w:w="633" w:type="pct"/>
            <w:shd w:val="clear" w:color="auto" w:fill="auto"/>
            <w:vAlign w:val="center"/>
          </w:tcPr>
          <w:p>
            <w:pPr>
              <w:pStyle w:val="33"/>
              <w:rPr>
                <w:color w:val="auto"/>
              </w:rPr>
            </w:pPr>
            <w:r>
              <w:rPr>
                <w:color w:val="auto"/>
              </w:rPr>
              <w:t>间断</w:t>
            </w:r>
          </w:p>
        </w:tc>
        <w:tc>
          <w:tcPr>
            <w:tcW w:w="1923" w:type="pct"/>
            <w:shd w:val="clear" w:color="auto" w:fill="auto"/>
            <w:vAlign w:val="center"/>
          </w:tcPr>
          <w:p>
            <w:pPr>
              <w:pStyle w:val="33"/>
              <w:rPr>
                <w:color w:val="auto"/>
              </w:rPr>
            </w:pPr>
            <w:r>
              <w:rPr>
                <w:color w:val="auto"/>
                <w:szCs w:val="21"/>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rPr>
                <w:color w:val="auto"/>
              </w:rPr>
            </w:pPr>
          </w:p>
        </w:tc>
        <w:tc>
          <w:tcPr>
            <w:tcW w:w="421" w:type="pct"/>
            <w:shd w:val="clear" w:color="auto" w:fill="auto"/>
            <w:vAlign w:val="center"/>
          </w:tcPr>
          <w:p>
            <w:pPr>
              <w:pStyle w:val="33"/>
              <w:rPr>
                <w:color w:val="auto"/>
              </w:rPr>
            </w:pPr>
            <w:r>
              <w:rPr>
                <w:rFonts w:hint="eastAsia"/>
                <w:color w:val="auto"/>
              </w:rPr>
              <w:t>S1-10</w:t>
            </w:r>
          </w:p>
        </w:tc>
        <w:tc>
          <w:tcPr>
            <w:tcW w:w="985" w:type="pct"/>
            <w:shd w:val="clear" w:color="auto" w:fill="auto"/>
            <w:vAlign w:val="center"/>
          </w:tcPr>
          <w:p>
            <w:pPr>
              <w:pStyle w:val="33"/>
              <w:rPr>
                <w:color w:val="auto"/>
              </w:rPr>
            </w:pPr>
            <w:r>
              <w:rPr>
                <w:rFonts w:hint="eastAsia"/>
                <w:color w:val="auto"/>
              </w:rPr>
              <w:t>初期雨水收集池和圆铸锭循环冷却水池</w:t>
            </w:r>
          </w:p>
        </w:tc>
        <w:tc>
          <w:tcPr>
            <w:tcW w:w="786" w:type="pct"/>
            <w:shd w:val="clear" w:color="auto" w:fill="auto"/>
            <w:vAlign w:val="center"/>
          </w:tcPr>
          <w:p>
            <w:pPr>
              <w:pStyle w:val="33"/>
              <w:rPr>
                <w:color w:val="auto"/>
              </w:rPr>
            </w:pPr>
            <w:r>
              <w:rPr>
                <w:rFonts w:hint="eastAsia"/>
                <w:color w:val="auto"/>
              </w:rPr>
              <w:t>污泥</w:t>
            </w:r>
          </w:p>
        </w:tc>
        <w:tc>
          <w:tcPr>
            <w:tcW w:w="633" w:type="pct"/>
            <w:shd w:val="clear" w:color="auto" w:fill="auto"/>
            <w:vAlign w:val="center"/>
          </w:tcPr>
          <w:p>
            <w:pPr>
              <w:pStyle w:val="33"/>
              <w:rPr>
                <w:color w:val="auto"/>
              </w:rPr>
            </w:pPr>
            <w:r>
              <w:rPr>
                <w:color w:val="auto"/>
              </w:rPr>
              <w:t>间断</w:t>
            </w:r>
          </w:p>
        </w:tc>
        <w:tc>
          <w:tcPr>
            <w:tcW w:w="1923" w:type="pct"/>
            <w:shd w:val="clear" w:color="auto" w:fill="auto"/>
            <w:vAlign w:val="center"/>
          </w:tcPr>
          <w:p>
            <w:pPr>
              <w:pStyle w:val="33"/>
              <w:rPr>
                <w:color w:val="auto"/>
              </w:rPr>
            </w:pPr>
            <w:r>
              <w:rPr>
                <w:rFonts w:hint="eastAsia"/>
                <w:color w:val="auto"/>
              </w:rPr>
              <w:t>环卫部门定期统一清理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S</w:t>
            </w:r>
            <w:r>
              <w:rPr>
                <w:rFonts w:hint="eastAsia"/>
              </w:rPr>
              <w:t>1-11</w:t>
            </w:r>
          </w:p>
        </w:tc>
        <w:tc>
          <w:tcPr>
            <w:tcW w:w="985" w:type="pct"/>
            <w:shd w:val="clear" w:color="auto" w:fill="auto"/>
            <w:vAlign w:val="center"/>
          </w:tcPr>
          <w:p>
            <w:pPr>
              <w:pStyle w:val="33"/>
            </w:pPr>
            <w:r>
              <w:rPr>
                <w:rFonts w:hint="eastAsia"/>
              </w:rPr>
              <w:t>污水处理站</w:t>
            </w:r>
          </w:p>
        </w:tc>
        <w:tc>
          <w:tcPr>
            <w:tcW w:w="786" w:type="pct"/>
            <w:shd w:val="clear" w:color="auto" w:fill="auto"/>
            <w:vAlign w:val="center"/>
          </w:tcPr>
          <w:p>
            <w:pPr>
              <w:pStyle w:val="33"/>
            </w:pPr>
            <w:r>
              <w:rPr>
                <w:rFonts w:hint="eastAsia"/>
              </w:rPr>
              <w:t>油渣</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S</w:t>
            </w:r>
            <w:r>
              <w:rPr>
                <w:rFonts w:hint="eastAsia"/>
              </w:rPr>
              <w:t>1-12</w:t>
            </w:r>
          </w:p>
        </w:tc>
        <w:tc>
          <w:tcPr>
            <w:tcW w:w="985" w:type="pct"/>
            <w:shd w:val="clear" w:color="auto" w:fill="auto"/>
            <w:vAlign w:val="center"/>
          </w:tcPr>
          <w:p>
            <w:pPr>
              <w:pStyle w:val="33"/>
            </w:pPr>
            <w:r>
              <w:t>职工生活</w:t>
            </w:r>
          </w:p>
        </w:tc>
        <w:tc>
          <w:tcPr>
            <w:tcW w:w="786" w:type="pct"/>
            <w:shd w:val="clear" w:color="auto" w:fill="auto"/>
            <w:vAlign w:val="center"/>
          </w:tcPr>
          <w:p>
            <w:pPr>
              <w:pStyle w:val="33"/>
            </w:pPr>
            <w:r>
              <w:t>生活垃圾</w:t>
            </w:r>
          </w:p>
        </w:tc>
        <w:tc>
          <w:tcPr>
            <w:tcW w:w="633" w:type="pct"/>
            <w:shd w:val="clear" w:color="auto" w:fill="auto"/>
            <w:vAlign w:val="center"/>
          </w:tcPr>
          <w:p>
            <w:pPr>
              <w:pStyle w:val="33"/>
            </w:pPr>
            <w:r>
              <w:t>间断</w:t>
            </w:r>
          </w:p>
        </w:tc>
        <w:tc>
          <w:tcPr>
            <w:tcW w:w="1923" w:type="pct"/>
            <w:shd w:val="clear" w:color="auto" w:fill="auto"/>
            <w:vAlign w:val="center"/>
          </w:tcPr>
          <w:p>
            <w:pPr>
              <w:pStyle w:val="33"/>
            </w:pPr>
            <w:r>
              <w:t>环卫部门</w:t>
            </w:r>
            <w:r>
              <w:rPr>
                <w:rFonts w:hint="eastAsia"/>
              </w:rPr>
              <w:t>定期</w:t>
            </w:r>
            <w:r>
              <w:t>统一清理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shd w:val="clear" w:color="auto" w:fill="auto"/>
            <w:vAlign w:val="center"/>
          </w:tcPr>
          <w:p>
            <w:pPr>
              <w:pStyle w:val="33"/>
            </w:pPr>
            <w:r>
              <w:t>噪声</w:t>
            </w:r>
          </w:p>
        </w:tc>
        <w:tc>
          <w:tcPr>
            <w:tcW w:w="421" w:type="pct"/>
            <w:shd w:val="clear" w:color="auto" w:fill="auto"/>
            <w:vAlign w:val="center"/>
          </w:tcPr>
          <w:p>
            <w:pPr>
              <w:pStyle w:val="33"/>
            </w:pPr>
            <w:r>
              <w:t>N</w:t>
            </w:r>
          </w:p>
        </w:tc>
        <w:tc>
          <w:tcPr>
            <w:tcW w:w="985" w:type="pct"/>
            <w:shd w:val="clear" w:color="auto" w:fill="auto"/>
            <w:vAlign w:val="center"/>
          </w:tcPr>
          <w:p>
            <w:pPr>
              <w:pStyle w:val="33"/>
              <w:rPr>
                <w:rFonts w:hint="eastAsia"/>
                <w:highlight w:val="none"/>
              </w:rPr>
            </w:pPr>
            <w:r>
              <w:rPr>
                <w:rFonts w:hint="eastAsia"/>
                <w:highlight w:val="none"/>
              </w:rPr>
              <w:t>锯切机</w:t>
            </w:r>
            <w:r>
              <w:rPr>
                <w:rFonts w:hint="eastAsia"/>
                <w:highlight w:val="none"/>
                <w:lang w:eastAsia="zh-CN"/>
              </w:rPr>
              <w:t>、</w:t>
            </w:r>
            <w:r>
              <w:rPr>
                <w:rFonts w:hint="eastAsia"/>
                <w:highlight w:val="none"/>
              </w:rPr>
              <w:t>风机</w:t>
            </w:r>
          </w:p>
          <w:p>
            <w:pPr>
              <w:pStyle w:val="33"/>
              <w:rPr>
                <w:rFonts w:hint="eastAsia" w:eastAsia="宋体"/>
                <w:lang w:val="en-US" w:eastAsia="zh-CN"/>
              </w:rPr>
            </w:pPr>
            <w:r>
              <w:rPr>
                <w:rFonts w:hint="eastAsia"/>
                <w:highlight w:val="none"/>
              </w:rPr>
              <w:t>循环水泵</w:t>
            </w:r>
            <w:r>
              <w:rPr>
                <w:rFonts w:hint="eastAsia"/>
                <w:highlight w:val="none"/>
                <w:lang w:eastAsia="zh-CN"/>
              </w:rPr>
              <w:t>、</w:t>
            </w:r>
            <w:r>
              <w:rPr>
                <w:rFonts w:hint="eastAsia"/>
                <w:highlight w:val="none"/>
              </w:rPr>
              <w:t>空压机</w:t>
            </w:r>
            <w:r>
              <w:rPr>
                <w:rFonts w:hint="eastAsia"/>
                <w:highlight w:val="none"/>
                <w:lang w:val="en-US" w:eastAsia="zh-CN"/>
              </w:rPr>
              <w:t>等</w:t>
            </w:r>
          </w:p>
        </w:tc>
        <w:tc>
          <w:tcPr>
            <w:tcW w:w="786" w:type="pct"/>
            <w:shd w:val="clear" w:color="auto" w:fill="auto"/>
            <w:vAlign w:val="center"/>
          </w:tcPr>
          <w:p>
            <w:pPr>
              <w:pStyle w:val="33"/>
            </w:pPr>
            <w:r>
              <w:t>机械噪声</w:t>
            </w:r>
          </w:p>
        </w:tc>
        <w:tc>
          <w:tcPr>
            <w:tcW w:w="633" w:type="pct"/>
            <w:shd w:val="clear" w:color="auto" w:fill="auto"/>
            <w:vAlign w:val="center"/>
          </w:tcPr>
          <w:p>
            <w:pPr>
              <w:pStyle w:val="33"/>
            </w:pPr>
            <w:r>
              <w:t>连续</w:t>
            </w:r>
          </w:p>
        </w:tc>
        <w:tc>
          <w:tcPr>
            <w:tcW w:w="1923" w:type="pct"/>
            <w:shd w:val="clear" w:color="auto" w:fill="auto"/>
            <w:vAlign w:val="center"/>
          </w:tcPr>
          <w:p>
            <w:pPr>
              <w:pStyle w:val="33"/>
            </w:pPr>
            <w:r>
              <w:t>消声、隔声、减震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6"/>
            <w:shd w:val="clear" w:color="auto" w:fill="auto"/>
            <w:vAlign w:val="center"/>
          </w:tcPr>
          <w:p>
            <w:pPr>
              <w:pStyle w:val="33"/>
            </w:pPr>
            <w:r>
              <w:rPr>
                <w:rFonts w:hint="eastAsia"/>
                <w:b/>
                <w:bCs/>
              </w:rPr>
              <w:t>二期工程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restart"/>
            <w:shd w:val="clear" w:color="auto" w:fill="auto"/>
            <w:vAlign w:val="center"/>
          </w:tcPr>
          <w:p>
            <w:pPr>
              <w:pStyle w:val="33"/>
            </w:pPr>
            <w:r>
              <w:t>废气</w:t>
            </w:r>
          </w:p>
        </w:tc>
        <w:tc>
          <w:tcPr>
            <w:tcW w:w="421" w:type="pct"/>
            <w:shd w:val="clear" w:color="auto" w:fill="auto"/>
            <w:vAlign w:val="center"/>
          </w:tcPr>
          <w:p>
            <w:pPr>
              <w:pStyle w:val="33"/>
            </w:pPr>
            <w:r>
              <w:t>G</w:t>
            </w:r>
            <w:r>
              <w:rPr>
                <w:rFonts w:hint="eastAsia"/>
              </w:rPr>
              <w:t>2-</w:t>
            </w:r>
            <w:r>
              <w:t>1</w:t>
            </w:r>
          </w:p>
        </w:tc>
        <w:tc>
          <w:tcPr>
            <w:tcW w:w="985" w:type="pct"/>
            <w:shd w:val="clear" w:color="auto" w:fill="auto"/>
            <w:vAlign w:val="center"/>
          </w:tcPr>
          <w:p>
            <w:pPr>
              <w:pStyle w:val="33"/>
            </w:pPr>
            <w:r>
              <w:rPr>
                <w:rFonts w:hint="eastAsia"/>
              </w:rPr>
              <w:t>熔炼</w:t>
            </w:r>
            <w:r>
              <w:t>炉、保温炉</w:t>
            </w:r>
            <w:r>
              <w:rPr>
                <w:rFonts w:hint="eastAsia"/>
              </w:rPr>
              <w:t>产生的燃烧废气</w:t>
            </w:r>
          </w:p>
        </w:tc>
        <w:tc>
          <w:tcPr>
            <w:tcW w:w="786" w:type="pct"/>
            <w:shd w:val="clear" w:color="auto" w:fill="auto"/>
            <w:vAlign w:val="center"/>
          </w:tcPr>
          <w:p>
            <w:pPr>
              <w:pStyle w:val="33"/>
            </w:pPr>
            <w:r>
              <w:t>颗粒物、SO</w:t>
            </w:r>
            <w:r>
              <w:rPr>
                <w:vertAlign w:val="subscript"/>
              </w:rPr>
              <w:t>2</w:t>
            </w:r>
            <w:r>
              <w:t>、NOx</w:t>
            </w:r>
          </w:p>
        </w:tc>
        <w:tc>
          <w:tcPr>
            <w:tcW w:w="633" w:type="pct"/>
            <w:shd w:val="clear" w:color="auto" w:fill="auto"/>
            <w:vAlign w:val="center"/>
          </w:tcPr>
          <w:p>
            <w:pPr>
              <w:pStyle w:val="33"/>
            </w:pPr>
            <w:r>
              <w:t>有组织，连续</w:t>
            </w:r>
            <w:r>
              <w:rPr>
                <w:rFonts w:hint="eastAsia"/>
              </w:rPr>
              <w:t>性</w:t>
            </w:r>
          </w:p>
        </w:tc>
        <w:tc>
          <w:tcPr>
            <w:tcW w:w="1923" w:type="pct"/>
            <w:shd w:val="clear" w:color="auto" w:fill="auto"/>
            <w:vAlign w:val="center"/>
          </w:tcPr>
          <w:p>
            <w:pPr>
              <w:pStyle w:val="33"/>
            </w:pPr>
            <w:r>
              <w:t>经</w:t>
            </w:r>
            <w:r>
              <w:rPr>
                <w:rFonts w:hint="eastAsia"/>
              </w:rPr>
              <w:t>石灰粉</w:t>
            </w:r>
            <w:r>
              <w:t>+布袋除尘器处理后通过高30m排气筒</w:t>
            </w:r>
            <w:r>
              <w:rPr>
                <w:rFonts w:hint="eastAsia"/>
              </w:rPr>
              <w:t>（P2-1）</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G</w:t>
            </w:r>
            <w:r>
              <w:rPr>
                <w:rFonts w:hint="eastAsia"/>
              </w:rPr>
              <w:t>2-2</w:t>
            </w:r>
          </w:p>
        </w:tc>
        <w:tc>
          <w:tcPr>
            <w:tcW w:w="985" w:type="pct"/>
            <w:shd w:val="clear" w:color="auto" w:fill="auto"/>
            <w:vAlign w:val="center"/>
          </w:tcPr>
          <w:p>
            <w:pPr>
              <w:pStyle w:val="33"/>
            </w:pPr>
            <w:r>
              <w:rPr>
                <w:rFonts w:hint="eastAsia"/>
              </w:rPr>
              <w:t>精炼废气</w:t>
            </w:r>
          </w:p>
        </w:tc>
        <w:tc>
          <w:tcPr>
            <w:tcW w:w="786" w:type="pct"/>
            <w:shd w:val="clear" w:color="auto" w:fill="auto"/>
            <w:vAlign w:val="center"/>
          </w:tcPr>
          <w:p>
            <w:pPr>
              <w:pStyle w:val="33"/>
            </w:pPr>
            <w:r>
              <w:t>颗粒物、</w:t>
            </w:r>
            <w:r>
              <w:rPr>
                <w:rFonts w:hint="eastAsia"/>
              </w:rPr>
              <w:t>氟化物</w:t>
            </w:r>
          </w:p>
        </w:tc>
        <w:tc>
          <w:tcPr>
            <w:tcW w:w="633" w:type="pct"/>
            <w:shd w:val="clear" w:color="auto" w:fill="auto"/>
            <w:vAlign w:val="center"/>
          </w:tcPr>
          <w:p>
            <w:pPr>
              <w:pStyle w:val="33"/>
            </w:pPr>
            <w:r>
              <w:t>有组织，连续</w:t>
            </w:r>
            <w:r>
              <w:rPr>
                <w:rFonts w:hint="eastAsia"/>
              </w:rPr>
              <w:t>性</w:t>
            </w:r>
          </w:p>
        </w:tc>
        <w:tc>
          <w:tcPr>
            <w:tcW w:w="1923" w:type="pct"/>
            <w:shd w:val="clear" w:color="auto" w:fill="auto"/>
            <w:vAlign w:val="center"/>
          </w:tcPr>
          <w:p>
            <w:pPr>
              <w:pStyle w:val="33"/>
            </w:pPr>
            <w:r>
              <w:t>经</w:t>
            </w:r>
            <w:r>
              <w:rPr>
                <w:rFonts w:hint="eastAsia"/>
              </w:rPr>
              <w:t>石灰粉</w:t>
            </w:r>
            <w:r>
              <w:t>+布袋除尘器处理后通过高30m排气筒</w:t>
            </w:r>
            <w:r>
              <w:rPr>
                <w:rFonts w:hint="eastAsia"/>
              </w:rPr>
              <w:t>（P2-1）</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G</w:t>
            </w:r>
            <w:r>
              <w:rPr>
                <w:rFonts w:hint="eastAsia"/>
              </w:rPr>
              <w:t>2-3</w:t>
            </w:r>
          </w:p>
        </w:tc>
        <w:tc>
          <w:tcPr>
            <w:tcW w:w="985" w:type="pct"/>
            <w:shd w:val="clear" w:color="auto" w:fill="auto"/>
            <w:vAlign w:val="center"/>
          </w:tcPr>
          <w:p>
            <w:pPr>
              <w:pStyle w:val="33"/>
            </w:pPr>
            <w:r>
              <w:rPr>
                <w:rFonts w:hint="eastAsia"/>
              </w:rPr>
              <w:t>扒渣废气</w:t>
            </w:r>
          </w:p>
        </w:tc>
        <w:tc>
          <w:tcPr>
            <w:tcW w:w="786" w:type="pct"/>
            <w:shd w:val="clear" w:color="auto" w:fill="auto"/>
            <w:vAlign w:val="center"/>
          </w:tcPr>
          <w:p>
            <w:pPr>
              <w:pStyle w:val="33"/>
            </w:pPr>
            <w:r>
              <w:t>颗粒物</w:t>
            </w:r>
          </w:p>
        </w:tc>
        <w:tc>
          <w:tcPr>
            <w:tcW w:w="633" w:type="pct"/>
            <w:shd w:val="clear" w:color="auto" w:fill="auto"/>
            <w:vAlign w:val="center"/>
          </w:tcPr>
          <w:p>
            <w:pPr>
              <w:pStyle w:val="33"/>
            </w:pPr>
            <w:r>
              <w:t>有组织，</w:t>
            </w:r>
            <w:r>
              <w:rPr>
                <w:rFonts w:hint="eastAsia"/>
              </w:rPr>
              <w:t>间歇性</w:t>
            </w:r>
          </w:p>
        </w:tc>
        <w:tc>
          <w:tcPr>
            <w:tcW w:w="1923" w:type="pct"/>
            <w:shd w:val="clear" w:color="auto" w:fill="auto"/>
            <w:vAlign w:val="center"/>
          </w:tcPr>
          <w:p>
            <w:pPr>
              <w:pStyle w:val="33"/>
            </w:pPr>
            <w:r>
              <w:t>经</w:t>
            </w:r>
            <w:r>
              <w:rPr>
                <w:rFonts w:hint="eastAsia"/>
              </w:rPr>
              <w:t>石灰粉</w:t>
            </w:r>
            <w:r>
              <w:t>+布袋除尘器处理后通过高30m排气筒</w:t>
            </w:r>
            <w:r>
              <w:rPr>
                <w:rFonts w:hint="eastAsia"/>
              </w:rPr>
              <w:t>（P2-1）</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vMerge w:val="restart"/>
            <w:shd w:val="clear" w:color="auto" w:fill="auto"/>
            <w:vAlign w:val="center"/>
          </w:tcPr>
          <w:p>
            <w:pPr>
              <w:pStyle w:val="33"/>
            </w:pPr>
            <w:r>
              <w:t>G</w:t>
            </w:r>
            <w:r>
              <w:rPr>
                <w:rFonts w:hint="eastAsia"/>
              </w:rPr>
              <w:t>2-4</w:t>
            </w:r>
          </w:p>
        </w:tc>
        <w:tc>
          <w:tcPr>
            <w:tcW w:w="985" w:type="pct"/>
            <w:vMerge w:val="restart"/>
            <w:shd w:val="clear" w:color="auto" w:fill="auto"/>
            <w:vAlign w:val="center"/>
          </w:tcPr>
          <w:p>
            <w:pPr>
              <w:pStyle w:val="33"/>
            </w:pPr>
            <w:r>
              <w:t>铝灰分离</w:t>
            </w:r>
            <w:r>
              <w:rPr>
                <w:rFonts w:hint="eastAsia"/>
              </w:rPr>
              <w:t>废气</w:t>
            </w:r>
          </w:p>
        </w:tc>
        <w:tc>
          <w:tcPr>
            <w:tcW w:w="786" w:type="pct"/>
            <w:vMerge w:val="restart"/>
            <w:shd w:val="clear" w:color="auto" w:fill="auto"/>
            <w:vAlign w:val="center"/>
          </w:tcPr>
          <w:p>
            <w:pPr>
              <w:pStyle w:val="33"/>
            </w:pPr>
            <w:r>
              <w:t>颗粒物</w:t>
            </w:r>
          </w:p>
        </w:tc>
        <w:tc>
          <w:tcPr>
            <w:tcW w:w="633" w:type="pct"/>
            <w:shd w:val="clear" w:color="auto" w:fill="auto"/>
            <w:vAlign w:val="center"/>
          </w:tcPr>
          <w:p>
            <w:pPr>
              <w:pStyle w:val="33"/>
            </w:pPr>
            <w:r>
              <w:t>有组织，连续</w:t>
            </w:r>
          </w:p>
        </w:tc>
        <w:tc>
          <w:tcPr>
            <w:tcW w:w="1923" w:type="pct"/>
            <w:shd w:val="clear" w:color="auto" w:fill="auto"/>
            <w:vAlign w:val="center"/>
          </w:tcPr>
          <w:p>
            <w:pPr>
              <w:pStyle w:val="33"/>
            </w:pPr>
            <w:r>
              <w:t>经集气罩+布袋除尘器处理后通过高20m排气筒</w:t>
            </w:r>
            <w:r>
              <w:rPr>
                <w:rFonts w:hint="eastAsia"/>
              </w:rPr>
              <w:t>（P2-2）</w:t>
            </w:r>
            <w: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vMerge w:val="continue"/>
            <w:shd w:val="clear" w:color="auto" w:fill="auto"/>
            <w:vAlign w:val="center"/>
          </w:tcPr>
          <w:p>
            <w:pPr>
              <w:pStyle w:val="33"/>
            </w:pPr>
          </w:p>
        </w:tc>
        <w:tc>
          <w:tcPr>
            <w:tcW w:w="985" w:type="pct"/>
            <w:vMerge w:val="continue"/>
            <w:shd w:val="clear" w:color="auto" w:fill="auto"/>
            <w:vAlign w:val="center"/>
          </w:tcPr>
          <w:p>
            <w:pPr>
              <w:pStyle w:val="33"/>
            </w:pPr>
          </w:p>
        </w:tc>
        <w:tc>
          <w:tcPr>
            <w:tcW w:w="786" w:type="pct"/>
            <w:vMerge w:val="continue"/>
            <w:shd w:val="clear" w:color="auto" w:fill="auto"/>
            <w:vAlign w:val="center"/>
          </w:tcPr>
          <w:p>
            <w:pPr>
              <w:pStyle w:val="33"/>
            </w:pPr>
          </w:p>
        </w:tc>
        <w:tc>
          <w:tcPr>
            <w:tcW w:w="633" w:type="pct"/>
            <w:shd w:val="clear" w:color="auto" w:fill="auto"/>
            <w:vAlign w:val="center"/>
          </w:tcPr>
          <w:p>
            <w:pPr>
              <w:pStyle w:val="33"/>
            </w:pPr>
            <w:r>
              <w:t>无组织，间断</w:t>
            </w:r>
          </w:p>
        </w:tc>
        <w:tc>
          <w:tcPr>
            <w:tcW w:w="1923" w:type="pct"/>
            <w:shd w:val="clear" w:color="auto" w:fill="auto"/>
            <w:vAlign w:val="center"/>
          </w:tcPr>
          <w:p>
            <w:pPr>
              <w:pStyle w:val="33"/>
            </w:pPr>
            <w: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shd w:val="clear" w:color="auto" w:fill="auto"/>
            <w:vAlign w:val="center"/>
          </w:tcPr>
          <w:p>
            <w:pPr>
              <w:pStyle w:val="33"/>
            </w:pPr>
          </w:p>
        </w:tc>
        <w:tc>
          <w:tcPr>
            <w:tcW w:w="421" w:type="pct"/>
            <w:shd w:val="clear" w:color="auto" w:fill="auto"/>
            <w:vAlign w:val="center"/>
          </w:tcPr>
          <w:p>
            <w:pPr>
              <w:pStyle w:val="33"/>
            </w:pPr>
            <w:r>
              <w:t>G</w:t>
            </w:r>
            <w:r>
              <w:rPr>
                <w:rFonts w:hint="eastAsia"/>
              </w:rPr>
              <w:t>2-5</w:t>
            </w:r>
          </w:p>
        </w:tc>
        <w:tc>
          <w:tcPr>
            <w:tcW w:w="985" w:type="pct"/>
            <w:shd w:val="clear" w:color="auto" w:fill="auto"/>
            <w:vAlign w:val="center"/>
          </w:tcPr>
          <w:p>
            <w:pPr>
              <w:pStyle w:val="33"/>
            </w:pPr>
            <w:r>
              <w:rPr>
                <w:rFonts w:hint="eastAsia"/>
              </w:rPr>
              <w:t>铸轧</w:t>
            </w:r>
          </w:p>
        </w:tc>
        <w:tc>
          <w:tcPr>
            <w:tcW w:w="786" w:type="pct"/>
            <w:shd w:val="clear" w:color="auto" w:fill="auto"/>
            <w:vAlign w:val="center"/>
          </w:tcPr>
          <w:p>
            <w:pPr>
              <w:pStyle w:val="33"/>
            </w:pPr>
            <w:r>
              <w:t>颗粒物、SO</w:t>
            </w:r>
            <w:r>
              <w:rPr>
                <w:vertAlign w:val="subscript"/>
              </w:rPr>
              <w:t>2</w:t>
            </w:r>
            <w:r>
              <w:t>、NO</w:t>
            </w:r>
            <w:r>
              <w:rPr>
                <w:vertAlign w:val="subscript"/>
              </w:rPr>
              <w:t>x</w:t>
            </w:r>
          </w:p>
        </w:tc>
        <w:tc>
          <w:tcPr>
            <w:tcW w:w="633" w:type="pct"/>
            <w:shd w:val="clear" w:color="auto" w:fill="auto"/>
            <w:vAlign w:val="center"/>
          </w:tcPr>
          <w:p>
            <w:pPr>
              <w:pStyle w:val="33"/>
            </w:pPr>
            <w:r>
              <w:t>无组织</w:t>
            </w:r>
            <w:r>
              <w:rPr>
                <w:rFonts w:hint="eastAsia"/>
              </w:rPr>
              <w:t>，连续性</w:t>
            </w:r>
          </w:p>
        </w:tc>
        <w:tc>
          <w:tcPr>
            <w:tcW w:w="1923" w:type="pct"/>
            <w:shd w:val="clear" w:color="auto" w:fill="auto"/>
            <w:vAlign w:val="center"/>
          </w:tcPr>
          <w:p>
            <w:pPr>
              <w:pStyle w:val="33"/>
            </w:pPr>
            <w:r>
              <w:rPr>
                <w:rFonts w:hint="eastAsia"/>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vMerge w:val="restart"/>
            <w:vAlign w:val="center"/>
          </w:tcPr>
          <w:p>
            <w:pPr>
              <w:pStyle w:val="33"/>
            </w:pPr>
            <w:r>
              <w:t>废水</w:t>
            </w:r>
          </w:p>
        </w:tc>
        <w:tc>
          <w:tcPr>
            <w:tcW w:w="0" w:type="auto"/>
            <w:vAlign w:val="center"/>
          </w:tcPr>
          <w:p>
            <w:pPr>
              <w:pStyle w:val="33"/>
            </w:pPr>
            <w:r>
              <w:rPr>
                <w:rFonts w:hint="eastAsia"/>
              </w:rPr>
              <w:t>W2-1</w:t>
            </w:r>
          </w:p>
        </w:tc>
        <w:tc>
          <w:tcPr>
            <w:tcW w:w="985" w:type="pct"/>
            <w:vAlign w:val="center"/>
          </w:tcPr>
          <w:p>
            <w:pPr>
              <w:pStyle w:val="33"/>
            </w:pPr>
            <w:r>
              <w:rPr>
                <w:rFonts w:hint="eastAsia"/>
              </w:rPr>
              <w:t>铸轧板冷却循环系统定期排水</w:t>
            </w:r>
          </w:p>
        </w:tc>
        <w:tc>
          <w:tcPr>
            <w:tcW w:w="786" w:type="pct"/>
            <w:vAlign w:val="center"/>
          </w:tcPr>
          <w:p>
            <w:pPr>
              <w:pStyle w:val="33"/>
            </w:pPr>
            <w:r>
              <w:rPr>
                <w:rFonts w:hint="eastAsia"/>
              </w:rPr>
              <w:t>悬浮物</w:t>
            </w:r>
          </w:p>
        </w:tc>
        <w:tc>
          <w:tcPr>
            <w:tcW w:w="633" w:type="pct"/>
            <w:vAlign w:val="center"/>
          </w:tcPr>
          <w:p>
            <w:pPr>
              <w:pStyle w:val="33"/>
            </w:pPr>
            <w:r>
              <w:t>间断</w:t>
            </w:r>
          </w:p>
        </w:tc>
        <w:tc>
          <w:tcPr>
            <w:tcW w:w="1923" w:type="pct"/>
            <w:vAlign w:val="center"/>
          </w:tcPr>
          <w:p>
            <w:pPr>
              <w:pStyle w:val="33"/>
            </w:pPr>
            <w:r>
              <w:rPr>
                <w:rFonts w:hint="eastAsia"/>
              </w:rPr>
              <w:t>收集后通过污水管网进入砚山县第一污水处理厂处理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t>W</w:t>
            </w:r>
            <w:r>
              <w:rPr>
                <w:rFonts w:hint="eastAsia"/>
              </w:rPr>
              <w:t>2-2</w:t>
            </w:r>
          </w:p>
        </w:tc>
        <w:tc>
          <w:tcPr>
            <w:tcW w:w="985" w:type="pct"/>
            <w:vAlign w:val="center"/>
          </w:tcPr>
          <w:p>
            <w:pPr>
              <w:pStyle w:val="33"/>
            </w:pPr>
            <w:r>
              <w:t>职工生活</w:t>
            </w:r>
          </w:p>
        </w:tc>
        <w:tc>
          <w:tcPr>
            <w:tcW w:w="786" w:type="pct"/>
            <w:vAlign w:val="center"/>
          </w:tcPr>
          <w:p>
            <w:pPr>
              <w:pStyle w:val="33"/>
            </w:pPr>
            <w:r>
              <w:rPr>
                <w:rFonts w:hint="eastAsia"/>
              </w:rPr>
              <w:t>C</w:t>
            </w:r>
            <w:r>
              <w:t>OD</w:t>
            </w:r>
            <w:r>
              <w:rPr>
                <w:rFonts w:hint="eastAsia"/>
              </w:rPr>
              <w:t>cr、B</w:t>
            </w:r>
            <w:r>
              <w:t>OD5</w:t>
            </w:r>
            <w:r>
              <w:rPr>
                <w:rFonts w:hint="eastAsia"/>
              </w:rPr>
              <w:t>、氨氮、悬浮物、动植物油</w:t>
            </w:r>
          </w:p>
        </w:tc>
        <w:tc>
          <w:tcPr>
            <w:tcW w:w="633" w:type="pct"/>
            <w:vAlign w:val="center"/>
          </w:tcPr>
          <w:p>
            <w:pPr>
              <w:pStyle w:val="33"/>
            </w:pPr>
            <w:r>
              <w:t>间断</w:t>
            </w:r>
          </w:p>
        </w:tc>
        <w:tc>
          <w:tcPr>
            <w:tcW w:w="1923" w:type="pct"/>
          </w:tcPr>
          <w:p>
            <w:pPr>
              <w:pStyle w:val="33"/>
            </w:pPr>
            <w:r>
              <w:rPr>
                <w:rFonts w:hint="eastAsia"/>
              </w:rPr>
              <w:t>化粪池、隔油池处理后通过污水管网进入砚山县第一污水处理厂处理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t>W</w:t>
            </w:r>
            <w:r>
              <w:rPr>
                <w:rFonts w:hint="eastAsia"/>
              </w:rPr>
              <w:t>2-3</w:t>
            </w:r>
          </w:p>
        </w:tc>
        <w:tc>
          <w:tcPr>
            <w:tcW w:w="985" w:type="pct"/>
            <w:vAlign w:val="center"/>
          </w:tcPr>
          <w:p>
            <w:pPr>
              <w:pStyle w:val="33"/>
            </w:pPr>
            <w:r>
              <w:rPr>
                <w:rFonts w:hint="eastAsia"/>
              </w:rPr>
              <w:t>初期雨水</w:t>
            </w:r>
          </w:p>
        </w:tc>
        <w:tc>
          <w:tcPr>
            <w:tcW w:w="786" w:type="pct"/>
            <w:vAlign w:val="center"/>
          </w:tcPr>
          <w:p>
            <w:pPr>
              <w:pStyle w:val="33"/>
            </w:pPr>
            <w:r>
              <w:rPr>
                <w:rFonts w:hint="eastAsia"/>
              </w:rPr>
              <w:t>C</w:t>
            </w:r>
            <w:r>
              <w:t>OD</w:t>
            </w:r>
            <w:r>
              <w:rPr>
                <w:rFonts w:hint="eastAsia"/>
              </w:rPr>
              <w:t>cr、悬浮物</w:t>
            </w:r>
          </w:p>
        </w:tc>
        <w:tc>
          <w:tcPr>
            <w:tcW w:w="633" w:type="pct"/>
            <w:vAlign w:val="center"/>
          </w:tcPr>
          <w:p>
            <w:pPr>
              <w:pStyle w:val="33"/>
            </w:pPr>
            <w:r>
              <w:t>间断</w:t>
            </w:r>
          </w:p>
        </w:tc>
        <w:tc>
          <w:tcPr>
            <w:tcW w:w="1923" w:type="pct"/>
            <w:vAlign w:val="center"/>
          </w:tcPr>
          <w:p>
            <w:pPr>
              <w:pStyle w:val="33"/>
            </w:pPr>
            <w:r>
              <w:t>经</w:t>
            </w:r>
            <w:r>
              <w:rPr>
                <w:rFonts w:hint="eastAsia"/>
              </w:rPr>
              <w:t>初期雨水池收集沉淀后</w:t>
            </w:r>
            <w:r>
              <w:t>回用</w:t>
            </w:r>
            <w:r>
              <w:rPr>
                <w:rFonts w:hint="eastAsia"/>
              </w:rPr>
              <w:t>于厂区绿化和道路清扫，剩余部分用于冷却循环系统补充水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restart"/>
            <w:vAlign w:val="center"/>
          </w:tcPr>
          <w:p>
            <w:pPr>
              <w:pStyle w:val="33"/>
            </w:pPr>
            <w:r>
              <w:t>固废</w:t>
            </w:r>
          </w:p>
        </w:tc>
        <w:tc>
          <w:tcPr>
            <w:tcW w:w="0" w:type="auto"/>
            <w:vAlign w:val="center"/>
          </w:tcPr>
          <w:p>
            <w:pPr>
              <w:pStyle w:val="33"/>
            </w:pPr>
            <w:r>
              <w:t>S</w:t>
            </w:r>
            <w:r>
              <w:rPr>
                <w:rFonts w:hint="eastAsia"/>
              </w:rPr>
              <w:t>2-</w:t>
            </w:r>
            <w:r>
              <w:t>1</w:t>
            </w:r>
          </w:p>
        </w:tc>
        <w:tc>
          <w:tcPr>
            <w:tcW w:w="985" w:type="pct"/>
            <w:vAlign w:val="center"/>
          </w:tcPr>
          <w:p>
            <w:pPr>
              <w:pStyle w:val="33"/>
            </w:pPr>
            <w:r>
              <w:t>铝灰分离系统</w:t>
            </w:r>
          </w:p>
        </w:tc>
        <w:tc>
          <w:tcPr>
            <w:tcW w:w="786" w:type="pct"/>
            <w:vAlign w:val="center"/>
          </w:tcPr>
          <w:p>
            <w:pPr>
              <w:pStyle w:val="33"/>
            </w:pPr>
            <w:r>
              <w:t>铝灰</w:t>
            </w:r>
          </w:p>
        </w:tc>
        <w:tc>
          <w:tcPr>
            <w:tcW w:w="633" w:type="pct"/>
            <w:vAlign w:val="center"/>
          </w:tcPr>
          <w:p>
            <w:pPr>
              <w:pStyle w:val="33"/>
            </w:pPr>
            <w:r>
              <w:t>间断</w:t>
            </w:r>
          </w:p>
        </w:tc>
        <w:tc>
          <w:tcPr>
            <w:tcW w:w="1923" w:type="pct"/>
            <w:vAlign w:val="center"/>
          </w:tcPr>
          <w:p>
            <w:pPr>
              <w:pStyle w:val="33"/>
            </w:pPr>
            <w: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t>S</w:t>
            </w:r>
            <w:r>
              <w:rPr>
                <w:rFonts w:hint="eastAsia"/>
              </w:rPr>
              <w:t>2-</w:t>
            </w:r>
            <w:r>
              <w:t>2</w:t>
            </w:r>
          </w:p>
        </w:tc>
        <w:tc>
          <w:tcPr>
            <w:tcW w:w="985" w:type="pct"/>
            <w:vAlign w:val="center"/>
          </w:tcPr>
          <w:p>
            <w:pPr>
              <w:pStyle w:val="33"/>
            </w:pPr>
            <w:r>
              <w:t>除尘系统</w:t>
            </w:r>
          </w:p>
        </w:tc>
        <w:tc>
          <w:tcPr>
            <w:tcW w:w="786" w:type="pct"/>
            <w:vAlign w:val="center"/>
          </w:tcPr>
          <w:p>
            <w:pPr>
              <w:pStyle w:val="33"/>
            </w:pPr>
            <w:r>
              <w:t>金属氧化物及夹杂物</w:t>
            </w:r>
          </w:p>
        </w:tc>
        <w:tc>
          <w:tcPr>
            <w:tcW w:w="633" w:type="pct"/>
            <w:vAlign w:val="center"/>
          </w:tcPr>
          <w:p>
            <w:pPr>
              <w:pStyle w:val="33"/>
            </w:pPr>
            <w:r>
              <w:t>间断</w:t>
            </w:r>
          </w:p>
        </w:tc>
        <w:tc>
          <w:tcPr>
            <w:tcW w:w="1923" w:type="pct"/>
            <w:vAlign w:val="center"/>
          </w:tcPr>
          <w:p>
            <w:pPr>
              <w:pStyle w:val="33"/>
            </w:pPr>
            <w: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t>S</w:t>
            </w:r>
            <w:r>
              <w:rPr>
                <w:rFonts w:hint="eastAsia"/>
              </w:rPr>
              <w:t>2-3</w:t>
            </w:r>
          </w:p>
        </w:tc>
        <w:tc>
          <w:tcPr>
            <w:tcW w:w="985" w:type="pct"/>
            <w:vAlign w:val="center"/>
          </w:tcPr>
          <w:p>
            <w:pPr>
              <w:pStyle w:val="33"/>
            </w:pPr>
            <w:r>
              <w:t>过滤槽</w:t>
            </w:r>
          </w:p>
        </w:tc>
        <w:tc>
          <w:tcPr>
            <w:tcW w:w="786" w:type="pct"/>
            <w:vAlign w:val="center"/>
          </w:tcPr>
          <w:p>
            <w:pPr>
              <w:pStyle w:val="33"/>
            </w:pPr>
            <w:r>
              <w:t>废过滤板</w:t>
            </w:r>
          </w:p>
        </w:tc>
        <w:tc>
          <w:tcPr>
            <w:tcW w:w="633" w:type="pct"/>
            <w:vAlign w:val="center"/>
          </w:tcPr>
          <w:p>
            <w:pPr>
              <w:pStyle w:val="33"/>
            </w:pPr>
            <w:r>
              <w:t>间断</w:t>
            </w:r>
          </w:p>
        </w:tc>
        <w:tc>
          <w:tcPr>
            <w:tcW w:w="1923" w:type="pct"/>
          </w:tcPr>
          <w:p>
            <w:pPr>
              <w:pStyle w:val="33"/>
            </w:pPr>
            <w:r>
              <w:rPr>
                <w:rFonts w:hint="eastAsia"/>
              </w:rPr>
              <w:t>由更换厂家回收处置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rPr>
                <w:rFonts w:hint="eastAsia"/>
              </w:rPr>
              <w:t>S2-4</w:t>
            </w:r>
          </w:p>
        </w:tc>
        <w:tc>
          <w:tcPr>
            <w:tcW w:w="985" w:type="pct"/>
            <w:vAlign w:val="center"/>
          </w:tcPr>
          <w:p>
            <w:pPr>
              <w:pStyle w:val="33"/>
            </w:pPr>
            <w:r>
              <w:rPr>
                <w:rFonts w:hint="eastAsia"/>
              </w:rPr>
              <w:t>铸轧</w:t>
            </w:r>
            <w:r>
              <w:t>工序</w:t>
            </w:r>
          </w:p>
        </w:tc>
        <w:tc>
          <w:tcPr>
            <w:tcW w:w="786" w:type="pct"/>
            <w:vAlign w:val="center"/>
          </w:tcPr>
          <w:p>
            <w:pPr>
              <w:pStyle w:val="33"/>
            </w:pPr>
            <w:r>
              <w:t>下脚料、铝屑</w:t>
            </w:r>
          </w:p>
        </w:tc>
        <w:tc>
          <w:tcPr>
            <w:tcW w:w="633" w:type="pct"/>
            <w:vAlign w:val="center"/>
          </w:tcPr>
          <w:p>
            <w:pPr>
              <w:pStyle w:val="33"/>
            </w:pPr>
            <w:r>
              <w:t>间断</w:t>
            </w:r>
          </w:p>
        </w:tc>
        <w:tc>
          <w:tcPr>
            <w:tcW w:w="1923" w:type="pct"/>
            <w:vAlign w:val="center"/>
          </w:tcPr>
          <w:p>
            <w:pPr>
              <w:pStyle w:val="33"/>
            </w:pPr>
            <w:r>
              <w:rPr>
                <w:rFonts w:hint="eastAsia"/>
              </w:rPr>
              <w:t>集中收集后作为原材料回用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t>S</w:t>
            </w:r>
            <w:r>
              <w:rPr>
                <w:rFonts w:hint="eastAsia"/>
              </w:rPr>
              <w:t>2-5</w:t>
            </w:r>
          </w:p>
        </w:tc>
        <w:tc>
          <w:tcPr>
            <w:tcW w:w="985" w:type="pct"/>
            <w:vAlign w:val="center"/>
          </w:tcPr>
          <w:p>
            <w:pPr>
              <w:pStyle w:val="33"/>
            </w:pPr>
            <w:r>
              <w:t>检验工序</w:t>
            </w:r>
          </w:p>
        </w:tc>
        <w:tc>
          <w:tcPr>
            <w:tcW w:w="786" w:type="pct"/>
            <w:vAlign w:val="center"/>
          </w:tcPr>
          <w:p>
            <w:pPr>
              <w:pStyle w:val="33"/>
            </w:pPr>
            <w:r>
              <w:t>不合格品</w:t>
            </w:r>
          </w:p>
        </w:tc>
        <w:tc>
          <w:tcPr>
            <w:tcW w:w="633" w:type="pct"/>
            <w:vAlign w:val="center"/>
          </w:tcPr>
          <w:p>
            <w:pPr>
              <w:pStyle w:val="33"/>
            </w:pPr>
            <w:r>
              <w:t>间断</w:t>
            </w:r>
          </w:p>
        </w:tc>
        <w:tc>
          <w:tcPr>
            <w:tcW w:w="1923" w:type="pct"/>
            <w:vAlign w:val="center"/>
          </w:tcPr>
          <w:p>
            <w:pPr>
              <w:pStyle w:val="33"/>
            </w:pPr>
            <w:r>
              <w:rPr>
                <w:rFonts w:hint="eastAsia"/>
              </w:rPr>
              <w:t>集中收集后作为原材料回用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pPr>
            <w:r>
              <w:t>S</w:t>
            </w:r>
            <w:r>
              <w:rPr>
                <w:rFonts w:hint="eastAsia"/>
              </w:rPr>
              <w:t>2-6</w:t>
            </w:r>
          </w:p>
        </w:tc>
        <w:tc>
          <w:tcPr>
            <w:tcW w:w="985" w:type="pct"/>
            <w:vAlign w:val="center"/>
          </w:tcPr>
          <w:p>
            <w:pPr>
              <w:pStyle w:val="33"/>
            </w:pPr>
            <w:r>
              <w:rPr>
                <w:rFonts w:hint="eastAsia"/>
              </w:rPr>
              <w:t>包装工序</w:t>
            </w:r>
          </w:p>
        </w:tc>
        <w:tc>
          <w:tcPr>
            <w:tcW w:w="786" w:type="pct"/>
            <w:vAlign w:val="center"/>
          </w:tcPr>
          <w:p>
            <w:pPr>
              <w:pStyle w:val="33"/>
            </w:pPr>
            <w:r>
              <w:t>废包装物</w:t>
            </w:r>
          </w:p>
        </w:tc>
        <w:tc>
          <w:tcPr>
            <w:tcW w:w="633" w:type="pct"/>
            <w:vAlign w:val="center"/>
          </w:tcPr>
          <w:p>
            <w:pPr>
              <w:pStyle w:val="33"/>
            </w:pPr>
            <w:r>
              <w:t>间断</w:t>
            </w:r>
          </w:p>
        </w:tc>
        <w:tc>
          <w:tcPr>
            <w:tcW w:w="1923" w:type="pct"/>
            <w:vAlign w:val="center"/>
          </w:tcPr>
          <w:p>
            <w:pPr>
              <w:pStyle w:val="33"/>
            </w:pPr>
            <w:r>
              <w:rPr>
                <w:rFonts w:hint="eastAsia"/>
              </w:rPr>
              <w:t>收集后作外售处理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rPr>
                <w:color w:val="auto"/>
              </w:rPr>
            </w:pPr>
          </w:p>
        </w:tc>
        <w:tc>
          <w:tcPr>
            <w:tcW w:w="0" w:type="auto"/>
            <w:vAlign w:val="center"/>
          </w:tcPr>
          <w:p>
            <w:pPr>
              <w:pStyle w:val="33"/>
              <w:rPr>
                <w:color w:val="auto"/>
              </w:rPr>
            </w:pPr>
            <w:r>
              <w:rPr>
                <w:color w:val="auto"/>
              </w:rPr>
              <w:t>S</w:t>
            </w:r>
            <w:r>
              <w:rPr>
                <w:rFonts w:hint="eastAsia"/>
                <w:color w:val="auto"/>
              </w:rPr>
              <w:t>2-7</w:t>
            </w:r>
          </w:p>
        </w:tc>
        <w:tc>
          <w:tcPr>
            <w:tcW w:w="985" w:type="pct"/>
            <w:vAlign w:val="center"/>
          </w:tcPr>
          <w:p>
            <w:pPr>
              <w:pStyle w:val="33"/>
              <w:rPr>
                <w:color w:val="auto"/>
              </w:rPr>
            </w:pPr>
            <w:r>
              <w:rPr>
                <w:color w:val="auto"/>
              </w:rPr>
              <w:t>设备维修、保养</w:t>
            </w:r>
          </w:p>
        </w:tc>
        <w:tc>
          <w:tcPr>
            <w:tcW w:w="786" w:type="pct"/>
            <w:vAlign w:val="center"/>
          </w:tcPr>
          <w:p>
            <w:pPr>
              <w:pStyle w:val="33"/>
              <w:rPr>
                <w:color w:val="auto"/>
              </w:rPr>
            </w:pPr>
            <w:r>
              <w:rPr>
                <w:color w:val="auto"/>
              </w:rPr>
              <w:t>废润滑油、废机油</w:t>
            </w:r>
          </w:p>
        </w:tc>
        <w:tc>
          <w:tcPr>
            <w:tcW w:w="633" w:type="pct"/>
            <w:vAlign w:val="center"/>
          </w:tcPr>
          <w:p>
            <w:pPr>
              <w:pStyle w:val="33"/>
              <w:rPr>
                <w:color w:val="auto"/>
              </w:rPr>
            </w:pPr>
            <w:r>
              <w:rPr>
                <w:color w:val="auto"/>
              </w:rPr>
              <w:t>间断</w:t>
            </w:r>
          </w:p>
        </w:tc>
        <w:tc>
          <w:tcPr>
            <w:tcW w:w="1923" w:type="pct"/>
            <w:vAlign w:val="center"/>
          </w:tcPr>
          <w:p>
            <w:pPr>
              <w:pStyle w:val="33"/>
              <w:rPr>
                <w:color w:val="auto"/>
              </w:rPr>
            </w:pPr>
            <w:r>
              <w:rPr>
                <w:color w:val="auto"/>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rPr>
                <w:color w:val="auto"/>
              </w:rPr>
            </w:pPr>
          </w:p>
          <w:p>
            <w:pPr>
              <w:pStyle w:val="33"/>
              <w:rPr>
                <w:color w:val="auto"/>
              </w:rPr>
            </w:pPr>
          </w:p>
        </w:tc>
        <w:tc>
          <w:tcPr>
            <w:tcW w:w="0" w:type="auto"/>
            <w:vAlign w:val="center"/>
          </w:tcPr>
          <w:p>
            <w:pPr>
              <w:pStyle w:val="33"/>
              <w:rPr>
                <w:rFonts w:ascii="Times New Roman" w:hAnsi="Times New Roman" w:eastAsia="宋体" w:cs="Times New Roman"/>
                <w:color w:val="auto"/>
                <w:kern w:val="2"/>
                <w:sz w:val="21"/>
                <w:szCs w:val="24"/>
                <w:lang w:val="en-US" w:eastAsia="zh-CN" w:bidi="ar-SA"/>
              </w:rPr>
            </w:pPr>
            <w:r>
              <w:rPr>
                <w:color w:val="auto"/>
              </w:rPr>
              <w:t>S</w:t>
            </w:r>
            <w:r>
              <w:rPr>
                <w:rFonts w:hint="eastAsia"/>
                <w:color w:val="auto"/>
                <w:lang w:val="en-US" w:eastAsia="zh-CN"/>
              </w:rPr>
              <w:t>2</w:t>
            </w:r>
            <w:r>
              <w:rPr>
                <w:rFonts w:hint="eastAsia"/>
                <w:color w:val="auto"/>
              </w:rPr>
              <w:t>-8</w:t>
            </w:r>
          </w:p>
        </w:tc>
        <w:tc>
          <w:tcPr>
            <w:tcW w:w="985"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lang w:val="en-US" w:eastAsia="zh-CN"/>
              </w:rPr>
              <w:t>质检</w:t>
            </w:r>
            <w:r>
              <w:rPr>
                <w:rFonts w:hint="eastAsia"/>
                <w:color w:val="auto"/>
              </w:rPr>
              <w:t>室</w:t>
            </w:r>
          </w:p>
        </w:tc>
        <w:tc>
          <w:tcPr>
            <w:tcW w:w="786"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废酸液</w:t>
            </w:r>
          </w:p>
        </w:tc>
        <w:tc>
          <w:tcPr>
            <w:tcW w:w="633"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间断</w:t>
            </w:r>
          </w:p>
        </w:tc>
        <w:tc>
          <w:tcPr>
            <w:tcW w:w="1923" w:type="pct"/>
            <w:vAlign w:val="center"/>
          </w:tcPr>
          <w:p>
            <w:pPr>
              <w:pStyle w:val="33"/>
              <w:rPr>
                <w:rFonts w:ascii="Times New Roman" w:hAnsi="Times New Roman" w:eastAsia="宋体" w:cs="Times New Roman"/>
                <w:color w:val="auto"/>
                <w:kern w:val="2"/>
                <w:sz w:val="21"/>
                <w:szCs w:val="24"/>
                <w:lang w:val="en-US" w:eastAsia="zh-CN" w:bidi="ar-SA"/>
              </w:rPr>
            </w:pPr>
            <w:r>
              <w:rPr>
                <w:color w:val="auto"/>
                <w:szCs w:val="21"/>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rPr>
                <w:color w:val="auto"/>
              </w:rPr>
            </w:pPr>
          </w:p>
        </w:tc>
        <w:tc>
          <w:tcPr>
            <w:tcW w:w="0" w:type="auto"/>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S</w:t>
            </w:r>
            <w:r>
              <w:rPr>
                <w:rFonts w:hint="eastAsia"/>
                <w:color w:val="auto"/>
                <w:lang w:val="en-US" w:eastAsia="zh-CN"/>
              </w:rPr>
              <w:t>2</w:t>
            </w:r>
            <w:r>
              <w:rPr>
                <w:rFonts w:hint="eastAsia"/>
                <w:color w:val="auto"/>
              </w:rPr>
              <w:t>-9</w:t>
            </w:r>
          </w:p>
        </w:tc>
        <w:tc>
          <w:tcPr>
            <w:tcW w:w="985"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lang w:val="en-US" w:eastAsia="zh-CN"/>
              </w:rPr>
              <w:t>质检</w:t>
            </w:r>
            <w:r>
              <w:rPr>
                <w:rFonts w:hint="eastAsia"/>
                <w:color w:val="auto"/>
              </w:rPr>
              <w:t>室</w:t>
            </w:r>
          </w:p>
        </w:tc>
        <w:tc>
          <w:tcPr>
            <w:tcW w:w="786"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废碱液</w:t>
            </w:r>
          </w:p>
        </w:tc>
        <w:tc>
          <w:tcPr>
            <w:tcW w:w="633"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间断</w:t>
            </w:r>
          </w:p>
        </w:tc>
        <w:tc>
          <w:tcPr>
            <w:tcW w:w="1923" w:type="pct"/>
            <w:vAlign w:val="center"/>
          </w:tcPr>
          <w:p>
            <w:pPr>
              <w:pStyle w:val="33"/>
              <w:rPr>
                <w:rFonts w:ascii="Times New Roman" w:hAnsi="Times New Roman" w:eastAsia="宋体" w:cs="Times New Roman"/>
                <w:color w:val="auto"/>
                <w:kern w:val="2"/>
                <w:sz w:val="21"/>
                <w:szCs w:val="24"/>
                <w:lang w:val="en-US" w:eastAsia="zh-CN" w:bidi="ar-SA"/>
              </w:rPr>
            </w:pPr>
            <w:r>
              <w:rPr>
                <w:color w:val="auto"/>
                <w:szCs w:val="21"/>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rPr>
                <w:rFonts w:hint="default" w:eastAsia="宋体"/>
                <w:lang w:val="en-US" w:eastAsia="zh-CN"/>
              </w:rPr>
            </w:pPr>
            <w:r>
              <w:rPr>
                <w:rFonts w:hint="eastAsia"/>
              </w:rPr>
              <w:t>S2-</w:t>
            </w:r>
            <w:r>
              <w:rPr>
                <w:rFonts w:hint="eastAsia"/>
                <w:lang w:val="en-US" w:eastAsia="zh-CN"/>
              </w:rPr>
              <w:t>10</w:t>
            </w:r>
          </w:p>
        </w:tc>
        <w:tc>
          <w:tcPr>
            <w:tcW w:w="985" w:type="pct"/>
            <w:vAlign w:val="center"/>
          </w:tcPr>
          <w:p>
            <w:pPr>
              <w:pStyle w:val="33"/>
            </w:pPr>
            <w:r>
              <w:rPr>
                <w:rFonts w:hint="eastAsia"/>
              </w:rPr>
              <w:t>初期雨水收集池和循环冷却水池</w:t>
            </w:r>
          </w:p>
        </w:tc>
        <w:tc>
          <w:tcPr>
            <w:tcW w:w="786" w:type="pct"/>
            <w:vAlign w:val="center"/>
          </w:tcPr>
          <w:p>
            <w:pPr>
              <w:pStyle w:val="33"/>
            </w:pPr>
            <w:r>
              <w:rPr>
                <w:rFonts w:hint="eastAsia"/>
              </w:rPr>
              <w:t>污泥</w:t>
            </w:r>
          </w:p>
        </w:tc>
        <w:tc>
          <w:tcPr>
            <w:tcW w:w="633" w:type="pct"/>
            <w:vAlign w:val="center"/>
          </w:tcPr>
          <w:p>
            <w:pPr>
              <w:pStyle w:val="33"/>
            </w:pPr>
            <w:r>
              <w:t>间断</w:t>
            </w:r>
          </w:p>
        </w:tc>
        <w:tc>
          <w:tcPr>
            <w:tcW w:w="1923" w:type="pct"/>
            <w:vAlign w:val="center"/>
          </w:tcPr>
          <w:p>
            <w:pPr>
              <w:pStyle w:val="33"/>
            </w:pPr>
            <w:r>
              <w:rPr>
                <w:rFonts w:hint="eastAsia"/>
              </w:rPr>
              <w:t>环卫部门定期统一清理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 w:type="pct"/>
            <w:vMerge w:val="continue"/>
          </w:tcPr>
          <w:p>
            <w:pPr>
              <w:pStyle w:val="33"/>
            </w:pPr>
          </w:p>
        </w:tc>
        <w:tc>
          <w:tcPr>
            <w:tcW w:w="0" w:type="auto"/>
            <w:vAlign w:val="center"/>
          </w:tcPr>
          <w:p>
            <w:pPr>
              <w:pStyle w:val="33"/>
              <w:rPr>
                <w:rFonts w:hint="default" w:eastAsia="宋体"/>
                <w:lang w:val="en-US" w:eastAsia="zh-CN"/>
              </w:rPr>
            </w:pPr>
            <w:r>
              <w:t>S</w:t>
            </w:r>
            <w:r>
              <w:rPr>
                <w:rFonts w:hint="eastAsia"/>
              </w:rPr>
              <w:t>2-</w:t>
            </w:r>
            <w:r>
              <w:rPr>
                <w:rFonts w:hint="eastAsia"/>
                <w:lang w:val="en-US" w:eastAsia="zh-CN"/>
              </w:rPr>
              <w:t>11</w:t>
            </w:r>
          </w:p>
        </w:tc>
        <w:tc>
          <w:tcPr>
            <w:tcW w:w="985" w:type="pct"/>
            <w:vAlign w:val="center"/>
          </w:tcPr>
          <w:p>
            <w:pPr>
              <w:pStyle w:val="33"/>
            </w:pPr>
            <w:r>
              <w:t>职工生活</w:t>
            </w:r>
          </w:p>
        </w:tc>
        <w:tc>
          <w:tcPr>
            <w:tcW w:w="786" w:type="pct"/>
            <w:vAlign w:val="center"/>
          </w:tcPr>
          <w:p>
            <w:pPr>
              <w:pStyle w:val="33"/>
            </w:pPr>
            <w:r>
              <w:t>生活垃圾</w:t>
            </w:r>
          </w:p>
        </w:tc>
        <w:tc>
          <w:tcPr>
            <w:tcW w:w="633" w:type="pct"/>
            <w:vAlign w:val="center"/>
          </w:tcPr>
          <w:p>
            <w:pPr>
              <w:pStyle w:val="33"/>
            </w:pPr>
            <w:r>
              <w:t>间断</w:t>
            </w:r>
          </w:p>
        </w:tc>
        <w:tc>
          <w:tcPr>
            <w:tcW w:w="1923" w:type="pct"/>
            <w:vAlign w:val="center"/>
          </w:tcPr>
          <w:p>
            <w:pPr>
              <w:pStyle w:val="33"/>
            </w:pPr>
            <w:r>
              <w:t>环卫部门</w:t>
            </w:r>
            <w:r>
              <w:rPr>
                <w:rFonts w:hint="eastAsia"/>
              </w:rPr>
              <w:t>定期</w:t>
            </w:r>
            <w:r>
              <w:t>统一清理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3"/>
              <w:rPr>
                <w:highlight w:val="none"/>
              </w:rPr>
            </w:pPr>
            <w:r>
              <w:rPr>
                <w:highlight w:val="none"/>
              </w:rPr>
              <w:t>噪声</w:t>
            </w:r>
          </w:p>
        </w:tc>
        <w:tc>
          <w:tcPr>
            <w:tcW w:w="0" w:type="auto"/>
            <w:vAlign w:val="center"/>
          </w:tcPr>
          <w:p>
            <w:pPr>
              <w:pStyle w:val="33"/>
              <w:rPr>
                <w:highlight w:val="none"/>
              </w:rPr>
            </w:pPr>
            <w:r>
              <w:rPr>
                <w:highlight w:val="none"/>
              </w:rPr>
              <w:t>N</w:t>
            </w:r>
          </w:p>
        </w:tc>
        <w:tc>
          <w:tcPr>
            <w:tcW w:w="985" w:type="pct"/>
            <w:vAlign w:val="center"/>
          </w:tcPr>
          <w:p>
            <w:pPr>
              <w:pStyle w:val="33"/>
              <w:rPr>
                <w:rFonts w:hint="eastAsia"/>
                <w:highlight w:val="none"/>
              </w:rPr>
            </w:pPr>
            <w:r>
              <w:rPr>
                <w:rFonts w:hint="eastAsia"/>
                <w:highlight w:val="none"/>
                <w:lang w:val="en-US" w:eastAsia="zh-CN"/>
              </w:rPr>
              <w:t>磨床</w:t>
            </w:r>
            <w:r>
              <w:rPr>
                <w:rFonts w:hint="eastAsia"/>
                <w:highlight w:val="none"/>
                <w:lang w:eastAsia="zh-CN"/>
              </w:rPr>
              <w:t>、</w:t>
            </w:r>
            <w:r>
              <w:rPr>
                <w:rFonts w:hint="eastAsia"/>
                <w:highlight w:val="none"/>
              </w:rPr>
              <w:t>风机</w:t>
            </w:r>
          </w:p>
          <w:p>
            <w:pPr>
              <w:pStyle w:val="33"/>
              <w:rPr>
                <w:rFonts w:hint="eastAsia" w:eastAsia="宋体"/>
                <w:highlight w:val="none"/>
                <w:lang w:val="en-US" w:eastAsia="zh-CN"/>
              </w:rPr>
            </w:pPr>
            <w:r>
              <w:rPr>
                <w:rFonts w:hint="eastAsia"/>
                <w:highlight w:val="none"/>
              </w:rPr>
              <w:t>循环水泵</w:t>
            </w:r>
            <w:r>
              <w:rPr>
                <w:rFonts w:hint="eastAsia"/>
                <w:highlight w:val="none"/>
                <w:lang w:eastAsia="zh-CN"/>
              </w:rPr>
              <w:t>、</w:t>
            </w:r>
            <w:r>
              <w:rPr>
                <w:rFonts w:hint="eastAsia"/>
                <w:highlight w:val="none"/>
              </w:rPr>
              <w:t>空压机</w:t>
            </w:r>
            <w:r>
              <w:rPr>
                <w:rFonts w:hint="eastAsia"/>
                <w:highlight w:val="none"/>
                <w:lang w:val="en-US" w:eastAsia="zh-CN"/>
              </w:rPr>
              <w:t>等</w:t>
            </w:r>
          </w:p>
        </w:tc>
        <w:tc>
          <w:tcPr>
            <w:tcW w:w="786" w:type="pct"/>
            <w:vAlign w:val="center"/>
          </w:tcPr>
          <w:p>
            <w:pPr>
              <w:pStyle w:val="33"/>
              <w:rPr>
                <w:highlight w:val="none"/>
              </w:rPr>
            </w:pPr>
            <w:r>
              <w:rPr>
                <w:highlight w:val="none"/>
              </w:rPr>
              <w:t>机械噪声</w:t>
            </w:r>
          </w:p>
        </w:tc>
        <w:tc>
          <w:tcPr>
            <w:tcW w:w="633" w:type="pct"/>
            <w:vAlign w:val="center"/>
          </w:tcPr>
          <w:p>
            <w:pPr>
              <w:pStyle w:val="33"/>
              <w:rPr>
                <w:highlight w:val="none"/>
              </w:rPr>
            </w:pPr>
            <w:r>
              <w:rPr>
                <w:highlight w:val="none"/>
              </w:rPr>
              <w:t>连续</w:t>
            </w:r>
          </w:p>
        </w:tc>
        <w:tc>
          <w:tcPr>
            <w:tcW w:w="1923" w:type="pct"/>
            <w:vAlign w:val="center"/>
          </w:tcPr>
          <w:p>
            <w:pPr>
              <w:pStyle w:val="33"/>
              <w:rPr>
                <w:highlight w:val="none"/>
              </w:rPr>
            </w:pPr>
            <w:r>
              <w:rPr>
                <w:highlight w:val="none"/>
              </w:rPr>
              <w:t>消声、隔声、减震</w:t>
            </w:r>
          </w:p>
        </w:tc>
      </w:tr>
    </w:tbl>
    <w:p>
      <w:pPr>
        <w:pStyle w:val="5"/>
      </w:pPr>
      <w:bookmarkStart w:id="78" w:name="_Toc13"/>
      <w:r>
        <w:rPr>
          <w:rFonts w:hint="eastAsia"/>
        </w:rPr>
        <w:t>4.3相关平衡分析</w:t>
      </w:r>
      <w:bookmarkEnd w:id="78"/>
    </w:p>
    <w:p>
      <w:pPr>
        <w:pStyle w:val="8"/>
      </w:pPr>
      <w:r>
        <w:rPr>
          <w:rFonts w:hint="eastAsia"/>
        </w:rPr>
        <w:t>4.3.1一期工程相关平衡分析</w:t>
      </w:r>
    </w:p>
    <w:p>
      <w:pPr>
        <w:pStyle w:val="9"/>
      </w:pPr>
      <w:r>
        <w:rPr>
          <w:rFonts w:hint="eastAsia"/>
        </w:rPr>
        <w:t>4.3.1.1物料平衡</w:t>
      </w:r>
    </w:p>
    <w:p>
      <w:pPr>
        <w:pStyle w:val="7"/>
        <w:ind w:firstLine="480"/>
      </w:pPr>
      <w:r>
        <w:rPr>
          <w:rFonts w:hint="eastAsia"/>
        </w:rPr>
        <w:t>一期工程总物料平衡见表4.3-1。</w:t>
      </w:r>
    </w:p>
    <w:p>
      <w:pPr>
        <w:pStyle w:val="41"/>
      </w:pPr>
      <w:r>
        <w:rPr>
          <w:rFonts w:hint="eastAsia"/>
        </w:rPr>
        <w:t>表4.3-1  物料平衡一览表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614"/>
        <w:gridCol w:w="1438"/>
        <w:gridCol w:w="1182"/>
        <w:gridCol w:w="784"/>
        <w:gridCol w:w="2678"/>
        <w:gridCol w:w="1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37" w:type="pct"/>
            <w:gridSpan w:val="4"/>
            <w:vAlign w:val="center"/>
          </w:tcPr>
          <w:p>
            <w:pPr>
              <w:pStyle w:val="33"/>
            </w:pPr>
            <w:r>
              <w:rPr>
                <w:rFonts w:hint="eastAsia"/>
              </w:rPr>
              <w:t>投入物料（t/a）</w:t>
            </w:r>
          </w:p>
        </w:tc>
        <w:tc>
          <w:tcPr>
            <w:tcW w:w="2762" w:type="pct"/>
            <w:gridSpan w:val="3"/>
            <w:vAlign w:val="center"/>
          </w:tcPr>
          <w:p>
            <w:pPr>
              <w:pStyle w:val="33"/>
            </w:pPr>
            <w:r>
              <w:rPr>
                <w:rFonts w:hint="eastAsia"/>
              </w:rPr>
              <w:t>产出物料（t/a）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w:t>
            </w:r>
          </w:p>
        </w:tc>
        <w:tc>
          <w:tcPr>
            <w:tcW w:w="1204" w:type="pct"/>
            <w:gridSpan w:val="2"/>
          </w:tcPr>
          <w:p>
            <w:pPr>
              <w:pStyle w:val="33"/>
            </w:pPr>
            <w:r>
              <w:rPr>
                <w:rFonts w:hint="eastAsia"/>
              </w:rPr>
              <w:t>铝液</w:t>
            </w:r>
          </w:p>
        </w:tc>
        <w:tc>
          <w:tcPr>
            <w:tcW w:w="693" w:type="pct"/>
            <w:vAlign w:val="center"/>
          </w:tcPr>
          <w:p>
            <w:pPr>
              <w:pStyle w:val="33"/>
            </w:pPr>
            <w:r>
              <w:rPr>
                <w:rFonts w:hint="eastAsia"/>
              </w:rPr>
              <w:t>287000</w:t>
            </w:r>
          </w:p>
        </w:tc>
        <w:tc>
          <w:tcPr>
            <w:tcW w:w="460" w:type="pct"/>
            <w:vAlign w:val="center"/>
          </w:tcPr>
          <w:p>
            <w:pPr>
              <w:pStyle w:val="33"/>
            </w:pPr>
            <w:r>
              <w:rPr>
                <w:rFonts w:hint="eastAsia"/>
              </w:rPr>
              <w:t>1</w:t>
            </w:r>
          </w:p>
        </w:tc>
        <w:tc>
          <w:tcPr>
            <w:tcW w:w="1572" w:type="pct"/>
            <w:vAlign w:val="center"/>
          </w:tcPr>
          <w:p>
            <w:pPr>
              <w:pStyle w:val="33"/>
            </w:pPr>
            <w:r>
              <w:rPr>
                <w:rFonts w:hint="eastAsia"/>
              </w:rPr>
              <w:t>圆铸锭</w:t>
            </w:r>
          </w:p>
        </w:tc>
        <w:tc>
          <w:tcPr>
            <w:tcW w:w="728" w:type="pct"/>
            <w:vAlign w:val="center"/>
          </w:tcPr>
          <w:p>
            <w:pPr>
              <w:pStyle w:val="33"/>
            </w:pPr>
            <w:r>
              <w:rPr>
                <w:rFonts w:hint="eastAsia"/>
              </w:rPr>
              <w:t>160000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w:t>
            </w:r>
          </w:p>
        </w:tc>
        <w:tc>
          <w:tcPr>
            <w:tcW w:w="1204" w:type="pct"/>
            <w:gridSpan w:val="2"/>
          </w:tcPr>
          <w:p>
            <w:pPr>
              <w:pStyle w:val="33"/>
            </w:pPr>
            <w:r>
              <w:rPr>
                <w:rFonts w:hint="eastAsia"/>
              </w:rPr>
              <w:t>铝白料</w:t>
            </w:r>
          </w:p>
        </w:tc>
        <w:tc>
          <w:tcPr>
            <w:tcW w:w="693" w:type="pct"/>
            <w:vAlign w:val="center"/>
          </w:tcPr>
          <w:p>
            <w:pPr>
              <w:pStyle w:val="33"/>
            </w:pPr>
            <w:r>
              <w:rPr>
                <w:rFonts w:hint="eastAsia"/>
              </w:rPr>
              <w:t>32000</w:t>
            </w:r>
          </w:p>
        </w:tc>
        <w:tc>
          <w:tcPr>
            <w:tcW w:w="460" w:type="pct"/>
            <w:vAlign w:val="center"/>
          </w:tcPr>
          <w:p>
            <w:pPr>
              <w:pStyle w:val="33"/>
            </w:pPr>
            <w:r>
              <w:rPr>
                <w:rFonts w:hint="eastAsia"/>
              </w:rPr>
              <w:t>2</w:t>
            </w:r>
          </w:p>
        </w:tc>
        <w:tc>
          <w:tcPr>
            <w:tcW w:w="1572" w:type="pct"/>
            <w:vAlign w:val="center"/>
          </w:tcPr>
          <w:p>
            <w:pPr>
              <w:pStyle w:val="33"/>
            </w:pPr>
            <w:r>
              <w:rPr>
                <w:rFonts w:hint="eastAsia"/>
              </w:rPr>
              <w:t>板锭</w:t>
            </w:r>
          </w:p>
        </w:tc>
        <w:tc>
          <w:tcPr>
            <w:tcW w:w="728" w:type="pct"/>
            <w:vAlign w:val="center"/>
          </w:tcPr>
          <w:p>
            <w:pPr>
              <w:pStyle w:val="33"/>
            </w:pPr>
            <w:r>
              <w:rPr>
                <w:rFonts w:hint="eastAsia"/>
              </w:rPr>
              <w:t>160000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3</w:t>
            </w:r>
          </w:p>
        </w:tc>
        <w:tc>
          <w:tcPr>
            <w:tcW w:w="1204" w:type="pct"/>
            <w:gridSpan w:val="2"/>
          </w:tcPr>
          <w:p>
            <w:pPr>
              <w:pStyle w:val="33"/>
            </w:pPr>
            <w:r>
              <w:rPr>
                <w:rFonts w:hint="eastAsia"/>
              </w:rPr>
              <w:t>镁锭</w:t>
            </w:r>
          </w:p>
        </w:tc>
        <w:tc>
          <w:tcPr>
            <w:tcW w:w="693" w:type="pct"/>
            <w:vAlign w:val="center"/>
          </w:tcPr>
          <w:p>
            <w:pPr>
              <w:pStyle w:val="33"/>
            </w:pPr>
            <w:r>
              <w:rPr>
                <w:rFonts w:hint="eastAsia"/>
              </w:rPr>
              <w:t>1538.5</w:t>
            </w:r>
          </w:p>
        </w:tc>
        <w:tc>
          <w:tcPr>
            <w:tcW w:w="460" w:type="pct"/>
            <w:vAlign w:val="center"/>
          </w:tcPr>
          <w:p>
            <w:pPr>
              <w:pStyle w:val="33"/>
            </w:pPr>
            <w:r>
              <w:rPr>
                <w:rFonts w:hint="eastAsia"/>
              </w:rPr>
              <w:t>3</w:t>
            </w:r>
          </w:p>
        </w:tc>
        <w:tc>
          <w:tcPr>
            <w:tcW w:w="1572" w:type="pct"/>
            <w:vAlign w:val="center"/>
          </w:tcPr>
          <w:p>
            <w:pPr>
              <w:pStyle w:val="33"/>
            </w:pPr>
            <w:r>
              <w:rPr>
                <w:rFonts w:hint="eastAsia"/>
              </w:rPr>
              <w:t>有组织外排污染物</w:t>
            </w:r>
          </w:p>
        </w:tc>
        <w:tc>
          <w:tcPr>
            <w:tcW w:w="728" w:type="pct"/>
            <w:vAlign w:val="center"/>
          </w:tcPr>
          <w:p>
            <w:pPr>
              <w:pStyle w:val="33"/>
            </w:pPr>
            <w:r>
              <w:rPr>
                <w:rFonts w:hint="eastAsia"/>
              </w:rPr>
              <w:t>44.31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4</w:t>
            </w:r>
          </w:p>
        </w:tc>
        <w:tc>
          <w:tcPr>
            <w:tcW w:w="1204" w:type="pct"/>
            <w:gridSpan w:val="2"/>
          </w:tcPr>
          <w:p>
            <w:pPr>
              <w:pStyle w:val="33"/>
            </w:pPr>
            <w:r>
              <w:rPr>
                <w:rFonts w:hint="eastAsia"/>
              </w:rPr>
              <w:t>锌锭</w:t>
            </w:r>
          </w:p>
        </w:tc>
        <w:tc>
          <w:tcPr>
            <w:tcW w:w="693" w:type="pct"/>
            <w:vAlign w:val="center"/>
          </w:tcPr>
          <w:p>
            <w:pPr>
              <w:pStyle w:val="33"/>
            </w:pPr>
            <w:r>
              <w:rPr>
                <w:rFonts w:hint="eastAsia"/>
              </w:rPr>
              <w:t>301.68</w:t>
            </w:r>
          </w:p>
        </w:tc>
        <w:tc>
          <w:tcPr>
            <w:tcW w:w="460" w:type="pct"/>
            <w:vAlign w:val="center"/>
          </w:tcPr>
          <w:p>
            <w:pPr>
              <w:pStyle w:val="33"/>
            </w:pPr>
            <w:r>
              <w:rPr>
                <w:rFonts w:hint="eastAsia"/>
              </w:rPr>
              <w:t>4</w:t>
            </w:r>
          </w:p>
        </w:tc>
        <w:tc>
          <w:tcPr>
            <w:tcW w:w="1572" w:type="pct"/>
            <w:vAlign w:val="center"/>
          </w:tcPr>
          <w:p>
            <w:pPr>
              <w:pStyle w:val="33"/>
            </w:pPr>
            <w:r>
              <w:rPr>
                <w:rFonts w:hint="eastAsia"/>
              </w:rPr>
              <w:t>无组织产生污染物</w:t>
            </w:r>
          </w:p>
        </w:tc>
        <w:tc>
          <w:tcPr>
            <w:tcW w:w="728" w:type="pct"/>
            <w:vAlign w:val="center"/>
          </w:tcPr>
          <w:p>
            <w:pPr>
              <w:pStyle w:val="33"/>
            </w:pPr>
            <w:r>
              <w:rPr>
                <w:rFonts w:hint="eastAsia"/>
              </w:rP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5</w:t>
            </w:r>
          </w:p>
        </w:tc>
        <w:tc>
          <w:tcPr>
            <w:tcW w:w="1204" w:type="pct"/>
            <w:gridSpan w:val="2"/>
          </w:tcPr>
          <w:p>
            <w:pPr>
              <w:pStyle w:val="33"/>
            </w:pPr>
            <w:r>
              <w:rPr>
                <w:rFonts w:hint="eastAsia"/>
              </w:rPr>
              <w:t>铜锭</w:t>
            </w:r>
          </w:p>
        </w:tc>
        <w:tc>
          <w:tcPr>
            <w:tcW w:w="693" w:type="pct"/>
            <w:vAlign w:val="center"/>
          </w:tcPr>
          <w:p>
            <w:pPr>
              <w:pStyle w:val="33"/>
            </w:pPr>
            <w:r>
              <w:rPr>
                <w:rFonts w:hint="eastAsia"/>
              </w:rPr>
              <w:t>251.5</w:t>
            </w:r>
          </w:p>
        </w:tc>
        <w:tc>
          <w:tcPr>
            <w:tcW w:w="460" w:type="pct"/>
            <w:vAlign w:val="center"/>
          </w:tcPr>
          <w:p>
            <w:pPr>
              <w:pStyle w:val="33"/>
            </w:pPr>
            <w:r>
              <w:t>5</w:t>
            </w:r>
          </w:p>
        </w:tc>
        <w:tc>
          <w:tcPr>
            <w:tcW w:w="1572" w:type="pct"/>
            <w:vAlign w:val="center"/>
          </w:tcPr>
          <w:p>
            <w:pPr>
              <w:pStyle w:val="33"/>
            </w:pPr>
            <w:r>
              <w:rPr>
                <w:rFonts w:hint="eastAsia"/>
              </w:rPr>
              <w:t>废过滤板</w:t>
            </w:r>
          </w:p>
        </w:tc>
        <w:tc>
          <w:tcPr>
            <w:tcW w:w="728" w:type="pct"/>
            <w:vAlign w:val="center"/>
          </w:tcPr>
          <w:p>
            <w:pPr>
              <w:pStyle w:val="33"/>
            </w:pPr>
            <w:r>
              <w:rPr>
                <w:rFonts w:hint="eastAsi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6</w:t>
            </w:r>
          </w:p>
        </w:tc>
        <w:tc>
          <w:tcPr>
            <w:tcW w:w="1204" w:type="pct"/>
            <w:gridSpan w:val="2"/>
          </w:tcPr>
          <w:p>
            <w:pPr>
              <w:pStyle w:val="33"/>
            </w:pPr>
            <w:r>
              <w:rPr>
                <w:rFonts w:hint="eastAsia"/>
              </w:rPr>
              <w:t>铁剂</w:t>
            </w:r>
          </w:p>
        </w:tc>
        <w:tc>
          <w:tcPr>
            <w:tcW w:w="693" w:type="pct"/>
            <w:vAlign w:val="center"/>
          </w:tcPr>
          <w:p>
            <w:pPr>
              <w:pStyle w:val="33"/>
            </w:pPr>
            <w:r>
              <w:rPr>
                <w:rFonts w:hint="eastAsia"/>
              </w:rPr>
              <w:t>1877.75</w:t>
            </w:r>
          </w:p>
        </w:tc>
        <w:tc>
          <w:tcPr>
            <w:tcW w:w="460" w:type="pct"/>
            <w:vAlign w:val="center"/>
          </w:tcPr>
          <w:p>
            <w:pPr>
              <w:pStyle w:val="33"/>
            </w:pPr>
            <w:r>
              <w:t>6</w:t>
            </w:r>
          </w:p>
        </w:tc>
        <w:tc>
          <w:tcPr>
            <w:tcW w:w="1572" w:type="pct"/>
            <w:vAlign w:val="center"/>
          </w:tcPr>
          <w:p>
            <w:pPr>
              <w:pStyle w:val="33"/>
            </w:pPr>
            <w:r>
              <w:rPr>
                <w:rFonts w:hint="eastAsia"/>
              </w:rPr>
              <w:t>熔保炉除尘器收集粉尘</w:t>
            </w:r>
          </w:p>
        </w:tc>
        <w:tc>
          <w:tcPr>
            <w:tcW w:w="728" w:type="pct"/>
            <w:vAlign w:val="center"/>
          </w:tcPr>
          <w:p>
            <w:pPr>
              <w:pStyle w:val="33"/>
            </w:pPr>
            <w:r>
              <w:rPr>
                <w:rFonts w:hint="eastAsia"/>
              </w:rPr>
              <w:t>2096.07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7</w:t>
            </w:r>
          </w:p>
        </w:tc>
        <w:tc>
          <w:tcPr>
            <w:tcW w:w="1204" w:type="pct"/>
            <w:gridSpan w:val="2"/>
          </w:tcPr>
          <w:p>
            <w:pPr>
              <w:pStyle w:val="33"/>
            </w:pPr>
            <w:r>
              <w:rPr>
                <w:rFonts w:hint="eastAsia"/>
              </w:rPr>
              <w:t>锰剂</w:t>
            </w:r>
          </w:p>
        </w:tc>
        <w:tc>
          <w:tcPr>
            <w:tcW w:w="693" w:type="pct"/>
            <w:vAlign w:val="center"/>
          </w:tcPr>
          <w:p>
            <w:pPr>
              <w:pStyle w:val="33"/>
            </w:pPr>
            <w:r>
              <w:rPr>
                <w:rFonts w:hint="eastAsia"/>
              </w:rPr>
              <w:t>771.18</w:t>
            </w:r>
          </w:p>
        </w:tc>
        <w:tc>
          <w:tcPr>
            <w:tcW w:w="460" w:type="pct"/>
            <w:vAlign w:val="center"/>
          </w:tcPr>
          <w:p>
            <w:pPr>
              <w:pStyle w:val="33"/>
            </w:pPr>
            <w:r>
              <w:t>7</w:t>
            </w:r>
          </w:p>
        </w:tc>
        <w:tc>
          <w:tcPr>
            <w:tcW w:w="1572" w:type="pct"/>
            <w:vAlign w:val="center"/>
          </w:tcPr>
          <w:p>
            <w:pPr>
              <w:pStyle w:val="33"/>
            </w:pPr>
            <w:r>
              <w:rPr>
                <w:rFonts w:hint="eastAsia"/>
              </w:rPr>
              <w:t>铝灰分离系统铝灰+收集尘</w:t>
            </w:r>
          </w:p>
        </w:tc>
        <w:tc>
          <w:tcPr>
            <w:tcW w:w="728" w:type="pct"/>
            <w:vAlign w:val="center"/>
          </w:tcPr>
          <w:p>
            <w:pPr>
              <w:pStyle w:val="33"/>
            </w:pPr>
            <w:r>
              <w:rPr>
                <w:rFonts w:hint="eastAsia"/>
              </w:rPr>
              <w:t>3617.45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8</w:t>
            </w:r>
          </w:p>
        </w:tc>
        <w:tc>
          <w:tcPr>
            <w:tcW w:w="1204" w:type="pct"/>
            <w:gridSpan w:val="2"/>
          </w:tcPr>
          <w:p>
            <w:pPr>
              <w:pStyle w:val="33"/>
            </w:pPr>
            <w:r>
              <w:rPr>
                <w:rFonts w:hint="eastAsia"/>
              </w:rPr>
              <w:t>钛剂</w:t>
            </w:r>
          </w:p>
        </w:tc>
        <w:tc>
          <w:tcPr>
            <w:tcW w:w="693" w:type="pct"/>
            <w:vAlign w:val="center"/>
          </w:tcPr>
          <w:p>
            <w:pPr>
              <w:pStyle w:val="33"/>
            </w:pPr>
            <w:r>
              <w:rPr>
                <w:rFonts w:hint="eastAsia"/>
              </w:rPr>
              <w:t>16.88</w:t>
            </w:r>
          </w:p>
        </w:tc>
        <w:tc>
          <w:tcPr>
            <w:tcW w:w="460" w:type="pct"/>
            <w:vAlign w:val="center"/>
          </w:tcPr>
          <w:p>
            <w:pPr>
              <w:pStyle w:val="33"/>
            </w:pPr>
            <w:r>
              <w:t>8</w:t>
            </w:r>
          </w:p>
        </w:tc>
        <w:tc>
          <w:tcPr>
            <w:tcW w:w="1572" w:type="pct"/>
            <w:vAlign w:val="center"/>
          </w:tcPr>
          <w:p>
            <w:pPr>
              <w:pStyle w:val="33"/>
            </w:pPr>
            <w:r>
              <w:rPr>
                <w:rFonts w:hint="eastAsia"/>
              </w:rPr>
              <w:t>铝灰分离系统收集尘</w:t>
            </w:r>
          </w:p>
        </w:tc>
        <w:tc>
          <w:tcPr>
            <w:tcW w:w="728" w:type="pct"/>
            <w:vAlign w:val="center"/>
          </w:tcPr>
          <w:p>
            <w:pPr>
              <w:pStyle w:val="33"/>
            </w:pPr>
            <w:r>
              <w:rPr>
                <w:rFonts w:hint="eastAsia"/>
              </w:rPr>
              <w:t>27.63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9</w:t>
            </w:r>
          </w:p>
        </w:tc>
        <w:tc>
          <w:tcPr>
            <w:tcW w:w="1204" w:type="pct"/>
            <w:gridSpan w:val="2"/>
          </w:tcPr>
          <w:p>
            <w:pPr>
              <w:pStyle w:val="33"/>
            </w:pPr>
            <w:r>
              <w:rPr>
                <w:rFonts w:hint="eastAsia"/>
              </w:rPr>
              <w:t>速溶硅</w:t>
            </w:r>
          </w:p>
        </w:tc>
        <w:tc>
          <w:tcPr>
            <w:tcW w:w="693" w:type="pct"/>
            <w:vAlign w:val="center"/>
          </w:tcPr>
          <w:p>
            <w:pPr>
              <w:pStyle w:val="33"/>
            </w:pPr>
            <w:r>
              <w:rPr>
                <w:rFonts w:hint="eastAsia"/>
              </w:rPr>
              <w:t>392.44</w:t>
            </w:r>
          </w:p>
        </w:tc>
        <w:tc>
          <w:tcPr>
            <w:tcW w:w="460" w:type="pct"/>
            <w:vAlign w:val="center"/>
          </w:tcPr>
          <w:p>
            <w:pPr>
              <w:pStyle w:val="33"/>
            </w:pPr>
            <w:r>
              <w:t>9</w:t>
            </w:r>
          </w:p>
        </w:tc>
        <w:tc>
          <w:tcPr>
            <w:tcW w:w="1572" w:type="pct"/>
            <w:vAlign w:val="center"/>
          </w:tcPr>
          <w:p>
            <w:pPr>
              <w:pStyle w:val="33"/>
            </w:pPr>
            <w:r>
              <w:rPr>
                <w:rFonts w:hint="eastAsia"/>
              </w:rPr>
              <w:t>铝灰分离出铝锭</w:t>
            </w:r>
          </w:p>
        </w:tc>
        <w:tc>
          <w:tcPr>
            <w:tcW w:w="728" w:type="pct"/>
            <w:vAlign w:val="center"/>
          </w:tcPr>
          <w:p>
            <w:pPr>
              <w:pStyle w:val="33"/>
            </w:pPr>
            <w:r>
              <w:rPr>
                <w:rFonts w:hint="eastAsia"/>
              </w:rPr>
              <w:t>864.32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t>10</w:t>
            </w:r>
          </w:p>
        </w:tc>
        <w:tc>
          <w:tcPr>
            <w:tcW w:w="1204" w:type="pct"/>
            <w:gridSpan w:val="2"/>
          </w:tcPr>
          <w:p>
            <w:pPr>
              <w:pStyle w:val="33"/>
            </w:pPr>
            <w:r>
              <w:rPr>
                <w:rFonts w:hint="eastAsia"/>
              </w:rPr>
              <w:t>铝钛硼丝</w:t>
            </w:r>
          </w:p>
        </w:tc>
        <w:tc>
          <w:tcPr>
            <w:tcW w:w="693" w:type="pct"/>
            <w:vAlign w:val="center"/>
          </w:tcPr>
          <w:p>
            <w:pPr>
              <w:pStyle w:val="33"/>
            </w:pPr>
            <w:r>
              <w:rPr>
                <w:rFonts w:hint="eastAsia"/>
              </w:rPr>
              <w:t>724.75</w:t>
            </w:r>
          </w:p>
        </w:tc>
        <w:tc>
          <w:tcPr>
            <w:tcW w:w="460" w:type="pct"/>
            <w:vAlign w:val="center"/>
          </w:tcPr>
          <w:p>
            <w:pPr>
              <w:pStyle w:val="33"/>
            </w:pPr>
            <w:r>
              <w:rPr>
                <w:rFonts w:hint="eastAsia"/>
              </w:rPr>
              <w:t>10</w:t>
            </w:r>
          </w:p>
        </w:tc>
        <w:tc>
          <w:tcPr>
            <w:tcW w:w="1572" w:type="pct"/>
            <w:vAlign w:val="center"/>
          </w:tcPr>
          <w:p>
            <w:pPr>
              <w:pStyle w:val="33"/>
            </w:pPr>
            <w:r>
              <w:rPr>
                <w:rFonts w:hint="eastAsia"/>
              </w:rPr>
              <w:t>不合格产品</w:t>
            </w:r>
          </w:p>
        </w:tc>
        <w:tc>
          <w:tcPr>
            <w:tcW w:w="728" w:type="pct"/>
            <w:vAlign w:val="center"/>
          </w:tcPr>
          <w:p>
            <w:pPr>
              <w:pStyle w:val="33"/>
            </w:pPr>
            <w:r>
              <w:rPr>
                <w:rFonts w:hint="eastAsia"/>
              </w:rPr>
              <w:t>3840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11</w:t>
            </w:r>
          </w:p>
        </w:tc>
        <w:tc>
          <w:tcPr>
            <w:tcW w:w="360" w:type="pct"/>
            <w:vMerge w:val="restart"/>
            <w:vAlign w:val="center"/>
          </w:tcPr>
          <w:p>
            <w:pPr>
              <w:pStyle w:val="33"/>
            </w:pPr>
            <w:r>
              <w:rPr>
                <w:rFonts w:hint="eastAsia"/>
              </w:rPr>
              <w:t>中间合金</w:t>
            </w:r>
          </w:p>
        </w:tc>
        <w:tc>
          <w:tcPr>
            <w:tcW w:w="843" w:type="pct"/>
          </w:tcPr>
          <w:p>
            <w:pPr>
              <w:pStyle w:val="33"/>
            </w:pPr>
            <w:r>
              <w:rPr>
                <w:rFonts w:hint="eastAsia"/>
              </w:rPr>
              <w:t>铝锰合金</w:t>
            </w:r>
          </w:p>
        </w:tc>
        <w:tc>
          <w:tcPr>
            <w:tcW w:w="693" w:type="pct"/>
            <w:vAlign w:val="center"/>
          </w:tcPr>
          <w:p>
            <w:pPr>
              <w:pStyle w:val="33"/>
            </w:pPr>
            <w:r>
              <w:rPr>
                <w:rFonts w:hint="eastAsia"/>
              </w:rPr>
              <w:t>124.13</w:t>
            </w:r>
          </w:p>
        </w:tc>
        <w:tc>
          <w:tcPr>
            <w:tcW w:w="460" w:type="pct"/>
            <w:vAlign w:val="center"/>
          </w:tcPr>
          <w:p>
            <w:pPr>
              <w:pStyle w:val="33"/>
            </w:pPr>
            <w:r>
              <w:rPr>
                <w:rFonts w:hint="eastAsia"/>
              </w:rPr>
              <w:t>11</w:t>
            </w:r>
          </w:p>
        </w:tc>
        <w:tc>
          <w:tcPr>
            <w:tcW w:w="1572" w:type="pct"/>
            <w:vAlign w:val="center"/>
          </w:tcPr>
          <w:p>
            <w:pPr>
              <w:pStyle w:val="33"/>
            </w:pPr>
            <w:r>
              <w:rPr>
                <w:rFonts w:hint="eastAsia"/>
                <w:lang w:eastAsia="zh-CN"/>
              </w:rPr>
              <w:t>下脚料</w:t>
            </w:r>
          </w:p>
        </w:tc>
        <w:tc>
          <w:tcPr>
            <w:tcW w:w="728" w:type="pct"/>
            <w:vAlign w:val="center"/>
          </w:tcPr>
          <w:p>
            <w:pPr>
              <w:pStyle w:val="33"/>
            </w:pPr>
            <w:r>
              <w:rPr>
                <w:rFonts w:hint="eastAsia"/>
              </w:rPr>
              <w:t>1920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12</w:t>
            </w:r>
          </w:p>
        </w:tc>
        <w:tc>
          <w:tcPr>
            <w:tcW w:w="360" w:type="pct"/>
            <w:vMerge w:val="continue"/>
          </w:tcPr>
          <w:p>
            <w:pPr>
              <w:pStyle w:val="33"/>
            </w:pPr>
          </w:p>
        </w:tc>
        <w:tc>
          <w:tcPr>
            <w:tcW w:w="843" w:type="pct"/>
          </w:tcPr>
          <w:p>
            <w:pPr>
              <w:pStyle w:val="33"/>
            </w:pPr>
            <w:r>
              <w:rPr>
                <w:rFonts w:hint="eastAsia"/>
              </w:rPr>
              <w:t>铝铜合金</w:t>
            </w:r>
          </w:p>
        </w:tc>
        <w:tc>
          <w:tcPr>
            <w:tcW w:w="693" w:type="pct"/>
            <w:vAlign w:val="center"/>
          </w:tcPr>
          <w:p>
            <w:pPr>
              <w:pStyle w:val="33"/>
            </w:pPr>
            <w:r>
              <w:rPr>
                <w:rFonts w:hint="eastAsia"/>
              </w:rPr>
              <w:t>83.73</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13</w:t>
            </w:r>
          </w:p>
        </w:tc>
        <w:tc>
          <w:tcPr>
            <w:tcW w:w="360" w:type="pct"/>
            <w:vMerge w:val="continue"/>
          </w:tcPr>
          <w:p>
            <w:pPr>
              <w:pStyle w:val="33"/>
            </w:pPr>
          </w:p>
        </w:tc>
        <w:tc>
          <w:tcPr>
            <w:tcW w:w="843" w:type="pct"/>
          </w:tcPr>
          <w:p>
            <w:pPr>
              <w:pStyle w:val="33"/>
            </w:pPr>
            <w:r>
              <w:rPr>
                <w:rFonts w:hint="eastAsia"/>
              </w:rPr>
              <w:t>铝钛合金</w:t>
            </w:r>
          </w:p>
        </w:tc>
        <w:tc>
          <w:tcPr>
            <w:tcW w:w="693" w:type="pct"/>
            <w:vAlign w:val="center"/>
          </w:tcPr>
          <w:p>
            <w:pPr>
              <w:pStyle w:val="33"/>
            </w:pPr>
            <w:r>
              <w:rPr>
                <w:rFonts w:hint="eastAsia"/>
              </w:rPr>
              <w:t>60.08</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14</w:t>
            </w:r>
          </w:p>
        </w:tc>
        <w:tc>
          <w:tcPr>
            <w:tcW w:w="360" w:type="pct"/>
            <w:vMerge w:val="continue"/>
          </w:tcPr>
          <w:p>
            <w:pPr>
              <w:pStyle w:val="33"/>
            </w:pPr>
          </w:p>
        </w:tc>
        <w:tc>
          <w:tcPr>
            <w:tcW w:w="843" w:type="pct"/>
          </w:tcPr>
          <w:p>
            <w:pPr>
              <w:pStyle w:val="33"/>
            </w:pPr>
            <w:r>
              <w:rPr>
                <w:rFonts w:hint="eastAsia"/>
              </w:rPr>
              <w:t>铝铁合金</w:t>
            </w:r>
          </w:p>
        </w:tc>
        <w:tc>
          <w:tcPr>
            <w:tcW w:w="693" w:type="pct"/>
            <w:vAlign w:val="center"/>
          </w:tcPr>
          <w:p>
            <w:pPr>
              <w:pStyle w:val="33"/>
            </w:pPr>
            <w:r>
              <w:rPr>
                <w:rFonts w:hint="eastAsia"/>
              </w:rPr>
              <w:t>131.2</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15</w:t>
            </w:r>
          </w:p>
        </w:tc>
        <w:tc>
          <w:tcPr>
            <w:tcW w:w="360" w:type="pct"/>
            <w:vMerge w:val="continue"/>
          </w:tcPr>
          <w:p>
            <w:pPr>
              <w:pStyle w:val="33"/>
            </w:pPr>
          </w:p>
        </w:tc>
        <w:tc>
          <w:tcPr>
            <w:tcW w:w="843" w:type="pct"/>
          </w:tcPr>
          <w:p>
            <w:pPr>
              <w:pStyle w:val="33"/>
            </w:pPr>
            <w:r>
              <w:rPr>
                <w:rFonts w:hint="eastAsia"/>
              </w:rPr>
              <w:t>铝硼合金</w:t>
            </w:r>
          </w:p>
        </w:tc>
        <w:tc>
          <w:tcPr>
            <w:tcW w:w="693" w:type="pct"/>
            <w:vAlign w:val="center"/>
          </w:tcPr>
          <w:p>
            <w:pPr>
              <w:pStyle w:val="33"/>
            </w:pPr>
            <w:r>
              <w:rPr>
                <w:rFonts w:hint="eastAsia"/>
              </w:rPr>
              <w:t>7.55</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16</w:t>
            </w:r>
          </w:p>
        </w:tc>
        <w:tc>
          <w:tcPr>
            <w:tcW w:w="360" w:type="pct"/>
            <w:vMerge w:val="continue"/>
          </w:tcPr>
          <w:p>
            <w:pPr>
              <w:pStyle w:val="33"/>
            </w:pPr>
          </w:p>
        </w:tc>
        <w:tc>
          <w:tcPr>
            <w:tcW w:w="843" w:type="pct"/>
          </w:tcPr>
          <w:p>
            <w:pPr>
              <w:pStyle w:val="33"/>
            </w:pPr>
            <w:r>
              <w:rPr>
                <w:rFonts w:hint="eastAsia"/>
              </w:rPr>
              <w:t>铝钒合金</w:t>
            </w:r>
          </w:p>
        </w:tc>
        <w:tc>
          <w:tcPr>
            <w:tcW w:w="693" w:type="pct"/>
            <w:vAlign w:val="center"/>
          </w:tcPr>
          <w:p>
            <w:pPr>
              <w:pStyle w:val="33"/>
            </w:pPr>
            <w:r>
              <w:rPr>
                <w:rFonts w:hint="eastAsia"/>
              </w:rPr>
              <w:t>0.15</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17</w:t>
            </w:r>
          </w:p>
        </w:tc>
        <w:tc>
          <w:tcPr>
            <w:tcW w:w="360" w:type="pct"/>
            <w:vMerge w:val="continue"/>
          </w:tcPr>
          <w:p>
            <w:pPr>
              <w:pStyle w:val="33"/>
            </w:pPr>
          </w:p>
        </w:tc>
        <w:tc>
          <w:tcPr>
            <w:tcW w:w="843" w:type="pct"/>
          </w:tcPr>
          <w:p>
            <w:pPr>
              <w:pStyle w:val="33"/>
            </w:pPr>
            <w:r>
              <w:rPr>
                <w:rFonts w:hint="eastAsia"/>
              </w:rPr>
              <w:t>铝锶合金</w:t>
            </w:r>
          </w:p>
        </w:tc>
        <w:tc>
          <w:tcPr>
            <w:tcW w:w="693" w:type="pct"/>
            <w:vAlign w:val="center"/>
          </w:tcPr>
          <w:p>
            <w:pPr>
              <w:pStyle w:val="33"/>
            </w:pPr>
            <w:r>
              <w:rPr>
                <w:rFonts w:hint="eastAsia"/>
              </w:rPr>
              <w:t>63.57</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18</w:t>
            </w:r>
          </w:p>
        </w:tc>
        <w:tc>
          <w:tcPr>
            <w:tcW w:w="360" w:type="pct"/>
            <w:vMerge w:val="continue"/>
          </w:tcPr>
          <w:p>
            <w:pPr>
              <w:pStyle w:val="33"/>
            </w:pPr>
          </w:p>
        </w:tc>
        <w:tc>
          <w:tcPr>
            <w:tcW w:w="843" w:type="pct"/>
          </w:tcPr>
          <w:p>
            <w:pPr>
              <w:pStyle w:val="33"/>
            </w:pPr>
            <w:r>
              <w:rPr>
                <w:rFonts w:hint="eastAsia"/>
              </w:rPr>
              <w:t>铝锆合金</w:t>
            </w:r>
          </w:p>
        </w:tc>
        <w:tc>
          <w:tcPr>
            <w:tcW w:w="693" w:type="pct"/>
            <w:vAlign w:val="center"/>
          </w:tcPr>
          <w:p>
            <w:pPr>
              <w:pStyle w:val="33"/>
            </w:pPr>
            <w:r>
              <w:rPr>
                <w:rFonts w:hint="eastAsia"/>
              </w:rPr>
              <w:t>7.47</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19</w:t>
            </w:r>
          </w:p>
        </w:tc>
        <w:tc>
          <w:tcPr>
            <w:tcW w:w="360" w:type="pct"/>
            <w:vMerge w:val="continue"/>
          </w:tcPr>
          <w:p>
            <w:pPr>
              <w:pStyle w:val="33"/>
            </w:pPr>
          </w:p>
        </w:tc>
        <w:tc>
          <w:tcPr>
            <w:tcW w:w="843" w:type="pct"/>
          </w:tcPr>
          <w:p>
            <w:pPr>
              <w:pStyle w:val="33"/>
            </w:pPr>
            <w:r>
              <w:rPr>
                <w:rFonts w:hint="eastAsia"/>
              </w:rPr>
              <w:t>铝硅合金</w:t>
            </w:r>
          </w:p>
        </w:tc>
        <w:tc>
          <w:tcPr>
            <w:tcW w:w="693" w:type="pct"/>
            <w:vAlign w:val="center"/>
          </w:tcPr>
          <w:p>
            <w:pPr>
              <w:pStyle w:val="33"/>
            </w:pPr>
            <w:r>
              <w:rPr>
                <w:rFonts w:hint="eastAsia"/>
              </w:rPr>
              <w:t>406.25</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20</w:t>
            </w:r>
          </w:p>
        </w:tc>
        <w:tc>
          <w:tcPr>
            <w:tcW w:w="1204" w:type="pct"/>
            <w:gridSpan w:val="2"/>
          </w:tcPr>
          <w:p>
            <w:pPr>
              <w:pStyle w:val="33"/>
            </w:pPr>
            <w:r>
              <w:rPr>
                <w:rFonts w:hint="eastAsia"/>
              </w:rPr>
              <w:t>精炼剂</w:t>
            </w:r>
          </w:p>
        </w:tc>
        <w:tc>
          <w:tcPr>
            <w:tcW w:w="693" w:type="pct"/>
            <w:vAlign w:val="center"/>
          </w:tcPr>
          <w:p>
            <w:pPr>
              <w:pStyle w:val="33"/>
            </w:pPr>
            <w:r>
              <w:rPr>
                <w:rFonts w:hint="eastAsia"/>
              </w:rPr>
              <w:t>32</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21</w:t>
            </w:r>
          </w:p>
        </w:tc>
        <w:tc>
          <w:tcPr>
            <w:tcW w:w="1204" w:type="pct"/>
            <w:gridSpan w:val="2"/>
            <w:vAlign w:val="center"/>
          </w:tcPr>
          <w:p>
            <w:pPr>
              <w:pStyle w:val="33"/>
            </w:pPr>
            <w:r>
              <w:rPr>
                <w:rFonts w:hint="eastAsia"/>
              </w:rPr>
              <w:t>氯气</w:t>
            </w:r>
          </w:p>
        </w:tc>
        <w:tc>
          <w:tcPr>
            <w:tcW w:w="693" w:type="pct"/>
            <w:vAlign w:val="center"/>
          </w:tcPr>
          <w:p>
            <w:pPr>
              <w:pStyle w:val="33"/>
            </w:pPr>
            <w:r>
              <w:rPr>
                <w:rFonts w:hint="eastAsia"/>
              </w:rPr>
              <w:t>8</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22</w:t>
            </w:r>
          </w:p>
        </w:tc>
        <w:tc>
          <w:tcPr>
            <w:tcW w:w="1204" w:type="pct"/>
            <w:gridSpan w:val="2"/>
            <w:vAlign w:val="center"/>
          </w:tcPr>
          <w:p>
            <w:pPr>
              <w:pStyle w:val="33"/>
            </w:pPr>
            <w:r>
              <w:rPr>
                <w:rFonts w:hint="eastAsia"/>
              </w:rPr>
              <w:t>过滤板</w:t>
            </w:r>
          </w:p>
        </w:tc>
        <w:tc>
          <w:tcPr>
            <w:tcW w:w="693" w:type="pct"/>
            <w:vAlign w:val="center"/>
          </w:tcPr>
          <w:p>
            <w:pPr>
              <w:pStyle w:val="33"/>
            </w:pPr>
            <w:r>
              <w:rPr>
                <w:rFonts w:hint="eastAsia"/>
              </w:rPr>
              <w:t>3.2</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23</w:t>
            </w:r>
          </w:p>
        </w:tc>
        <w:tc>
          <w:tcPr>
            <w:tcW w:w="1204" w:type="pct"/>
            <w:gridSpan w:val="2"/>
            <w:vAlign w:val="center"/>
          </w:tcPr>
          <w:p>
            <w:pPr>
              <w:pStyle w:val="33"/>
            </w:pPr>
            <w:r>
              <w:rPr>
                <w:rFonts w:hint="eastAsia"/>
              </w:rPr>
              <w:t>不合格产品</w:t>
            </w:r>
          </w:p>
        </w:tc>
        <w:tc>
          <w:tcPr>
            <w:tcW w:w="693" w:type="pct"/>
            <w:vAlign w:val="center"/>
          </w:tcPr>
          <w:p>
            <w:pPr>
              <w:pStyle w:val="33"/>
            </w:pPr>
            <w:r>
              <w:rPr>
                <w:rFonts w:hint="eastAsia"/>
              </w:rPr>
              <w:t>3840</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24</w:t>
            </w:r>
          </w:p>
        </w:tc>
        <w:tc>
          <w:tcPr>
            <w:tcW w:w="1204" w:type="pct"/>
            <w:gridSpan w:val="2"/>
            <w:vAlign w:val="center"/>
          </w:tcPr>
          <w:p>
            <w:pPr>
              <w:pStyle w:val="33"/>
            </w:pPr>
            <w:r>
              <w:rPr>
                <w:rFonts w:hint="eastAsia"/>
                <w:lang w:eastAsia="zh-CN"/>
              </w:rPr>
              <w:t>下脚料</w:t>
            </w:r>
          </w:p>
        </w:tc>
        <w:tc>
          <w:tcPr>
            <w:tcW w:w="693" w:type="pct"/>
            <w:vAlign w:val="center"/>
          </w:tcPr>
          <w:p>
            <w:pPr>
              <w:pStyle w:val="33"/>
            </w:pPr>
            <w:r>
              <w:rPr>
                <w:rFonts w:hint="eastAsia"/>
              </w:rPr>
              <w:t>1920</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9" w:type="pct"/>
            <w:vAlign w:val="center"/>
          </w:tcPr>
          <w:p>
            <w:pPr>
              <w:pStyle w:val="33"/>
            </w:pPr>
            <w:r>
              <w:rPr>
                <w:rFonts w:hint="eastAsia"/>
              </w:rPr>
              <w:t>25</w:t>
            </w:r>
          </w:p>
        </w:tc>
        <w:tc>
          <w:tcPr>
            <w:tcW w:w="1204" w:type="pct"/>
            <w:gridSpan w:val="2"/>
            <w:vAlign w:val="center"/>
          </w:tcPr>
          <w:p>
            <w:pPr>
              <w:pStyle w:val="33"/>
            </w:pPr>
            <w:r>
              <w:rPr>
                <w:rFonts w:hint="eastAsia"/>
              </w:rPr>
              <w:t>铝灰分离出铝锭</w:t>
            </w:r>
          </w:p>
        </w:tc>
        <w:tc>
          <w:tcPr>
            <w:tcW w:w="693" w:type="pct"/>
            <w:vAlign w:val="center"/>
          </w:tcPr>
          <w:p>
            <w:pPr>
              <w:pStyle w:val="33"/>
            </w:pPr>
            <w:r>
              <w:rPr>
                <w:rFonts w:hint="eastAsia"/>
              </w:rPr>
              <w:t>864.32</w:t>
            </w:r>
          </w:p>
        </w:tc>
        <w:tc>
          <w:tcPr>
            <w:tcW w:w="460" w:type="pct"/>
            <w:vAlign w:val="center"/>
          </w:tcPr>
          <w:p>
            <w:pPr>
              <w:pStyle w:val="33"/>
            </w:pPr>
          </w:p>
        </w:tc>
        <w:tc>
          <w:tcPr>
            <w:tcW w:w="1572" w:type="pct"/>
            <w:vAlign w:val="center"/>
          </w:tcPr>
          <w:p>
            <w:pPr>
              <w:pStyle w:val="33"/>
            </w:pPr>
          </w:p>
        </w:tc>
        <w:tc>
          <w:tcPr>
            <w:tcW w:w="728"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p>
        </w:tc>
        <w:tc>
          <w:tcPr>
            <w:tcW w:w="1204" w:type="pct"/>
            <w:gridSpan w:val="2"/>
            <w:vAlign w:val="center"/>
          </w:tcPr>
          <w:p>
            <w:pPr>
              <w:pStyle w:val="33"/>
            </w:pPr>
            <w:r>
              <w:rPr>
                <w:rFonts w:hint="eastAsia"/>
              </w:rPr>
              <w:t>合计</w:t>
            </w:r>
          </w:p>
        </w:tc>
        <w:tc>
          <w:tcPr>
            <w:tcW w:w="693" w:type="pct"/>
            <w:vAlign w:val="center"/>
          </w:tcPr>
          <w:p>
            <w:pPr>
              <w:pStyle w:val="33"/>
            </w:pPr>
            <w:r>
              <w:rPr>
                <w:rFonts w:hint="eastAsia"/>
              </w:rPr>
              <w:t>332426.33</w:t>
            </w:r>
          </w:p>
        </w:tc>
        <w:tc>
          <w:tcPr>
            <w:tcW w:w="460" w:type="pct"/>
            <w:vAlign w:val="center"/>
          </w:tcPr>
          <w:p>
            <w:pPr>
              <w:pStyle w:val="33"/>
            </w:pPr>
          </w:p>
        </w:tc>
        <w:tc>
          <w:tcPr>
            <w:tcW w:w="1572" w:type="pct"/>
            <w:vAlign w:val="center"/>
          </w:tcPr>
          <w:p>
            <w:pPr>
              <w:pStyle w:val="33"/>
            </w:pPr>
            <w:r>
              <w:rPr>
                <w:rFonts w:hint="eastAsia"/>
              </w:rPr>
              <w:t>合计</w:t>
            </w:r>
          </w:p>
        </w:tc>
        <w:tc>
          <w:tcPr>
            <w:tcW w:w="728" w:type="pct"/>
            <w:vAlign w:val="center"/>
          </w:tcPr>
          <w:p>
            <w:pPr>
              <w:pStyle w:val="33"/>
            </w:pPr>
            <w:r>
              <w:rPr>
                <w:rFonts w:hint="eastAsia"/>
              </w:rPr>
              <w:t>332426.33</w:t>
            </w:r>
          </w:p>
        </w:tc>
      </w:tr>
    </w:tbl>
    <w:p>
      <w:pPr>
        <w:pStyle w:val="7"/>
        <w:bidi w:val="0"/>
        <w:rPr>
          <w:rFonts w:hint="eastAsia"/>
        </w:rPr>
      </w:pPr>
    </w:p>
    <w:p>
      <w:pPr>
        <w:pStyle w:val="9"/>
      </w:pPr>
      <w:r>
        <w:rPr>
          <w:rFonts w:hint="eastAsia"/>
        </w:rPr>
        <w:t>4.3.1.2主要元素平衡</w:t>
      </w:r>
    </w:p>
    <w:p>
      <w:pPr>
        <w:pStyle w:val="7"/>
        <w:ind w:firstLine="482"/>
        <w:rPr>
          <w:b/>
          <w:bCs/>
        </w:rPr>
      </w:pPr>
      <w:r>
        <w:rPr>
          <w:rFonts w:hint="eastAsia"/>
          <w:b/>
          <w:bCs/>
        </w:rPr>
        <w:t>1、铝元素平衡</w:t>
      </w:r>
    </w:p>
    <w:p>
      <w:pPr>
        <w:pStyle w:val="7"/>
        <w:ind w:firstLine="480"/>
      </w:pPr>
      <w:r>
        <w:rPr>
          <w:rFonts w:hint="eastAsia"/>
        </w:rPr>
        <w:t>项目铝元素来源于铝水、冷料、镁锭、铜锭、锌锭、中间合金、速溶硅、铝钛硼丝、精炼剂，根据建设单位提供的各原辅材料的用量及成分分析，得出项目铝元素平衡见表4.3-2。</w:t>
      </w:r>
    </w:p>
    <w:p>
      <w:pPr>
        <w:pStyle w:val="31"/>
      </w:pPr>
      <w:r>
        <w:rPr>
          <w:rFonts w:hint="eastAsia"/>
        </w:rPr>
        <w:t>表4.3-2  铝元素平衡表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421"/>
        <w:gridCol w:w="1631"/>
        <w:gridCol w:w="1435"/>
        <w:gridCol w:w="802"/>
        <w:gridCol w:w="2186"/>
        <w:gridCol w:w="1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5" w:type="pct"/>
            <w:gridSpan w:val="4"/>
            <w:vAlign w:val="center"/>
          </w:tcPr>
          <w:p>
            <w:pPr>
              <w:pStyle w:val="33"/>
            </w:pPr>
            <w:r>
              <w:rPr>
                <w:rFonts w:hint="eastAsia"/>
              </w:rPr>
              <w:t>投入物料含铝量（t/a）</w:t>
            </w:r>
          </w:p>
        </w:tc>
        <w:tc>
          <w:tcPr>
            <w:tcW w:w="2614" w:type="pct"/>
            <w:gridSpan w:val="3"/>
            <w:vAlign w:val="center"/>
          </w:tcPr>
          <w:p>
            <w:pPr>
              <w:pStyle w:val="33"/>
            </w:pPr>
            <w:r>
              <w:rPr>
                <w:rFonts w:hint="eastAsia"/>
              </w:rPr>
              <w:t>产出物料含铝量（t/a）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w:t>
            </w:r>
          </w:p>
        </w:tc>
        <w:tc>
          <w:tcPr>
            <w:tcW w:w="1204" w:type="pct"/>
            <w:gridSpan w:val="2"/>
          </w:tcPr>
          <w:p>
            <w:pPr>
              <w:pStyle w:val="33"/>
            </w:pPr>
            <w:r>
              <w:rPr>
                <w:rFonts w:hint="eastAsia"/>
              </w:rPr>
              <w:t>铝液含铝</w:t>
            </w:r>
          </w:p>
        </w:tc>
        <w:tc>
          <w:tcPr>
            <w:tcW w:w="1435" w:type="dxa"/>
            <w:vAlign w:val="center"/>
          </w:tcPr>
          <w:p>
            <w:pPr>
              <w:pStyle w:val="33"/>
            </w:pPr>
            <w:r>
              <w:rPr>
                <w:rFonts w:hint="eastAsia"/>
              </w:rPr>
              <w:t>286445.69</w:t>
            </w:r>
          </w:p>
        </w:tc>
        <w:tc>
          <w:tcPr>
            <w:tcW w:w="471" w:type="pct"/>
            <w:vAlign w:val="center"/>
          </w:tcPr>
          <w:p>
            <w:pPr>
              <w:pStyle w:val="33"/>
            </w:pPr>
            <w:r>
              <w:rPr>
                <w:rFonts w:hint="eastAsia"/>
              </w:rPr>
              <w:t>1</w:t>
            </w:r>
          </w:p>
        </w:tc>
        <w:tc>
          <w:tcPr>
            <w:tcW w:w="2186" w:type="dxa"/>
            <w:vAlign w:val="center"/>
          </w:tcPr>
          <w:p>
            <w:pPr>
              <w:pStyle w:val="33"/>
            </w:pPr>
            <w:r>
              <w:rPr>
                <w:rFonts w:hint="eastAsia"/>
              </w:rPr>
              <w:t>产品含铝</w:t>
            </w:r>
          </w:p>
        </w:tc>
        <w:tc>
          <w:tcPr>
            <w:tcW w:w="1465" w:type="dxa"/>
            <w:vAlign w:val="center"/>
          </w:tcPr>
          <w:p>
            <w:pPr>
              <w:pStyle w:val="33"/>
            </w:pPr>
            <w:r>
              <w:rPr>
                <w:rFonts w:hint="eastAsia"/>
              </w:rPr>
              <w:t>316160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w:t>
            </w:r>
          </w:p>
        </w:tc>
        <w:tc>
          <w:tcPr>
            <w:tcW w:w="1204" w:type="pct"/>
            <w:gridSpan w:val="2"/>
          </w:tcPr>
          <w:p>
            <w:pPr>
              <w:pStyle w:val="33"/>
            </w:pPr>
            <w:r>
              <w:rPr>
                <w:rFonts w:hint="eastAsia"/>
              </w:rPr>
              <w:t>冷料含铝</w:t>
            </w:r>
          </w:p>
        </w:tc>
        <w:tc>
          <w:tcPr>
            <w:tcW w:w="1435" w:type="dxa"/>
            <w:vAlign w:val="center"/>
          </w:tcPr>
          <w:p>
            <w:pPr>
              <w:pStyle w:val="33"/>
            </w:pPr>
            <w:r>
              <w:rPr>
                <w:rFonts w:hint="eastAsia"/>
              </w:rPr>
              <w:t>32000</w:t>
            </w:r>
          </w:p>
        </w:tc>
        <w:tc>
          <w:tcPr>
            <w:tcW w:w="471" w:type="pct"/>
            <w:vAlign w:val="center"/>
          </w:tcPr>
          <w:p>
            <w:pPr>
              <w:pStyle w:val="33"/>
            </w:pPr>
            <w:r>
              <w:rPr>
                <w:rFonts w:hint="eastAsia"/>
              </w:rPr>
              <w:t>2</w:t>
            </w:r>
          </w:p>
        </w:tc>
        <w:tc>
          <w:tcPr>
            <w:tcW w:w="2186" w:type="dxa"/>
            <w:vAlign w:val="center"/>
          </w:tcPr>
          <w:p>
            <w:pPr>
              <w:pStyle w:val="33"/>
            </w:pPr>
            <w:r>
              <w:rPr>
                <w:rFonts w:hint="eastAsia"/>
              </w:rPr>
              <w:t>铝灰渣含铝</w:t>
            </w:r>
          </w:p>
        </w:tc>
        <w:tc>
          <w:tcPr>
            <w:tcW w:w="1465" w:type="dxa"/>
            <w:vAlign w:val="center"/>
          </w:tcPr>
          <w:p>
            <w:pPr>
              <w:pStyle w:val="33"/>
            </w:pPr>
            <w:r>
              <w:rPr>
                <w:rFonts w:hint="eastAsia"/>
              </w:rPr>
              <w:t>2242.561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3</w:t>
            </w:r>
          </w:p>
        </w:tc>
        <w:tc>
          <w:tcPr>
            <w:tcW w:w="1204" w:type="pct"/>
            <w:gridSpan w:val="2"/>
          </w:tcPr>
          <w:p>
            <w:pPr>
              <w:pStyle w:val="33"/>
            </w:pPr>
            <w:r>
              <w:rPr>
                <w:rFonts w:hint="eastAsia"/>
              </w:rPr>
              <w:t>镁锭含铝</w:t>
            </w:r>
          </w:p>
        </w:tc>
        <w:tc>
          <w:tcPr>
            <w:tcW w:w="1435" w:type="dxa"/>
            <w:vAlign w:val="center"/>
          </w:tcPr>
          <w:p>
            <w:pPr>
              <w:pStyle w:val="33"/>
            </w:pPr>
            <w:r>
              <w:rPr>
                <w:rFonts w:hint="eastAsia"/>
              </w:rPr>
              <w:t>17.08</w:t>
            </w:r>
          </w:p>
        </w:tc>
        <w:tc>
          <w:tcPr>
            <w:tcW w:w="471" w:type="pct"/>
            <w:vAlign w:val="center"/>
          </w:tcPr>
          <w:p>
            <w:pPr>
              <w:pStyle w:val="33"/>
            </w:pPr>
            <w:r>
              <w:rPr>
                <w:rFonts w:hint="eastAsia"/>
              </w:rPr>
              <w:t>3</w:t>
            </w:r>
          </w:p>
        </w:tc>
        <w:tc>
          <w:tcPr>
            <w:tcW w:w="2186" w:type="dxa"/>
            <w:vAlign w:val="center"/>
          </w:tcPr>
          <w:p>
            <w:pPr>
              <w:pStyle w:val="33"/>
            </w:pPr>
            <w:r>
              <w:rPr>
                <w:rFonts w:hint="eastAsia"/>
              </w:rPr>
              <w:t>铝灰分离有组织排放烟尘含铝</w:t>
            </w:r>
          </w:p>
        </w:tc>
        <w:tc>
          <w:tcPr>
            <w:tcW w:w="1465" w:type="dxa"/>
            <w:vAlign w:val="center"/>
          </w:tcPr>
          <w:p>
            <w:pPr>
              <w:pStyle w:val="33"/>
            </w:pPr>
            <w:r>
              <w:rPr>
                <w:rFonts w:hint="eastAsia"/>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4</w:t>
            </w:r>
          </w:p>
        </w:tc>
        <w:tc>
          <w:tcPr>
            <w:tcW w:w="1204" w:type="pct"/>
            <w:gridSpan w:val="2"/>
            <w:vAlign w:val="center"/>
          </w:tcPr>
          <w:p>
            <w:pPr>
              <w:pStyle w:val="33"/>
            </w:pPr>
            <w:r>
              <w:rPr>
                <w:rFonts w:hint="eastAsia"/>
              </w:rPr>
              <w:t>锌锭含铝</w:t>
            </w:r>
          </w:p>
        </w:tc>
        <w:tc>
          <w:tcPr>
            <w:tcW w:w="1435" w:type="dxa"/>
            <w:vAlign w:val="center"/>
          </w:tcPr>
          <w:p>
            <w:pPr>
              <w:pStyle w:val="33"/>
            </w:pPr>
            <w:r>
              <w:rPr>
                <w:rFonts w:hint="eastAsia"/>
              </w:rPr>
              <w:t>3.093</w:t>
            </w:r>
          </w:p>
        </w:tc>
        <w:tc>
          <w:tcPr>
            <w:tcW w:w="471" w:type="pct"/>
            <w:vAlign w:val="center"/>
          </w:tcPr>
          <w:p>
            <w:pPr>
              <w:pStyle w:val="33"/>
            </w:pPr>
            <w:r>
              <w:rPr>
                <w:rFonts w:hint="eastAsia"/>
              </w:rPr>
              <w:t>4</w:t>
            </w:r>
          </w:p>
        </w:tc>
        <w:tc>
          <w:tcPr>
            <w:tcW w:w="2186" w:type="dxa"/>
            <w:vAlign w:val="center"/>
          </w:tcPr>
          <w:p>
            <w:pPr>
              <w:pStyle w:val="33"/>
            </w:pPr>
            <w:r>
              <w:rPr>
                <w:rFonts w:hint="eastAsia"/>
              </w:rPr>
              <w:t>铝灰分离收集尘含铝</w:t>
            </w:r>
          </w:p>
        </w:tc>
        <w:tc>
          <w:tcPr>
            <w:tcW w:w="1465" w:type="dxa"/>
            <w:vAlign w:val="center"/>
          </w:tcPr>
          <w:p>
            <w:pPr>
              <w:pStyle w:val="33"/>
            </w:pPr>
            <w:r>
              <w:rPr>
                <w:rFonts w:hint="eastAsia"/>
              </w:rPr>
              <w:t>17.131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5</w:t>
            </w:r>
          </w:p>
        </w:tc>
        <w:tc>
          <w:tcPr>
            <w:tcW w:w="1204" w:type="pct"/>
            <w:gridSpan w:val="2"/>
          </w:tcPr>
          <w:p>
            <w:pPr>
              <w:pStyle w:val="33"/>
            </w:pPr>
            <w:r>
              <w:rPr>
                <w:rFonts w:hint="eastAsia"/>
              </w:rPr>
              <w:t>铜锭含铝</w:t>
            </w:r>
          </w:p>
        </w:tc>
        <w:tc>
          <w:tcPr>
            <w:tcW w:w="1435" w:type="dxa"/>
            <w:vAlign w:val="center"/>
          </w:tcPr>
          <w:p>
            <w:pPr>
              <w:pStyle w:val="33"/>
            </w:pPr>
            <w:r>
              <w:rPr>
                <w:rFonts w:hint="eastAsia"/>
              </w:rPr>
              <w:t>3.016</w:t>
            </w:r>
          </w:p>
        </w:tc>
        <w:tc>
          <w:tcPr>
            <w:tcW w:w="471" w:type="pct"/>
            <w:vAlign w:val="center"/>
          </w:tcPr>
          <w:p>
            <w:pPr>
              <w:pStyle w:val="33"/>
            </w:pPr>
            <w:r>
              <w:t>5</w:t>
            </w:r>
          </w:p>
        </w:tc>
        <w:tc>
          <w:tcPr>
            <w:tcW w:w="2186" w:type="dxa"/>
            <w:vAlign w:val="center"/>
          </w:tcPr>
          <w:p>
            <w:pPr>
              <w:pStyle w:val="33"/>
            </w:pPr>
            <w:r>
              <w:rPr>
                <w:rFonts w:hint="eastAsia"/>
              </w:rPr>
              <w:t>无组织废气含铝</w:t>
            </w:r>
          </w:p>
        </w:tc>
        <w:tc>
          <w:tcPr>
            <w:tcW w:w="1465" w:type="dxa"/>
            <w:vAlign w:val="center"/>
          </w:tcPr>
          <w:p>
            <w:pPr>
              <w:pStyle w:val="33"/>
            </w:pPr>
            <w:r>
              <w:rPr>
                <w:rFonts w:hint="eastAsia"/>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6</w:t>
            </w:r>
          </w:p>
        </w:tc>
        <w:tc>
          <w:tcPr>
            <w:tcW w:w="1204" w:type="pct"/>
            <w:gridSpan w:val="2"/>
          </w:tcPr>
          <w:p>
            <w:pPr>
              <w:pStyle w:val="33"/>
            </w:pPr>
            <w:r>
              <w:rPr>
                <w:rFonts w:hint="eastAsia"/>
              </w:rPr>
              <w:t>速溶硅含铝</w:t>
            </w:r>
          </w:p>
        </w:tc>
        <w:tc>
          <w:tcPr>
            <w:tcW w:w="1435" w:type="dxa"/>
            <w:vAlign w:val="center"/>
          </w:tcPr>
          <w:p>
            <w:pPr>
              <w:pStyle w:val="33"/>
            </w:pPr>
            <w:r>
              <w:rPr>
                <w:rFonts w:hint="eastAsia"/>
              </w:rPr>
              <w:t>137.35</w:t>
            </w:r>
          </w:p>
        </w:tc>
        <w:tc>
          <w:tcPr>
            <w:tcW w:w="471" w:type="pct"/>
            <w:vAlign w:val="center"/>
          </w:tcPr>
          <w:p>
            <w:pPr>
              <w:pStyle w:val="33"/>
            </w:pPr>
            <w:r>
              <w:rPr>
                <w:rFonts w:hint="eastAsia"/>
              </w:rPr>
              <w:t>6</w:t>
            </w:r>
          </w:p>
        </w:tc>
        <w:tc>
          <w:tcPr>
            <w:tcW w:w="2186" w:type="dxa"/>
            <w:vAlign w:val="center"/>
          </w:tcPr>
          <w:p>
            <w:pPr>
              <w:pStyle w:val="33"/>
            </w:pPr>
            <w:r>
              <w:rPr>
                <w:rFonts w:hint="eastAsia"/>
              </w:rPr>
              <w:t>熔保炉排放烟尘含铝</w:t>
            </w:r>
          </w:p>
        </w:tc>
        <w:tc>
          <w:tcPr>
            <w:tcW w:w="1465" w:type="dxa"/>
            <w:vAlign w:val="center"/>
          </w:tcPr>
          <w:p>
            <w:pPr>
              <w:pStyle w:val="33"/>
            </w:pPr>
            <w:r>
              <w:rPr>
                <w:rFonts w:hint="eastAsia"/>
              </w:rPr>
              <w:t>33.23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7</w:t>
            </w:r>
          </w:p>
        </w:tc>
        <w:tc>
          <w:tcPr>
            <w:tcW w:w="1204" w:type="pct"/>
            <w:gridSpan w:val="2"/>
          </w:tcPr>
          <w:p>
            <w:pPr>
              <w:pStyle w:val="33"/>
            </w:pPr>
            <w:r>
              <w:rPr>
                <w:rFonts w:hint="eastAsia"/>
              </w:rPr>
              <w:t>铝钛硼丝含铝</w:t>
            </w:r>
          </w:p>
        </w:tc>
        <w:tc>
          <w:tcPr>
            <w:tcW w:w="1435" w:type="dxa"/>
            <w:vAlign w:val="center"/>
          </w:tcPr>
          <w:p>
            <w:pPr>
              <w:pStyle w:val="33"/>
            </w:pPr>
            <w:r>
              <w:rPr>
                <w:rFonts w:hint="eastAsia"/>
              </w:rPr>
              <w:t>679.816</w:t>
            </w:r>
          </w:p>
        </w:tc>
        <w:tc>
          <w:tcPr>
            <w:tcW w:w="471" w:type="pct"/>
            <w:vAlign w:val="center"/>
          </w:tcPr>
          <w:p>
            <w:pPr>
              <w:pStyle w:val="33"/>
            </w:pPr>
            <w:r>
              <w:rPr>
                <w:rFonts w:hint="eastAsia"/>
              </w:rPr>
              <w:t>7</w:t>
            </w:r>
          </w:p>
        </w:tc>
        <w:tc>
          <w:tcPr>
            <w:tcW w:w="2186" w:type="dxa"/>
            <w:vAlign w:val="center"/>
          </w:tcPr>
          <w:p>
            <w:pPr>
              <w:pStyle w:val="33"/>
            </w:pPr>
            <w:r>
              <w:rPr>
                <w:rFonts w:hint="eastAsia"/>
              </w:rPr>
              <w:t>熔保炉收集尘含铝</w:t>
            </w:r>
          </w:p>
        </w:tc>
        <w:tc>
          <w:tcPr>
            <w:tcW w:w="1465" w:type="dxa"/>
            <w:vAlign w:val="center"/>
          </w:tcPr>
          <w:p>
            <w:pPr>
              <w:pStyle w:val="33"/>
            </w:pPr>
            <w:r>
              <w:rPr>
                <w:rFonts w:hint="eastAsia"/>
              </w:rPr>
              <w:t>1571.05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8</w:t>
            </w:r>
          </w:p>
        </w:tc>
        <w:tc>
          <w:tcPr>
            <w:tcW w:w="1204" w:type="pct"/>
            <w:gridSpan w:val="2"/>
          </w:tcPr>
          <w:p>
            <w:pPr>
              <w:pStyle w:val="33"/>
            </w:pPr>
            <w:r>
              <w:rPr>
                <w:rFonts w:hint="eastAsia"/>
              </w:rPr>
              <w:t>精炼剂含铝</w:t>
            </w:r>
          </w:p>
        </w:tc>
        <w:tc>
          <w:tcPr>
            <w:tcW w:w="1435" w:type="dxa"/>
            <w:vAlign w:val="center"/>
          </w:tcPr>
          <w:p>
            <w:pPr>
              <w:pStyle w:val="33"/>
            </w:pPr>
            <w:r>
              <w:rPr>
                <w:rFonts w:hint="eastAsia"/>
              </w:rPr>
              <w:t>1.233</w:t>
            </w:r>
          </w:p>
        </w:tc>
        <w:tc>
          <w:tcPr>
            <w:tcW w:w="471" w:type="pct"/>
            <w:vAlign w:val="center"/>
          </w:tcPr>
          <w:p>
            <w:pPr>
              <w:pStyle w:val="33"/>
            </w:pPr>
            <w:r>
              <w:rPr>
                <w:rFonts w:hint="eastAsia"/>
              </w:rPr>
              <w:t>8</w:t>
            </w:r>
          </w:p>
        </w:tc>
        <w:tc>
          <w:tcPr>
            <w:tcW w:w="2186" w:type="dxa"/>
            <w:vAlign w:val="center"/>
          </w:tcPr>
          <w:p>
            <w:pPr>
              <w:pStyle w:val="33"/>
            </w:pPr>
            <w:r>
              <w:rPr>
                <w:rFonts w:hint="eastAsia"/>
              </w:rPr>
              <w:t>废过滤板带走铝</w:t>
            </w:r>
          </w:p>
        </w:tc>
        <w:tc>
          <w:tcPr>
            <w:tcW w:w="1465" w:type="dxa"/>
            <w:vAlign w:val="center"/>
          </w:tcPr>
          <w:p>
            <w:pPr>
              <w:pStyle w:val="33"/>
            </w:pPr>
            <w:r>
              <w:rPr>
                <w:rFonts w:hint="eastAsia"/>
              </w:rPr>
              <w:t>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9</w:t>
            </w:r>
          </w:p>
        </w:tc>
        <w:tc>
          <w:tcPr>
            <w:tcW w:w="247" w:type="pct"/>
            <w:vMerge w:val="restart"/>
            <w:vAlign w:val="center"/>
          </w:tcPr>
          <w:p>
            <w:pPr>
              <w:pStyle w:val="33"/>
            </w:pPr>
            <w:r>
              <w:rPr>
                <w:rFonts w:hint="eastAsia"/>
              </w:rPr>
              <w:t>中间合金</w:t>
            </w:r>
          </w:p>
        </w:tc>
        <w:tc>
          <w:tcPr>
            <w:tcW w:w="956" w:type="pct"/>
          </w:tcPr>
          <w:p>
            <w:pPr>
              <w:pStyle w:val="33"/>
            </w:pPr>
            <w:r>
              <w:rPr>
                <w:rFonts w:hint="eastAsia"/>
              </w:rPr>
              <w:t>铝锰合金含铝</w:t>
            </w:r>
          </w:p>
        </w:tc>
        <w:tc>
          <w:tcPr>
            <w:tcW w:w="1435" w:type="dxa"/>
            <w:vAlign w:val="center"/>
          </w:tcPr>
          <w:p>
            <w:pPr>
              <w:pStyle w:val="33"/>
            </w:pPr>
            <w:r>
              <w:rPr>
                <w:rFonts w:hint="eastAsia"/>
              </w:rPr>
              <w:t>99.68</w:t>
            </w:r>
          </w:p>
        </w:tc>
        <w:tc>
          <w:tcPr>
            <w:tcW w:w="471" w:type="pct"/>
            <w:vAlign w:val="center"/>
          </w:tcPr>
          <w:p>
            <w:pPr>
              <w:pStyle w:val="33"/>
            </w:pPr>
          </w:p>
        </w:tc>
        <w:tc>
          <w:tcPr>
            <w:tcW w:w="2186" w:type="dxa"/>
            <w:vAlign w:val="center"/>
          </w:tcPr>
          <w:p>
            <w:pPr>
              <w:pStyle w:val="33"/>
            </w:pPr>
          </w:p>
        </w:tc>
        <w:tc>
          <w:tcPr>
            <w:tcW w:w="1465" w:type="dxa"/>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10</w:t>
            </w:r>
          </w:p>
        </w:tc>
        <w:tc>
          <w:tcPr>
            <w:tcW w:w="247" w:type="pct"/>
            <w:vMerge w:val="continue"/>
          </w:tcPr>
          <w:p>
            <w:pPr>
              <w:pStyle w:val="33"/>
            </w:pPr>
          </w:p>
        </w:tc>
        <w:tc>
          <w:tcPr>
            <w:tcW w:w="956" w:type="pct"/>
          </w:tcPr>
          <w:p>
            <w:pPr>
              <w:pStyle w:val="33"/>
            </w:pPr>
            <w:r>
              <w:rPr>
                <w:rFonts w:hint="eastAsia"/>
              </w:rPr>
              <w:t>铝铜合金含铝</w:t>
            </w:r>
          </w:p>
        </w:tc>
        <w:tc>
          <w:tcPr>
            <w:tcW w:w="1435" w:type="dxa"/>
            <w:vAlign w:val="center"/>
          </w:tcPr>
          <w:p>
            <w:pPr>
              <w:pStyle w:val="33"/>
            </w:pPr>
            <w:r>
              <w:rPr>
                <w:rFonts w:hint="eastAsia"/>
              </w:rPr>
              <w:t>51.41</w:t>
            </w:r>
          </w:p>
        </w:tc>
        <w:tc>
          <w:tcPr>
            <w:tcW w:w="471" w:type="pct"/>
            <w:vAlign w:val="center"/>
          </w:tcPr>
          <w:p>
            <w:pPr>
              <w:pStyle w:val="33"/>
            </w:pPr>
          </w:p>
        </w:tc>
        <w:tc>
          <w:tcPr>
            <w:tcW w:w="2186" w:type="dxa"/>
            <w:vAlign w:val="center"/>
          </w:tcPr>
          <w:p>
            <w:pPr>
              <w:pStyle w:val="33"/>
            </w:pPr>
          </w:p>
        </w:tc>
        <w:tc>
          <w:tcPr>
            <w:tcW w:w="1465" w:type="dxa"/>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11</w:t>
            </w:r>
          </w:p>
        </w:tc>
        <w:tc>
          <w:tcPr>
            <w:tcW w:w="247" w:type="pct"/>
            <w:vMerge w:val="continue"/>
          </w:tcPr>
          <w:p>
            <w:pPr>
              <w:pStyle w:val="33"/>
            </w:pPr>
          </w:p>
        </w:tc>
        <w:tc>
          <w:tcPr>
            <w:tcW w:w="956" w:type="pct"/>
          </w:tcPr>
          <w:p>
            <w:pPr>
              <w:pStyle w:val="33"/>
            </w:pPr>
            <w:r>
              <w:rPr>
                <w:rFonts w:hint="eastAsia"/>
              </w:rPr>
              <w:t>铝钛合金含铝</w:t>
            </w:r>
          </w:p>
        </w:tc>
        <w:tc>
          <w:tcPr>
            <w:tcW w:w="1435" w:type="dxa"/>
            <w:vAlign w:val="center"/>
          </w:tcPr>
          <w:p>
            <w:pPr>
              <w:pStyle w:val="33"/>
            </w:pPr>
            <w:r>
              <w:rPr>
                <w:rFonts w:hint="eastAsia"/>
              </w:rPr>
              <w:t>53.35</w:t>
            </w:r>
          </w:p>
        </w:tc>
        <w:tc>
          <w:tcPr>
            <w:tcW w:w="471" w:type="pct"/>
            <w:vAlign w:val="center"/>
          </w:tcPr>
          <w:p>
            <w:pPr>
              <w:pStyle w:val="33"/>
            </w:pPr>
          </w:p>
        </w:tc>
        <w:tc>
          <w:tcPr>
            <w:tcW w:w="2186" w:type="dxa"/>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12</w:t>
            </w:r>
          </w:p>
        </w:tc>
        <w:tc>
          <w:tcPr>
            <w:tcW w:w="247" w:type="pct"/>
            <w:vMerge w:val="continue"/>
          </w:tcPr>
          <w:p>
            <w:pPr>
              <w:pStyle w:val="33"/>
            </w:pPr>
          </w:p>
        </w:tc>
        <w:tc>
          <w:tcPr>
            <w:tcW w:w="956" w:type="pct"/>
          </w:tcPr>
          <w:p>
            <w:pPr>
              <w:pStyle w:val="33"/>
            </w:pPr>
            <w:r>
              <w:rPr>
                <w:rFonts w:hint="eastAsia"/>
              </w:rPr>
              <w:t>铝铁合金含铝</w:t>
            </w:r>
          </w:p>
        </w:tc>
        <w:tc>
          <w:tcPr>
            <w:tcW w:w="1435" w:type="dxa"/>
            <w:vAlign w:val="center"/>
          </w:tcPr>
          <w:p>
            <w:pPr>
              <w:pStyle w:val="33"/>
            </w:pPr>
            <w:r>
              <w:rPr>
                <w:rFonts w:hint="eastAsia"/>
              </w:rPr>
              <w:t>106.6</w:t>
            </w:r>
          </w:p>
        </w:tc>
        <w:tc>
          <w:tcPr>
            <w:tcW w:w="471" w:type="pct"/>
            <w:vAlign w:val="center"/>
          </w:tcPr>
          <w:p>
            <w:pPr>
              <w:pStyle w:val="33"/>
            </w:pPr>
          </w:p>
        </w:tc>
        <w:tc>
          <w:tcPr>
            <w:tcW w:w="2186" w:type="dxa"/>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13</w:t>
            </w:r>
          </w:p>
        </w:tc>
        <w:tc>
          <w:tcPr>
            <w:tcW w:w="247" w:type="pct"/>
            <w:vMerge w:val="continue"/>
          </w:tcPr>
          <w:p>
            <w:pPr>
              <w:pStyle w:val="33"/>
            </w:pPr>
          </w:p>
        </w:tc>
        <w:tc>
          <w:tcPr>
            <w:tcW w:w="956" w:type="pct"/>
          </w:tcPr>
          <w:p>
            <w:pPr>
              <w:pStyle w:val="33"/>
            </w:pPr>
            <w:r>
              <w:rPr>
                <w:rFonts w:hint="eastAsia"/>
              </w:rPr>
              <w:t>铝硼合金含铝</w:t>
            </w:r>
          </w:p>
        </w:tc>
        <w:tc>
          <w:tcPr>
            <w:tcW w:w="1435" w:type="dxa"/>
            <w:vAlign w:val="center"/>
          </w:tcPr>
          <w:p>
            <w:pPr>
              <w:pStyle w:val="33"/>
            </w:pPr>
            <w:r>
              <w:rPr>
                <w:rFonts w:hint="eastAsia"/>
              </w:rPr>
              <w:t>7.316</w:t>
            </w:r>
          </w:p>
        </w:tc>
        <w:tc>
          <w:tcPr>
            <w:tcW w:w="471" w:type="pct"/>
            <w:vAlign w:val="center"/>
          </w:tcPr>
          <w:p>
            <w:pPr>
              <w:pStyle w:val="33"/>
            </w:pPr>
          </w:p>
        </w:tc>
        <w:tc>
          <w:tcPr>
            <w:tcW w:w="2186" w:type="dxa"/>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14</w:t>
            </w:r>
          </w:p>
        </w:tc>
        <w:tc>
          <w:tcPr>
            <w:tcW w:w="247" w:type="pct"/>
            <w:vMerge w:val="continue"/>
          </w:tcPr>
          <w:p>
            <w:pPr>
              <w:pStyle w:val="33"/>
            </w:pPr>
          </w:p>
        </w:tc>
        <w:tc>
          <w:tcPr>
            <w:tcW w:w="956" w:type="pct"/>
          </w:tcPr>
          <w:p>
            <w:pPr>
              <w:pStyle w:val="33"/>
            </w:pPr>
            <w:r>
              <w:rPr>
                <w:rFonts w:hint="eastAsia"/>
              </w:rPr>
              <w:t>铝钒合金含铝</w:t>
            </w:r>
          </w:p>
        </w:tc>
        <w:tc>
          <w:tcPr>
            <w:tcW w:w="1435" w:type="dxa"/>
            <w:vAlign w:val="center"/>
          </w:tcPr>
          <w:p>
            <w:pPr>
              <w:pStyle w:val="33"/>
            </w:pPr>
            <w:r>
              <w:rPr>
                <w:rFonts w:hint="eastAsia"/>
              </w:rPr>
              <w:t>0.142</w:t>
            </w:r>
          </w:p>
        </w:tc>
        <w:tc>
          <w:tcPr>
            <w:tcW w:w="471"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15</w:t>
            </w:r>
          </w:p>
        </w:tc>
        <w:tc>
          <w:tcPr>
            <w:tcW w:w="247" w:type="pct"/>
            <w:vMerge w:val="continue"/>
          </w:tcPr>
          <w:p>
            <w:pPr>
              <w:pStyle w:val="33"/>
            </w:pPr>
          </w:p>
        </w:tc>
        <w:tc>
          <w:tcPr>
            <w:tcW w:w="956" w:type="pct"/>
          </w:tcPr>
          <w:p>
            <w:pPr>
              <w:pStyle w:val="33"/>
            </w:pPr>
            <w:r>
              <w:rPr>
                <w:rFonts w:hint="eastAsia"/>
              </w:rPr>
              <w:t>铝锶合金含铝</w:t>
            </w:r>
          </w:p>
        </w:tc>
        <w:tc>
          <w:tcPr>
            <w:tcW w:w="1435" w:type="dxa"/>
            <w:vAlign w:val="center"/>
          </w:tcPr>
          <w:p>
            <w:pPr>
              <w:pStyle w:val="33"/>
            </w:pPr>
            <w:r>
              <w:rPr>
                <w:rFonts w:hint="eastAsia"/>
              </w:rPr>
              <w:t>63.156</w:t>
            </w:r>
          </w:p>
        </w:tc>
        <w:tc>
          <w:tcPr>
            <w:tcW w:w="471"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16</w:t>
            </w:r>
          </w:p>
        </w:tc>
        <w:tc>
          <w:tcPr>
            <w:tcW w:w="247" w:type="pct"/>
            <w:vMerge w:val="continue"/>
          </w:tcPr>
          <w:p>
            <w:pPr>
              <w:pStyle w:val="33"/>
            </w:pPr>
          </w:p>
        </w:tc>
        <w:tc>
          <w:tcPr>
            <w:tcW w:w="956" w:type="pct"/>
          </w:tcPr>
          <w:p>
            <w:pPr>
              <w:pStyle w:val="33"/>
            </w:pPr>
            <w:r>
              <w:rPr>
                <w:rFonts w:hint="eastAsia"/>
              </w:rPr>
              <w:t>铝锆合金含铝</w:t>
            </w:r>
          </w:p>
        </w:tc>
        <w:tc>
          <w:tcPr>
            <w:tcW w:w="1435" w:type="dxa"/>
            <w:vAlign w:val="center"/>
          </w:tcPr>
          <w:p>
            <w:pPr>
              <w:pStyle w:val="33"/>
            </w:pPr>
            <w:r>
              <w:rPr>
                <w:rFonts w:hint="eastAsia"/>
              </w:rPr>
              <w:t>7.36</w:t>
            </w:r>
          </w:p>
        </w:tc>
        <w:tc>
          <w:tcPr>
            <w:tcW w:w="471"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17</w:t>
            </w:r>
          </w:p>
        </w:tc>
        <w:tc>
          <w:tcPr>
            <w:tcW w:w="247" w:type="pct"/>
            <w:vMerge w:val="continue"/>
          </w:tcPr>
          <w:p>
            <w:pPr>
              <w:pStyle w:val="33"/>
            </w:pPr>
          </w:p>
        </w:tc>
        <w:tc>
          <w:tcPr>
            <w:tcW w:w="956" w:type="pct"/>
          </w:tcPr>
          <w:p>
            <w:pPr>
              <w:pStyle w:val="33"/>
            </w:pPr>
            <w:r>
              <w:rPr>
                <w:rFonts w:hint="eastAsia"/>
              </w:rPr>
              <w:t>铝硅合金含铝</w:t>
            </w:r>
          </w:p>
        </w:tc>
        <w:tc>
          <w:tcPr>
            <w:tcW w:w="1435" w:type="dxa"/>
            <w:vAlign w:val="center"/>
          </w:tcPr>
          <w:p>
            <w:pPr>
              <w:pStyle w:val="33"/>
            </w:pPr>
            <w:r>
              <w:rPr>
                <w:rFonts w:hint="eastAsia"/>
              </w:rPr>
              <w:t>359.12</w:t>
            </w:r>
          </w:p>
        </w:tc>
        <w:tc>
          <w:tcPr>
            <w:tcW w:w="471"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p>
        </w:tc>
        <w:tc>
          <w:tcPr>
            <w:tcW w:w="1204" w:type="pct"/>
            <w:gridSpan w:val="2"/>
            <w:vAlign w:val="center"/>
          </w:tcPr>
          <w:p>
            <w:pPr>
              <w:pStyle w:val="33"/>
            </w:pPr>
            <w:r>
              <w:rPr>
                <w:rFonts w:hint="eastAsia"/>
              </w:rPr>
              <w:t>合计</w:t>
            </w:r>
          </w:p>
        </w:tc>
        <w:tc>
          <w:tcPr>
            <w:tcW w:w="1435" w:type="dxa"/>
            <w:vAlign w:val="center"/>
          </w:tcPr>
          <w:p>
            <w:pPr>
              <w:pStyle w:val="33"/>
            </w:pPr>
            <w:r>
              <w:rPr>
                <w:rFonts w:hint="eastAsia"/>
              </w:rPr>
              <w:t>320035.412</w:t>
            </w:r>
          </w:p>
        </w:tc>
        <w:tc>
          <w:tcPr>
            <w:tcW w:w="471" w:type="pct"/>
            <w:vAlign w:val="center"/>
          </w:tcPr>
          <w:p>
            <w:pPr>
              <w:pStyle w:val="33"/>
            </w:pPr>
          </w:p>
        </w:tc>
        <w:tc>
          <w:tcPr>
            <w:tcW w:w="1283" w:type="pct"/>
            <w:vAlign w:val="center"/>
          </w:tcPr>
          <w:p>
            <w:pPr>
              <w:pStyle w:val="33"/>
            </w:pPr>
            <w:r>
              <w:rPr>
                <w:rFonts w:hint="eastAsia"/>
              </w:rPr>
              <w:t>合计</w:t>
            </w:r>
          </w:p>
        </w:tc>
        <w:tc>
          <w:tcPr>
            <w:tcW w:w="859" w:type="pct"/>
            <w:vAlign w:val="center"/>
          </w:tcPr>
          <w:p>
            <w:pPr>
              <w:pStyle w:val="33"/>
            </w:pPr>
            <w:r>
              <w:rPr>
                <w:rFonts w:hint="eastAsia"/>
              </w:rPr>
              <w:t>320035.412</w:t>
            </w:r>
          </w:p>
        </w:tc>
      </w:tr>
    </w:tbl>
    <w:p>
      <w:pPr>
        <w:pStyle w:val="7"/>
        <w:ind w:firstLine="480"/>
      </w:pPr>
      <w:r>
        <w:t>铝元素平衡图见图</w:t>
      </w:r>
      <w:r>
        <w:rPr>
          <w:rFonts w:hint="eastAsia"/>
          <w:lang w:val="en-US" w:eastAsia="zh-CN"/>
        </w:rPr>
        <w:t>4</w:t>
      </w:r>
      <w:r>
        <w:t>.3-1：</w:t>
      </w:r>
    </w:p>
    <w:p>
      <w:pPr>
        <w:pStyle w:val="2"/>
        <w:ind w:left="0" w:leftChars="0" w:firstLine="0" w:firstLineChars="0"/>
        <w:jc w:val="center"/>
      </w:pPr>
      <w:r>
        <w:object>
          <v:shape id="_x0000_i1031" o:spt="75" type="#_x0000_t75" style="height:185.3pt;width:374.35pt;" o:ole="t" filled="f" o:preferrelative="t" stroked="f" coordsize="21600,21600">
            <v:path/>
            <v:fill on="f" focussize="0,0"/>
            <v:stroke on="f"/>
            <v:imagedata r:id="rId30" cropright="5379f" cropbottom="1433f" o:title=""/>
            <o:lock v:ext="edit" aspectratio="t"/>
            <w10:wrap type="none"/>
            <w10:anchorlock/>
          </v:shape>
          <o:OLEObject Type="Embed" ProgID="Visio.Drawing.15" ShapeID="_x0000_i1031" DrawAspect="Content" ObjectID="_1468075731" r:id="rId29">
            <o:LockedField>false</o:LockedField>
          </o:OLEObject>
        </w:object>
      </w:r>
    </w:p>
    <w:p>
      <w:pPr>
        <w:pStyle w:val="44"/>
      </w:pPr>
      <w:r>
        <w:rPr>
          <w:rFonts w:hint="eastAsia"/>
        </w:rPr>
        <w:t>图4.3-1</w:t>
      </w:r>
      <w:r>
        <w:t xml:space="preserve"> </w:t>
      </w:r>
      <w:r>
        <w:rPr>
          <w:rFonts w:hint="eastAsia"/>
        </w:rPr>
        <w:t xml:space="preserve"> 一期工程</w:t>
      </w:r>
      <w:r>
        <w:t>铝元素平衡图（单位：t/a）</w:t>
      </w:r>
    </w:p>
    <w:p>
      <w:pPr>
        <w:pStyle w:val="7"/>
        <w:ind w:firstLine="482"/>
        <w:rPr>
          <w:b/>
          <w:bCs/>
        </w:rPr>
      </w:pPr>
      <w:r>
        <w:rPr>
          <w:b/>
          <w:bCs/>
        </w:rPr>
        <w:t>2、氟元素平衡</w:t>
      </w:r>
    </w:p>
    <w:p>
      <w:pPr>
        <w:pStyle w:val="7"/>
        <w:ind w:firstLine="480"/>
      </w:pPr>
      <w:r>
        <w:rPr>
          <w:rFonts w:hint="eastAsia"/>
        </w:rPr>
        <w:t>项目产生的氟化物来自于精炼过程中，项目使用的精炼剂中主要含氟成分为冰晶石（</w:t>
      </w:r>
      <w:r>
        <w:t>Na</w:t>
      </w:r>
      <w:r>
        <w:rPr>
          <w:vertAlign w:val="subscript"/>
        </w:rPr>
        <w:t>3</w:t>
      </w:r>
      <w:r>
        <w:t>AlF</w:t>
      </w:r>
      <w:r>
        <w:rPr>
          <w:vertAlign w:val="subscript"/>
        </w:rPr>
        <w:t>6</w:t>
      </w:r>
      <w:r>
        <w:rPr>
          <w:rFonts w:hint="eastAsia"/>
        </w:rPr>
        <w:t>）和氟硅酸钠（</w:t>
      </w:r>
      <w:r>
        <w:t>Na</w:t>
      </w:r>
      <w:r>
        <w:rPr>
          <w:vertAlign w:val="subscript"/>
        </w:rPr>
        <w:t>2</w:t>
      </w:r>
      <w:r>
        <w:t>SiF</w:t>
      </w:r>
      <w:r>
        <w:rPr>
          <w:vertAlign w:val="subscript"/>
        </w:rPr>
        <w:t>6</w:t>
      </w:r>
      <w:r>
        <w:rPr>
          <w:rFonts w:hint="eastAsia"/>
        </w:rPr>
        <w:t>），含量分别为30%、20%。冰晶石熔点为1000℃，大于铝，在熔炼过程中主要作为助溶剂。氟硅酸钠在300℃以上分解产生四氟化硅（</w:t>
      </w:r>
      <w:r>
        <w:t>SiF</w:t>
      </w:r>
      <w:r>
        <w:rPr>
          <w:rFonts w:hint="eastAsia"/>
          <w:vertAlign w:val="subscript"/>
        </w:rPr>
        <w:t>4</w:t>
      </w:r>
      <w:r>
        <w:rPr>
          <w:rFonts w:hint="eastAsia"/>
        </w:rPr>
        <w:t>）和氟化钠（</w:t>
      </w:r>
      <w:r>
        <w:t>NaF</w:t>
      </w:r>
      <w:r>
        <w:rPr>
          <w:rFonts w:hint="eastAsia"/>
        </w:rPr>
        <w:t>），反应方程式为：</w:t>
      </w:r>
    </w:p>
    <w:p>
      <w:pPr>
        <w:pStyle w:val="7"/>
        <w:ind w:firstLine="480"/>
        <w:rPr>
          <w:vertAlign w:val="subscript"/>
        </w:rPr>
      </w:pPr>
      <w:r>
        <w:t>Na</w:t>
      </w:r>
      <w:r>
        <w:rPr>
          <w:vertAlign w:val="subscript"/>
        </w:rPr>
        <w:t>2</w:t>
      </w:r>
      <w:r>
        <w:t>SiF</w:t>
      </w:r>
      <w:r>
        <w:rPr>
          <w:vertAlign w:val="subscript"/>
        </w:rPr>
        <w:t>6</w:t>
      </w:r>
      <w:r>
        <w:rPr>
          <w:rFonts w:hint="eastAsia"/>
        </w:rPr>
        <w:t xml:space="preserve">  </w:t>
      </w:r>
      <w:r>
        <w:rPr>
          <w:rFonts w:ascii="Arial" w:hAnsi="Arial" w:cs="Arial"/>
        </w:rPr>
        <w:t>→</w:t>
      </w:r>
      <w:r>
        <w:rPr>
          <w:rFonts w:hint="eastAsia" w:ascii="Arial" w:hAnsi="Arial" w:cs="Arial"/>
        </w:rPr>
        <w:t xml:space="preserve">  </w:t>
      </w:r>
      <w:r>
        <w:t>SiF</w:t>
      </w:r>
      <w:r>
        <w:rPr>
          <w:rFonts w:hint="eastAsia"/>
          <w:vertAlign w:val="subscript"/>
        </w:rPr>
        <w:t>4</w:t>
      </w:r>
      <w:r>
        <w:t xml:space="preserve"> </w:t>
      </w:r>
      <w:r>
        <w:rPr>
          <w:rFonts w:hint="eastAsia"/>
        </w:rPr>
        <w:t>+</w:t>
      </w:r>
      <w:r>
        <w:t xml:space="preserve"> NaF</w:t>
      </w:r>
      <w:r>
        <w:rPr>
          <w:vertAlign w:val="subscript"/>
        </w:rPr>
        <w:t xml:space="preserve">    </w:t>
      </w:r>
    </w:p>
    <w:p>
      <w:pPr>
        <w:pStyle w:val="7"/>
        <w:ind w:firstLine="480"/>
      </w:pPr>
      <w:r>
        <w:rPr>
          <w:rFonts w:hint="eastAsia"/>
        </w:rPr>
        <w:t>其中</w:t>
      </w:r>
      <w:r>
        <w:t>SiF</w:t>
      </w:r>
      <w:r>
        <w:rPr>
          <w:rFonts w:hint="eastAsia"/>
          <w:vertAlign w:val="subscript"/>
        </w:rPr>
        <w:t>4</w:t>
      </w:r>
      <w:r>
        <w:rPr>
          <w:rFonts w:hint="eastAsia"/>
        </w:rPr>
        <w:t>挥发成气体起到除气的作用，</w:t>
      </w:r>
      <w:r>
        <w:t>NaF</w:t>
      </w:r>
      <w:r>
        <w:rPr>
          <w:rFonts w:hint="eastAsia"/>
        </w:rPr>
        <w:t>具有弱变质的作用。另外氟硅酸钠还跟氧化铝发生反应，会产生氟化铝，反应方程式如下，同时所生成的</w:t>
      </w:r>
      <w:r>
        <w:t>SiO</w:t>
      </w:r>
      <w:r>
        <w:rPr>
          <w:rFonts w:hint="eastAsia"/>
          <w:vertAlign w:val="subscript"/>
        </w:rPr>
        <w:t>2</w:t>
      </w:r>
      <w:r>
        <w:rPr>
          <w:rFonts w:hint="eastAsia"/>
        </w:rPr>
        <w:t>结合成块状渣易除去。</w:t>
      </w:r>
    </w:p>
    <w:p>
      <w:pPr>
        <w:pStyle w:val="7"/>
        <w:ind w:firstLine="480"/>
      </w:pPr>
      <w:r>
        <w:rPr>
          <w:rFonts w:hint="eastAsia"/>
        </w:rPr>
        <w:t>3</w:t>
      </w:r>
      <w:r>
        <w:t>Na</w:t>
      </w:r>
      <w:r>
        <w:rPr>
          <w:vertAlign w:val="subscript"/>
        </w:rPr>
        <w:t>2</w:t>
      </w:r>
      <w:r>
        <w:t>SiF</w:t>
      </w:r>
      <w:r>
        <w:rPr>
          <w:vertAlign w:val="subscript"/>
        </w:rPr>
        <w:t>6</w:t>
      </w:r>
      <w:r>
        <w:t>+2Al</w:t>
      </w:r>
      <w:r>
        <w:rPr>
          <w:vertAlign w:val="subscript"/>
        </w:rPr>
        <w:t>2</w:t>
      </w:r>
      <w:r>
        <w:t>O</w:t>
      </w:r>
      <w:r>
        <w:rPr>
          <w:vertAlign w:val="subscript"/>
        </w:rPr>
        <w:t>3</w:t>
      </w:r>
      <w:r>
        <w:rPr>
          <w:rFonts w:hint="eastAsia"/>
        </w:rPr>
        <w:t xml:space="preserve"> ==</w:t>
      </w:r>
      <w:r>
        <w:t xml:space="preserve"> </w:t>
      </w:r>
      <w:r>
        <w:rPr>
          <w:rFonts w:hint="eastAsia"/>
        </w:rPr>
        <w:t>2</w:t>
      </w:r>
      <w:r>
        <w:t>Na</w:t>
      </w:r>
      <w:r>
        <w:rPr>
          <w:vertAlign w:val="subscript"/>
        </w:rPr>
        <w:t>3</w:t>
      </w:r>
      <w:r>
        <w:t>AlF</w:t>
      </w:r>
      <w:r>
        <w:rPr>
          <w:vertAlign w:val="subscript"/>
        </w:rPr>
        <w:t>6</w:t>
      </w:r>
      <w:r>
        <w:rPr>
          <w:rFonts w:hint="eastAsia"/>
        </w:rPr>
        <w:t>+3</w:t>
      </w:r>
      <w:r>
        <w:t>SiO</w:t>
      </w:r>
      <w:r>
        <w:rPr>
          <w:rFonts w:hint="eastAsia"/>
          <w:vertAlign w:val="subscript"/>
        </w:rPr>
        <w:t>2</w:t>
      </w:r>
      <w:r>
        <w:rPr>
          <w:vertAlign w:val="subscript"/>
        </w:rPr>
        <w:t xml:space="preserve"> </w:t>
      </w:r>
      <w:r>
        <w:rPr>
          <w:rFonts w:hint="eastAsia"/>
        </w:rPr>
        <w:t>+2</w:t>
      </w:r>
      <w:r>
        <w:t>AlF</w:t>
      </w:r>
      <w:r>
        <w:rPr>
          <w:vertAlign w:val="subscript"/>
        </w:rPr>
        <w:t>3</w:t>
      </w:r>
    </w:p>
    <w:p>
      <w:pPr>
        <w:spacing w:line="360" w:lineRule="auto"/>
        <w:ind w:firstLine="480"/>
      </w:pPr>
      <w:r>
        <w:rPr>
          <w:rFonts w:hint="eastAsia"/>
        </w:rPr>
        <w:t>根据建设单位提供资料，氟元素大部分以块状残渣由扒渣工艺扒出，1</w:t>
      </w:r>
      <w:r>
        <w:t>2.5%</w:t>
      </w:r>
      <w:r>
        <w:rPr>
          <w:rFonts w:hint="eastAsia"/>
        </w:rPr>
        <w:t>的氟元素以冰晶石、氟化钠、氟化铝等尘氟的形式扩散，0</w:t>
      </w:r>
      <w:r>
        <w:t>.5%</w:t>
      </w:r>
      <w:r>
        <w:rPr>
          <w:rFonts w:hint="eastAsia"/>
        </w:rPr>
        <w:t>的因四氟化硅分解以气态氟的形式扩散。扩散出的氟化物由炉内密闭的排气管道排出，经过石灰粉+布袋除尘器处理后排入大气中。氟元素平衡表见表4.3-3，氟</w:t>
      </w:r>
      <w:r>
        <w:t>元素平衡图见图</w:t>
      </w:r>
      <w:r>
        <w:rPr>
          <w:rFonts w:hint="eastAsia"/>
        </w:rPr>
        <w:t>4</w:t>
      </w:r>
      <w:r>
        <w:t>.3-</w:t>
      </w:r>
      <w:r>
        <w:rPr>
          <w:rFonts w:hint="eastAsia"/>
        </w:rPr>
        <w:t>2。</w:t>
      </w:r>
    </w:p>
    <w:p>
      <w:pPr>
        <w:pStyle w:val="31"/>
      </w:pPr>
      <w:r>
        <w:t>表</w:t>
      </w:r>
      <w:r>
        <w:rPr>
          <w:rFonts w:hint="eastAsia"/>
        </w:rPr>
        <w:t>4</w:t>
      </w:r>
      <w:r>
        <w:t>.3-</w:t>
      </w:r>
      <w:r>
        <w:rPr>
          <w:rFonts w:hint="eastAsia"/>
        </w:rPr>
        <w:t>3</w:t>
      </w:r>
      <w:r>
        <w:t xml:space="preserve"> </w:t>
      </w:r>
      <w:r>
        <w:rPr>
          <w:rFonts w:hint="eastAsia"/>
        </w:rPr>
        <w:t xml:space="preserve"> 氟</w:t>
      </w:r>
      <w:r>
        <w:t>元素平衡表</w:t>
      </w:r>
    </w:p>
    <w:tbl>
      <w:tblPr>
        <w:tblStyle w:val="27"/>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1916"/>
        <w:gridCol w:w="1134"/>
        <w:gridCol w:w="567"/>
        <w:gridCol w:w="1843"/>
        <w:gridCol w:w="1134"/>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29" w:type="dxa"/>
            <w:gridSpan w:val="3"/>
            <w:tcMar>
              <w:left w:w="28" w:type="dxa"/>
              <w:right w:w="28" w:type="dxa"/>
            </w:tcMar>
            <w:vAlign w:val="center"/>
          </w:tcPr>
          <w:p>
            <w:pPr>
              <w:pStyle w:val="32"/>
            </w:pPr>
            <w:r>
              <w:rPr>
                <w:rFonts w:hint="eastAsia"/>
              </w:rPr>
              <w:t>投入物料（t/a）</w:t>
            </w:r>
          </w:p>
        </w:tc>
        <w:tc>
          <w:tcPr>
            <w:tcW w:w="4833" w:type="dxa"/>
            <w:gridSpan w:val="4"/>
            <w:tcMar>
              <w:left w:w="28" w:type="dxa"/>
              <w:right w:w="28" w:type="dxa"/>
            </w:tcMar>
            <w:vAlign w:val="center"/>
          </w:tcPr>
          <w:p>
            <w:pPr>
              <w:pStyle w:val="32"/>
            </w:pPr>
            <w:r>
              <w:rPr>
                <w:rFonts w:hint="eastAsia"/>
              </w:rPr>
              <w:t>产出物料（t/a）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p>
        </w:tc>
        <w:tc>
          <w:tcPr>
            <w:tcW w:w="1916" w:type="dxa"/>
            <w:tcMar>
              <w:left w:w="28" w:type="dxa"/>
              <w:right w:w="28" w:type="dxa"/>
            </w:tcMar>
            <w:vAlign w:val="center"/>
          </w:tcPr>
          <w:p>
            <w:pPr>
              <w:pStyle w:val="32"/>
            </w:pPr>
            <w:r>
              <w:rPr>
                <w:rFonts w:hint="eastAsia"/>
              </w:rPr>
              <w:t>物料</w:t>
            </w:r>
          </w:p>
        </w:tc>
        <w:tc>
          <w:tcPr>
            <w:tcW w:w="1134" w:type="dxa"/>
            <w:tcMar>
              <w:left w:w="28" w:type="dxa"/>
              <w:right w:w="28" w:type="dxa"/>
            </w:tcMar>
            <w:vAlign w:val="center"/>
          </w:tcPr>
          <w:p>
            <w:pPr>
              <w:pStyle w:val="32"/>
            </w:pPr>
            <w:r>
              <w:rPr>
                <w:rFonts w:hint="eastAsia"/>
              </w:rPr>
              <w:t>氟元素量</w:t>
            </w:r>
          </w:p>
        </w:tc>
        <w:tc>
          <w:tcPr>
            <w:tcW w:w="567" w:type="dxa"/>
            <w:tcMar>
              <w:left w:w="28" w:type="dxa"/>
              <w:right w:w="28" w:type="dxa"/>
            </w:tcMar>
            <w:vAlign w:val="center"/>
          </w:tcPr>
          <w:p>
            <w:pPr>
              <w:pStyle w:val="32"/>
            </w:pPr>
          </w:p>
        </w:tc>
        <w:tc>
          <w:tcPr>
            <w:tcW w:w="1843" w:type="dxa"/>
            <w:tcMar>
              <w:left w:w="28" w:type="dxa"/>
              <w:right w:w="28" w:type="dxa"/>
            </w:tcMar>
            <w:vAlign w:val="center"/>
          </w:tcPr>
          <w:p>
            <w:pPr>
              <w:pStyle w:val="32"/>
            </w:pPr>
            <w:r>
              <w:rPr>
                <w:rFonts w:hint="eastAsia"/>
              </w:rPr>
              <w:t>物料</w:t>
            </w:r>
          </w:p>
        </w:tc>
        <w:tc>
          <w:tcPr>
            <w:tcW w:w="1134" w:type="dxa"/>
            <w:vAlign w:val="center"/>
          </w:tcPr>
          <w:p>
            <w:pPr>
              <w:pStyle w:val="32"/>
            </w:pPr>
            <w:r>
              <w:rPr>
                <w:rFonts w:hint="eastAsia"/>
              </w:rPr>
              <w:t>氟化物量</w:t>
            </w:r>
          </w:p>
        </w:tc>
        <w:tc>
          <w:tcPr>
            <w:tcW w:w="1289" w:type="dxa"/>
            <w:tcMar>
              <w:left w:w="28" w:type="dxa"/>
              <w:right w:w="28" w:type="dxa"/>
            </w:tcMar>
            <w:vAlign w:val="center"/>
          </w:tcPr>
          <w:p>
            <w:pPr>
              <w:pStyle w:val="32"/>
            </w:pPr>
            <w:r>
              <w:rPr>
                <w:rFonts w:hint="eastAsia"/>
              </w:rPr>
              <w:t>含氟元素量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r>
              <w:rPr>
                <w:rFonts w:hint="eastAsia"/>
              </w:rPr>
              <w:t>1</w:t>
            </w:r>
          </w:p>
        </w:tc>
        <w:tc>
          <w:tcPr>
            <w:tcW w:w="1916" w:type="dxa"/>
            <w:tcMar>
              <w:left w:w="28" w:type="dxa"/>
              <w:right w:w="28" w:type="dxa"/>
            </w:tcMar>
            <w:vAlign w:val="center"/>
          </w:tcPr>
          <w:p>
            <w:pPr>
              <w:pStyle w:val="32"/>
            </w:pPr>
            <w:r>
              <w:rPr>
                <w:rFonts w:hint="eastAsia"/>
              </w:rPr>
              <w:t>精炼剂中含氟</w:t>
            </w:r>
          </w:p>
        </w:tc>
        <w:tc>
          <w:tcPr>
            <w:tcW w:w="1134" w:type="dxa"/>
            <w:tcMar>
              <w:left w:w="28" w:type="dxa"/>
              <w:right w:w="28" w:type="dxa"/>
            </w:tcMar>
            <w:vAlign w:val="center"/>
          </w:tcPr>
          <w:p>
            <w:pPr>
              <w:pStyle w:val="32"/>
            </w:pPr>
            <w:r>
              <w:rPr>
                <w:rFonts w:hint="eastAsia"/>
              </w:rPr>
              <w:t>9.09</w:t>
            </w:r>
          </w:p>
        </w:tc>
        <w:tc>
          <w:tcPr>
            <w:tcW w:w="567" w:type="dxa"/>
            <w:tcMar>
              <w:left w:w="28" w:type="dxa"/>
              <w:right w:w="28" w:type="dxa"/>
            </w:tcMar>
            <w:vAlign w:val="center"/>
          </w:tcPr>
          <w:p>
            <w:pPr>
              <w:pStyle w:val="32"/>
            </w:pPr>
            <w:r>
              <w:rPr>
                <w:rFonts w:hint="eastAsia"/>
              </w:rPr>
              <w:t>1</w:t>
            </w:r>
          </w:p>
        </w:tc>
        <w:tc>
          <w:tcPr>
            <w:tcW w:w="1843" w:type="dxa"/>
            <w:tcMar>
              <w:left w:w="28" w:type="dxa"/>
              <w:right w:w="28" w:type="dxa"/>
            </w:tcMar>
            <w:vAlign w:val="center"/>
          </w:tcPr>
          <w:p>
            <w:pPr>
              <w:pStyle w:val="32"/>
            </w:pPr>
            <w:r>
              <w:rPr>
                <w:rFonts w:hint="eastAsia"/>
              </w:rPr>
              <w:t>铝灰中氟化物</w:t>
            </w:r>
          </w:p>
        </w:tc>
        <w:tc>
          <w:tcPr>
            <w:tcW w:w="1134" w:type="dxa"/>
            <w:vAlign w:val="center"/>
          </w:tcPr>
          <w:p>
            <w:pPr>
              <w:pStyle w:val="32"/>
            </w:pPr>
            <w:r>
              <w:rPr>
                <w:rFonts w:hint="eastAsia"/>
              </w:rPr>
              <w:t>14.07</w:t>
            </w:r>
          </w:p>
        </w:tc>
        <w:tc>
          <w:tcPr>
            <w:tcW w:w="1289" w:type="dxa"/>
            <w:tcMar>
              <w:left w:w="28" w:type="dxa"/>
              <w:right w:w="28" w:type="dxa"/>
            </w:tcMar>
            <w:vAlign w:val="center"/>
          </w:tcPr>
          <w:p>
            <w:pPr>
              <w:pStyle w:val="32"/>
            </w:pPr>
            <w:r>
              <w:rPr>
                <w:rFonts w:hint="eastAsia"/>
              </w:rPr>
              <w:t>7.908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p>
        </w:tc>
        <w:tc>
          <w:tcPr>
            <w:tcW w:w="1916" w:type="dxa"/>
            <w:tcMar>
              <w:left w:w="28" w:type="dxa"/>
              <w:right w:w="28" w:type="dxa"/>
            </w:tcMar>
            <w:vAlign w:val="center"/>
          </w:tcPr>
          <w:p>
            <w:pPr>
              <w:pStyle w:val="32"/>
            </w:pPr>
          </w:p>
        </w:tc>
        <w:tc>
          <w:tcPr>
            <w:tcW w:w="1134" w:type="dxa"/>
            <w:tcMar>
              <w:left w:w="28" w:type="dxa"/>
              <w:right w:w="28" w:type="dxa"/>
            </w:tcMar>
            <w:vAlign w:val="center"/>
          </w:tcPr>
          <w:p>
            <w:pPr>
              <w:pStyle w:val="32"/>
            </w:pPr>
          </w:p>
        </w:tc>
        <w:tc>
          <w:tcPr>
            <w:tcW w:w="567" w:type="dxa"/>
            <w:tcMar>
              <w:left w:w="28" w:type="dxa"/>
              <w:right w:w="28" w:type="dxa"/>
            </w:tcMar>
            <w:vAlign w:val="center"/>
          </w:tcPr>
          <w:p>
            <w:pPr>
              <w:pStyle w:val="32"/>
            </w:pPr>
            <w:r>
              <w:rPr>
                <w:rFonts w:hint="eastAsia"/>
              </w:rPr>
              <w:t>2</w:t>
            </w:r>
          </w:p>
        </w:tc>
        <w:tc>
          <w:tcPr>
            <w:tcW w:w="1843" w:type="dxa"/>
            <w:tcMar>
              <w:left w:w="28" w:type="dxa"/>
              <w:right w:w="28" w:type="dxa"/>
            </w:tcMar>
            <w:vAlign w:val="center"/>
          </w:tcPr>
          <w:p>
            <w:pPr>
              <w:pStyle w:val="32"/>
            </w:pPr>
            <w:r>
              <w:rPr>
                <w:rFonts w:hint="eastAsia"/>
              </w:rPr>
              <w:t>排放烟尘中氟化物</w:t>
            </w:r>
          </w:p>
        </w:tc>
        <w:tc>
          <w:tcPr>
            <w:tcW w:w="1134" w:type="dxa"/>
            <w:vAlign w:val="center"/>
          </w:tcPr>
          <w:p>
            <w:pPr>
              <w:pStyle w:val="32"/>
            </w:pPr>
            <w:r>
              <w:rPr>
                <w:rFonts w:hint="eastAsia"/>
              </w:rPr>
              <w:t>0.021</w:t>
            </w:r>
          </w:p>
        </w:tc>
        <w:tc>
          <w:tcPr>
            <w:tcW w:w="1289" w:type="dxa"/>
            <w:tcMar>
              <w:left w:w="28" w:type="dxa"/>
              <w:right w:w="28" w:type="dxa"/>
            </w:tcMar>
            <w:vAlign w:val="center"/>
          </w:tcPr>
          <w:p>
            <w:pPr>
              <w:pStyle w:val="32"/>
            </w:pPr>
            <w:r>
              <w:rPr>
                <w:rFonts w:hint="eastAsia"/>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p>
        </w:tc>
        <w:tc>
          <w:tcPr>
            <w:tcW w:w="1916" w:type="dxa"/>
            <w:tcMar>
              <w:left w:w="28" w:type="dxa"/>
              <w:right w:w="28" w:type="dxa"/>
            </w:tcMar>
            <w:vAlign w:val="center"/>
          </w:tcPr>
          <w:p>
            <w:pPr>
              <w:pStyle w:val="32"/>
            </w:pPr>
          </w:p>
        </w:tc>
        <w:tc>
          <w:tcPr>
            <w:tcW w:w="1134" w:type="dxa"/>
            <w:tcMar>
              <w:left w:w="28" w:type="dxa"/>
              <w:right w:w="28" w:type="dxa"/>
            </w:tcMar>
            <w:vAlign w:val="center"/>
          </w:tcPr>
          <w:p>
            <w:pPr>
              <w:pStyle w:val="32"/>
            </w:pPr>
          </w:p>
        </w:tc>
        <w:tc>
          <w:tcPr>
            <w:tcW w:w="567" w:type="dxa"/>
            <w:tcMar>
              <w:left w:w="28" w:type="dxa"/>
              <w:right w:w="28" w:type="dxa"/>
            </w:tcMar>
            <w:vAlign w:val="center"/>
          </w:tcPr>
          <w:p>
            <w:pPr>
              <w:pStyle w:val="32"/>
            </w:pPr>
            <w:r>
              <w:rPr>
                <w:rFonts w:hint="eastAsia"/>
              </w:rPr>
              <w:t>3</w:t>
            </w:r>
          </w:p>
        </w:tc>
        <w:tc>
          <w:tcPr>
            <w:tcW w:w="1843" w:type="dxa"/>
            <w:tcMar>
              <w:left w:w="28" w:type="dxa"/>
              <w:right w:w="28" w:type="dxa"/>
            </w:tcMar>
            <w:vAlign w:val="center"/>
          </w:tcPr>
          <w:p>
            <w:pPr>
              <w:pStyle w:val="32"/>
            </w:pPr>
            <w:r>
              <w:rPr>
                <w:rFonts w:hint="eastAsia"/>
              </w:rPr>
              <w:t>收集尘中氟化物</w:t>
            </w:r>
          </w:p>
        </w:tc>
        <w:tc>
          <w:tcPr>
            <w:tcW w:w="1134" w:type="dxa"/>
            <w:vAlign w:val="center"/>
          </w:tcPr>
          <w:p>
            <w:pPr>
              <w:pStyle w:val="32"/>
            </w:pPr>
            <w:r>
              <w:rPr>
                <w:rFonts w:hint="eastAsia"/>
              </w:rPr>
              <w:t>2.08</w:t>
            </w:r>
          </w:p>
        </w:tc>
        <w:tc>
          <w:tcPr>
            <w:tcW w:w="1289" w:type="dxa"/>
            <w:tcMar>
              <w:left w:w="28" w:type="dxa"/>
              <w:right w:w="28" w:type="dxa"/>
            </w:tcMar>
            <w:vAlign w:val="center"/>
          </w:tcPr>
          <w:p>
            <w:pPr>
              <w:pStyle w:val="32"/>
            </w:pPr>
            <w:r>
              <w:rPr>
                <w:rFonts w:hint="eastAsia"/>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395" w:type="dxa"/>
            <w:gridSpan w:val="2"/>
            <w:tcMar>
              <w:left w:w="28" w:type="dxa"/>
              <w:right w:w="28" w:type="dxa"/>
            </w:tcMar>
            <w:vAlign w:val="center"/>
          </w:tcPr>
          <w:p>
            <w:pPr>
              <w:pStyle w:val="32"/>
            </w:pPr>
            <w:r>
              <w:rPr>
                <w:rFonts w:hint="eastAsia"/>
              </w:rPr>
              <w:t>合计</w:t>
            </w:r>
          </w:p>
        </w:tc>
        <w:tc>
          <w:tcPr>
            <w:tcW w:w="1134" w:type="dxa"/>
            <w:tcMar>
              <w:left w:w="28" w:type="dxa"/>
              <w:right w:w="28" w:type="dxa"/>
            </w:tcMar>
            <w:vAlign w:val="center"/>
          </w:tcPr>
          <w:p>
            <w:pPr>
              <w:pStyle w:val="32"/>
            </w:pPr>
            <w:r>
              <w:rPr>
                <w:rFonts w:hint="eastAsia"/>
              </w:rPr>
              <w:t>9.09</w:t>
            </w:r>
          </w:p>
        </w:tc>
        <w:tc>
          <w:tcPr>
            <w:tcW w:w="3544" w:type="dxa"/>
            <w:gridSpan w:val="3"/>
            <w:tcMar>
              <w:left w:w="28" w:type="dxa"/>
              <w:right w:w="28" w:type="dxa"/>
            </w:tcMar>
            <w:vAlign w:val="center"/>
          </w:tcPr>
          <w:p>
            <w:pPr>
              <w:pStyle w:val="32"/>
            </w:pPr>
            <w:r>
              <w:rPr>
                <w:rFonts w:hint="eastAsia"/>
              </w:rPr>
              <w:t>合计</w:t>
            </w:r>
          </w:p>
        </w:tc>
        <w:tc>
          <w:tcPr>
            <w:tcW w:w="1289" w:type="dxa"/>
            <w:tcMar>
              <w:left w:w="28" w:type="dxa"/>
              <w:right w:w="28" w:type="dxa"/>
            </w:tcMar>
            <w:vAlign w:val="center"/>
          </w:tcPr>
          <w:p>
            <w:pPr>
              <w:pStyle w:val="32"/>
            </w:pPr>
          </w:p>
        </w:tc>
      </w:tr>
    </w:tbl>
    <w:p>
      <w:pPr>
        <w:pStyle w:val="2"/>
        <w:spacing w:line="360" w:lineRule="auto"/>
        <w:ind w:left="0" w:leftChars="0" w:firstLine="0" w:firstLineChars="0"/>
        <w:jc w:val="center"/>
      </w:pPr>
      <w:r>
        <w:object>
          <v:shape id="_x0000_i1032" o:spt="75" type="#_x0000_t75" style="height:182pt;width:313.35pt;" o:ole="t" filled="f" o:preferrelative="t" stroked="f" coordsize="21600,21600">
            <v:path/>
            <v:fill on="f" focussize="0,0"/>
            <v:stroke on="f" joinstyle="miter"/>
            <v:imagedata r:id="rId32" o:title=""/>
            <o:lock v:ext="edit" aspectratio="t"/>
            <w10:wrap type="none"/>
            <w10:anchorlock/>
          </v:shape>
          <o:OLEObject Type="Embed" ProgID="Visio.Drawing.15" ShapeID="_x0000_i1032" DrawAspect="Content" ObjectID="_1468075732" r:id="rId31">
            <o:LockedField>false</o:LockedField>
          </o:OLEObject>
        </w:object>
      </w:r>
    </w:p>
    <w:p>
      <w:pPr>
        <w:pStyle w:val="44"/>
      </w:pPr>
      <w:r>
        <w:rPr>
          <w:rFonts w:hint="eastAsia"/>
        </w:rPr>
        <w:t>图4.3-2  一期工程氟</w:t>
      </w:r>
      <w:r>
        <w:t>元素</w:t>
      </w:r>
      <w:r>
        <w:rPr>
          <w:rFonts w:hint="eastAsia"/>
        </w:rPr>
        <w:t>平衡图（t</w:t>
      </w:r>
      <w:r>
        <w:t>/a</w:t>
      </w:r>
      <w:r>
        <w:rPr>
          <w:rFonts w:hint="eastAsia"/>
        </w:rPr>
        <w:t>）</w:t>
      </w:r>
    </w:p>
    <w:p>
      <w:pPr>
        <w:pStyle w:val="7"/>
        <w:ind w:firstLine="482"/>
        <w:rPr>
          <w:b/>
          <w:bCs/>
        </w:rPr>
      </w:pPr>
      <w:r>
        <w:rPr>
          <w:b/>
          <w:bCs/>
        </w:rPr>
        <w:t>3、</w:t>
      </w:r>
      <w:r>
        <w:rPr>
          <w:rFonts w:hint="eastAsia"/>
          <w:b/>
          <w:bCs/>
        </w:rPr>
        <w:t>氯</w:t>
      </w:r>
      <w:r>
        <w:rPr>
          <w:b/>
          <w:bCs/>
        </w:rPr>
        <w:t>元素平衡</w:t>
      </w:r>
    </w:p>
    <w:p>
      <w:pPr>
        <w:pStyle w:val="7"/>
        <w:ind w:firstLine="480"/>
      </w:pPr>
      <w:r>
        <w:rPr>
          <w:rFonts w:hint="eastAsia"/>
        </w:rPr>
        <w:t>项目氯元素来源于精炼过程中充入的氯气以及精炼剂中的氯元素，氯元素去向为：氯气与铝水中的H反应生成的H</w:t>
      </w:r>
      <w:r>
        <w:t>C</w:t>
      </w:r>
      <w:r>
        <w:rPr>
          <w:rFonts w:hint="eastAsia"/>
        </w:rPr>
        <w:t>l、未完全反应的氯气、废气处理中石灰粉处理产生的收集尘、铝灰中含有的氯元素。项目氯气使用量为8t/a，精炼剂使用量为32t/a，根据精炼剂成分分析，项目氯元素平衡表见表4.3-4。</w:t>
      </w:r>
    </w:p>
    <w:p>
      <w:pPr>
        <w:pStyle w:val="31"/>
      </w:pPr>
      <w:r>
        <w:t>表</w:t>
      </w:r>
      <w:r>
        <w:rPr>
          <w:rFonts w:hint="eastAsia"/>
        </w:rPr>
        <w:t>4</w:t>
      </w:r>
      <w:r>
        <w:t>.3-</w:t>
      </w:r>
      <w:r>
        <w:rPr>
          <w:rFonts w:hint="eastAsia"/>
        </w:rPr>
        <w:t>4</w:t>
      </w:r>
      <w:r>
        <w:t xml:space="preserve"> </w:t>
      </w:r>
      <w:r>
        <w:rPr>
          <w:rFonts w:hint="eastAsia"/>
        </w:rPr>
        <w:t xml:space="preserve"> 氯</w:t>
      </w:r>
      <w:r>
        <w:t>元素平衡表</w:t>
      </w:r>
    </w:p>
    <w:tbl>
      <w:tblPr>
        <w:tblStyle w:val="27"/>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916"/>
        <w:gridCol w:w="1134"/>
        <w:gridCol w:w="567"/>
        <w:gridCol w:w="1844"/>
        <w:gridCol w:w="2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28" w:type="dxa"/>
            <w:gridSpan w:val="3"/>
            <w:tcMar>
              <w:left w:w="28" w:type="dxa"/>
              <w:right w:w="28" w:type="dxa"/>
            </w:tcMar>
            <w:vAlign w:val="center"/>
          </w:tcPr>
          <w:p>
            <w:pPr>
              <w:pStyle w:val="32"/>
            </w:pPr>
            <w:r>
              <w:rPr>
                <w:rFonts w:hint="eastAsia"/>
              </w:rPr>
              <w:t>投入物料（t/a）</w:t>
            </w:r>
          </w:p>
        </w:tc>
        <w:tc>
          <w:tcPr>
            <w:tcW w:w="4834" w:type="dxa"/>
            <w:gridSpan w:val="3"/>
            <w:tcMar>
              <w:left w:w="28" w:type="dxa"/>
              <w:right w:w="28" w:type="dxa"/>
            </w:tcMar>
            <w:vAlign w:val="center"/>
          </w:tcPr>
          <w:p>
            <w:pPr>
              <w:pStyle w:val="32"/>
            </w:pPr>
            <w:r>
              <w:rPr>
                <w:rFonts w:hint="eastAsia"/>
              </w:rPr>
              <w:t>产出物料（t/a）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8" w:type="dxa"/>
            <w:tcMar>
              <w:left w:w="28" w:type="dxa"/>
              <w:right w:w="28" w:type="dxa"/>
            </w:tcMar>
            <w:vAlign w:val="center"/>
          </w:tcPr>
          <w:p>
            <w:pPr>
              <w:pStyle w:val="32"/>
            </w:pPr>
          </w:p>
        </w:tc>
        <w:tc>
          <w:tcPr>
            <w:tcW w:w="1916" w:type="dxa"/>
            <w:tcMar>
              <w:left w:w="28" w:type="dxa"/>
              <w:right w:w="28" w:type="dxa"/>
            </w:tcMar>
            <w:vAlign w:val="center"/>
          </w:tcPr>
          <w:p>
            <w:pPr>
              <w:pStyle w:val="32"/>
            </w:pPr>
            <w:r>
              <w:rPr>
                <w:rFonts w:hint="eastAsia"/>
              </w:rPr>
              <w:t>物料</w:t>
            </w:r>
          </w:p>
        </w:tc>
        <w:tc>
          <w:tcPr>
            <w:tcW w:w="1134" w:type="dxa"/>
            <w:tcMar>
              <w:left w:w="28" w:type="dxa"/>
              <w:right w:w="28" w:type="dxa"/>
            </w:tcMar>
            <w:vAlign w:val="center"/>
          </w:tcPr>
          <w:p>
            <w:pPr>
              <w:pStyle w:val="32"/>
            </w:pPr>
            <w:r>
              <w:rPr>
                <w:rFonts w:hint="eastAsia"/>
              </w:rPr>
              <w:t>氯元素量</w:t>
            </w:r>
          </w:p>
        </w:tc>
        <w:tc>
          <w:tcPr>
            <w:tcW w:w="567" w:type="dxa"/>
            <w:tcMar>
              <w:left w:w="28" w:type="dxa"/>
              <w:right w:w="28" w:type="dxa"/>
            </w:tcMar>
            <w:vAlign w:val="center"/>
          </w:tcPr>
          <w:p>
            <w:pPr>
              <w:pStyle w:val="32"/>
            </w:pPr>
          </w:p>
        </w:tc>
        <w:tc>
          <w:tcPr>
            <w:tcW w:w="1844" w:type="dxa"/>
            <w:tcMar>
              <w:left w:w="28" w:type="dxa"/>
              <w:right w:w="28" w:type="dxa"/>
            </w:tcMar>
            <w:vAlign w:val="center"/>
          </w:tcPr>
          <w:p>
            <w:pPr>
              <w:pStyle w:val="32"/>
            </w:pPr>
            <w:r>
              <w:rPr>
                <w:rFonts w:hint="eastAsia"/>
              </w:rPr>
              <w:t>物料</w:t>
            </w:r>
          </w:p>
        </w:tc>
        <w:tc>
          <w:tcPr>
            <w:tcW w:w="2423" w:type="dxa"/>
            <w:vAlign w:val="center"/>
          </w:tcPr>
          <w:p>
            <w:pPr>
              <w:pStyle w:val="32"/>
            </w:pPr>
            <w:r>
              <w:rPr>
                <w:rFonts w:hint="eastAsia"/>
              </w:rPr>
              <w:t>含氯元素量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8" w:type="dxa"/>
            <w:tcMar>
              <w:left w:w="28" w:type="dxa"/>
              <w:right w:w="28" w:type="dxa"/>
            </w:tcMar>
            <w:vAlign w:val="center"/>
          </w:tcPr>
          <w:p>
            <w:pPr>
              <w:pStyle w:val="32"/>
            </w:pPr>
            <w:r>
              <w:rPr>
                <w:rFonts w:hint="eastAsia"/>
              </w:rPr>
              <w:t>1</w:t>
            </w:r>
          </w:p>
        </w:tc>
        <w:tc>
          <w:tcPr>
            <w:tcW w:w="1916" w:type="dxa"/>
            <w:tcMar>
              <w:left w:w="28" w:type="dxa"/>
              <w:right w:w="28" w:type="dxa"/>
            </w:tcMar>
            <w:vAlign w:val="center"/>
          </w:tcPr>
          <w:p>
            <w:pPr>
              <w:pStyle w:val="32"/>
            </w:pPr>
            <w:r>
              <w:rPr>
                <w:rFonts w:hint="eastAsia"/>
              </w:rPr>
              <w:t>氯气</w:t>
            </w:r>
          </w:p>
        </w:tc>
        <w:tc>
          <w:tcPr>
            <w:tcW w:w="1134" w:type="dxa"/>
            <w:tcMar>
              <w:left w:w="28" w:type="dxa"/>
              <w:right w:w="28" w:type="dxa"/>
            </w:tcMar>
            <w:vAlign w:val="center"/>
          </w:tcPr>
          <w:p>
            <w:pPr>
              <w:pStyle w:val="32"/>
            </w:pPr>
            <w:r>
              <w:rPr>
                <w:rFonts w:hint="eastAsia"/>
              </w:rPr>
              <w:t>16</w:t>
            </w:r>
          </w:p>
        </w:tc>
        <w:tc>
          <w:tcPr>
            <w:tcW w:w="567" w:type="dxa"/>
            <w:tcMar>
              <w:left w:w="28" w:type="dxa"/>
              <w:right w:w="28" w:type="dxa"/>
            </w:tcMar>
            <w:vAlign w:val="center"/>
          </w:tcPr>
          <w:p>
            <w:pPr>
              <w:pStyle w:val="32"/>
            </w:pPr>
            <w:r>
              <w:rPr>
                <w:rFonts w:hint="eastAsia"/>
              </w:rPr>
              <w:t>1</w:t>
            </w:r>
          </w:p>
        </w:tc>
        <w:tc>
          <w:tcPr>
            <w:tcW w:w="1844" w:type="dxa"/>
            <w:tcMar>
              <w:left w:w="28" w:type="dxa"/>
              <w:right w:w="28" w:type="dxa"/>
            </w:tcMar>
            <w:vAlign w:val="center"/>
          </w:tcPr>
          <w:p>
            <w:pPr>
              <w:pStyle w:val="32"/>
            </w:pPr>
            <w:r>
              <w:rPr>
                <w:rFonts w:hint="eastAsia"/>
              </w:rPr>
              <w:t>排放废气中H</w:t>
            </w:r>
            <w:r>
              <w:t>C</w:t>
            </w:r>
            <w:r>
              <w:rPr>
                <w:rFonts w:hint="eastAsia"/>
              </w:rPr>
              <w:t>l</w:t>
            </w:r>
          </w:p>
        </w:tc>
        <w:tc>
          <w:tcPr>
            <w:tcW w:w="2423" w:type="dxa"/>
            <w:vAlign w:val="center"/>
          </w:tcPr>
          <w:p>
            <w:pPr>
              <w:pStyle w:val="32"/>
            </w:pPr>
            <w:r>
              <w:rPr>
                <w:rFonts w:hint="eastAsia"/>
              </w:rPr>
              <w:t>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8" w:type="dxa"/>
            <w:tcMar>
              <w:left w:w="28" w:type="dxa"/>
              <w:right w:w="28" w:type="dxa"/>
            </w:tcMar>
            <w:vAlign w:val="center"/>
          </w:tcPr>
          <w:p>
            <w:pPr>
              <w:pStyle w:val="32"/>
            </w:pPr>
            <w:r>
              <w:rPr>
                <w:rFonts w:hint="eastAsia"/>
              </w:rPr>
              <w:t>2</w:t>
            </w:r>
          </w:p>
        </w:tc>
        <w:tc>
          <w:tcPr>
            <w:tcW w:w="1916" w:type="dxa"/>
            <w:tcMar>
              <w:left w:w="28" w:type="dxa"/>
              <w:right w:w="28" w:type="dxa"/>
            </w:tcMar>
            <w:vAlign w:val="center"/>
          </w:tcPr>
          <w:p>
            <w:pPr>
              <w:pStyle w:val="32"/>
            </w:pPr>
            <w:r>
              <w:rPr>
                <w:rFonts w:hint="eastAsia"/>
              </w:rPr>
              <w:t>精炼剂</w:t>
            </w:r>
          </w:p>
        </w:tc>
        <w:tc>
          <w:tcPr>
            <w:tcW w:w="1134" w:type="dxa"/>
            <w:tcMar>
              <w:left w:w="28" w:type="dxa"/>
              <w:right w:w="28" w:type="dxa"/>
            </w:tcMar>
            <w:vAlign w:val="center"/>
          </w:tcPr>
          <w:p>
            <w:pPr>
              <w:pStyle w:val="32"/>
            </w:pPr>
            <w:r>
              <w:rPr>
                <w:rFonts w:hint="eastAsia"/>
              </w:rPr>
              <w:t>8.45</w:t>
            </w:r>
          </w:p>
        </w:tc>
        <w:tc>
          <w:tcPr>
            <w:tcW w:w="567" w:type="dxa"/>
            <w:tcMar>
              <w:left w:w="28" w:type="dxa"/>
              <w:right w:w="28" w:type="dxa"/>
            </w:tcMar>
            <w:vAlign w:val="center"/>
          </w:tcPr>
          <w:p>
            <w:pPr>
              <w:pStyle w:val="32"/>
            </w:pPr>
            <w:r>
              <w:rPr>
                <w:rFonts w:hint="eastAsia"/>
              </w:rPr>
              <w:t>2</w:t>
            </w:r>
          </w:p>
        </w:tc>
        <w:tc>
          <w:tcPr>
            <w:tcW w:w="1844" w:type="dxa"/>
            <w:tcMar>
              <w:left w:w="28" w:type="dxa"/>
              <w:right w:w="28" w:type="dxa"/>
            </w:tcMar>
            <w:vAlign w:val="center"/>
          </w:tcPr>
          <w:p>
            <w:pPr>
              <w:pStyle w:val="32"/>
            </w:pPr>
            <w:r>
              <w:rPr>
                <w:rFonts w:hint="eastAsia"/>
              </w:rPr>
              <w:t>排放废气中</w:t>
            </w:r>
            <w:r>
              <w:t>C</w:t>
            </w:r>
            <w:r>
              <w:rPr>
                <w:rFonts w:hint="eastAsia"/>
              </w:rPr>
              <w:t>l</w:t>
            </w:r>
            <w:r>
              <w:rPr>
                <w:rFonts w:hint="eastAsia"/>
                <w:vertAlign w:val="subscript"/>
              </w:rPr>
              <w:t>2</w:t>
            </w:r>
          </w:p>
        </w:tc>
        <w:tc>
          <w:tcPr>
            <w:tcW w:w="2423" w:type="dxa"/>
            <w:vAlign w:val="center"/>
          </w:tcPr>
          <w:p>
            <w:pPr>
              <w:pStyle w:val="32"/>
            </w:pPr>
            <w:r>
              <w:rPr>
                <w:rFonts w:hint="eastAsia"/>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8" w:type="dxa"/>
            <w:tcMar>
              <w:left w:w="28" w:type="dxa"/>
              <w:right w:w="28" w:type="dxa"/>
            </w:tcMar>
            <w:vAlign w:val="center"/>
          </w:tcPr>
          <w:p>
            <w:pPr>
              <w:pStyle w:val="32"/>
            </w:pPr>
          </w:p>
        </w:tc>
        <w:tc>
          <w:tcPr>
            <w:tcW w:w="1916" w:type="dxa"/>
            <w:tcMar>
              <w:left w:w="28" w:type="dxa"/>
              <w:right w:w="28" w:type="dxa"/>
            </w:tcMar>
            <w:vAlign w:val="center"/>
          </w:tcPr>
          <w:p>
            <w:pPr>
              <w:pStyle w:val="32"/>
            </w:pPr>
          </w:p>
        </w:tc>
        <w:tc>
          <w:tcPr>
            <w:tcW w:w="1134" w:type="dxa"/>
            <w:tcMar>
              <w:left w:w="28" w:type="dxa"/>
              <w:right w:w="28" w:type="dxa"/>
            </w:tcMar>
            <w:vAlign w:val="center"/>
          </w:tcPr>
          <w:p>
            <w:pPr>
              <w:pStyle w:val="32"/>
            </w:pPr>
          </w:p>
        </w:tc>
        <w:tc>
          <w:tcPr>
            <w:tcW w:w="567" w:type="dxa"/>
            <w:tcMar>
              <w:left w:w="28" w:type="dxa"/>
              <w:right w:w="28" w:type="dxa"/>
            </w:tcMar>
            <w:vAlign w:val="center"/>
          </w:tcPr>
          <w:p>
            <w:pPr>
              <w:pStyle w:val="32"/>
            </w:pPr>
            <w:r>
              <w:rPr>
                <w:rFonts w:hint="eastAsia"/>
              </w:rPr>
              <w:t>3</w:t>
            </w:r>
          </w:p>
        </w:tc>
        <w:tc>
          <w:tcPr>
            <w:tcW w:w="1844" w:type="dxa"/>
            <w:tcMar>
              <w:left w:w="28" w:type="dxa"/>
              <w:right w:w="28" w:type="dxa"/>
            </w:tcMar>
            <w:vAlign w:val="center"/>
          </w:tcPr>
          <w:p>
            <w:pPr>
              <w:pStyle w:val="32"/>
            </w:pPr>
            <w:r>
              <w:rPr>
                <w:rFonts w:hint="eastAsia"/>
              </w:rPr>
              <w:t>收集尘中氯元素</w:t>
            </w:r>
          </w:p>
        </w:tc>
        <w:tc>
          <w:tcPr>
            <w:tcW w:w="2423" w:type="dxa"/>
            <w:vAlign w:val="center"/>
          </w:tcPr>
          <w:p>
            <w:pPr>
              <w:pStyle w:val="32"/>
            </w:pPr>
            <w:r>
              <w:rPr>
                <w:rFonts w:hint="eastAsia"/>
              </w:rPr>
              <w:t>8.68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8" w:type="dxa"/>
            <w:tcMar>
              <w:left w:w="28" w:type="dxa"/>
              <w:right w:w="28" w:type="dxa"/>
            </w:tcMar>
            <w:vAlign w:val="center"/>
          </w:tcPr>
          <w:p>
            <w:pPr>
              <w:pStyle w:val="32"/>
            </w:pPr>
          </w:p>
        </w:tc>
        <w:tc>
          <w:tcPr>
            <w:tcW w:w="1916" w:type="dxa"/>
            <w:tcMar>
              <w:left w:w="28" w:type="dxa"/>
              <w:right w:w="28" w:type="dxa"/>
            </w:tcMar>
            <w:vAlign w:val="center"/>
          </w:tcPr>
          <w:p>
            <w:pPr>
              <w:pStyle w:val="32"/>
            </w:pPr>
          </w:p>
        </w:tc>
        <w:tc>
          <w:tcPr>
            <w:tcW w:w="1134" w:type="dxa"/>
            <w:tcMar>
              <w:left w:w="28" w:type="dxa"/>
              <w:right w:w="28" w:type="dxa"/>
            </w:tcMar>
            <w:vAlign w:val="center"/>
          </w:tcPr>
          <w:p>
            <w:pPr>
              <w:pStyle w:val="32"/>
            </w:pPr>
          </w:p>
        </w:tc>
        <w:tc>
          <w:tcPr>
            <w:tcW w:w="567" w:type="dxa"/>
            <w:tcMar>
              <w:left w:w="28" w:type="dxa"/>
              <w:right w:w="28" w:type="dxa"/>
            </w:tcMar>
            <w:vAlign w:val="center"/>
          </w:tcPr>
          <w:p>
            <w:pPr>
              <w:pStyle w:val="32"/>
            </w:pPr>
            <w:r>
              <w:t>4</w:t>
            </w:r>
          </w:p>
        </w:tc>
        <w:tc>
          <w:tcPr>
            <w:tcW w:w="1844" w:type="dxa"/>
            <w:tcMar>
              <w:left w:w="28" w:type="dxa"/>
              <w:right w:w="28" w:type="dxa"/>
            </w:tcMar>
            <w:vAlign w:val="center"/>
          </w:tcPr>
          <w:p>
            <w:pPr>
              <w:pStyle w:val="32"/>
            </w:pPr>
            <w:r>
              <w:rPr>
                <w:rFonts w:hint="eastAsia"/>
              </w:rPr>
              <w:t>铝灰中氯元素</w:t>
            </w:r>
          </w:p>
        </w:tc>
        <w:tc>
          <w:tcPr>
            <w:tcW w:w="2423" w:type="dxa"/>
            <w:vAlign w:val="center"/>
          </w:tcPr>
          <w:p>
            <w:pPr>
              <w:pStyle w:val="32"/>
            </w:pPr>
            <w:r>
              <w:rPr>
                <w:rFonts w:hint="eastAsia"/>
              </w:rPr>
              <w:t>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394" w:type="dxa"/>
            <w:gridSpan w:val="2"/>
            <w:tcMar>
              <w:left w:w="28" w:type="dxa"/>
              <w:right w:w="28" w:type="dxa"/>
            </w:tcMar>
            <w:vAlign w:val="center"/>
          </w:tcPr>
          <w:p>
            <w:pPr>
              <w:pStyle w:val="32"/>
            </w:pPr>
            <w:r>
              <w:rPr>
                <w:rFonts w:hint="eastAsia"/>
              </w:rPr>
              <w:t>合计</w:t>
            </w:r>
          </w:p>
        </w:tc>
        <w:tc>
          <w:tcPr>
            <w:tcW w:w="1134" w:type="dxa"/>
            <w:tcMar>
              <w:left w:w="28" w:type="dxa"/>
              <w:right w:w="28" w:type="dxa"/>
            </w:tcMar>
            <w:vAlign w:val="center"/>
          </w:tcPr>
          <w:p>
            <w:pPr>
              <w:pStyle w:val="32"/>
            </w:pPr>
            <w:r>
              <w:rPr>
                <w:rFonts w:hint="eastAsia"/>
              </w:rPr>
              <w:t>24.45</w:t>
            </w:r>
          </w:p>
        </w:tc>
        <w:tc>
          <w:tcPr>
            <w:tcW w:w="2411" w:type="dxa"/>
            <w:gridSpan w:val="2"/>
            <w:tcMar>
              <w:left w:w="28" w:type="dxa"/>
              <w:right w:w="28" w:type="dxa"/>
            </w:tcMar>
            <w:vAlign w:val="center"/>
          </w:tcPr>
          <w:p>
            <w:pPr>
              <w:pStyle w:val="32"/>
            </w:pPr>
            <w:r>
              <w:rPr>
                <w:rFonts w:hint="eastAsia"/>
              </w:rPr>
              <w:t>合计</w:t>
            </w:r>
          </w:p>
        </w:tc>
        <w:tc>
          <w:tcPr>
            <w:tcW w:w="2423" w:type="dxa"/>
            <w:vAlign w:val="center"/>
          </w:tcPr>
          <w:p>
            <w:pPr>
              <w:pStyle w:val="32"/>
            </w:pPr>
            <w:r>
              <w:rPr>
                <w:rFonts w:hint="eastAsia"/>
              </w:rPr>
              <w:t>24.45</w:t>
            </w:r>
          </w:p>
        </w:tc>
      </w:tr>
    </w:tbl>
    <w:p>
      <w:pPr>
        <w:pStyle w:val="2"/>
        <w:spacing w:line="360" w:lineRule="auto"/>
        <w:ind w:left="0" w:leftChars="0" w:firstLine="0" w:firstLineChars="0"/>
        <w:jc w:val="center"/>
      </w:pPr>
      <w:r>
        <w:object>
          <v:shape id="_x0000_i1033" o:spt="75" type="#_x0000_t75" style="height:209.1pt;width:361.15pt;" o:ole="t" filled="f" o:preferrelative="t" stroked="f" coordsize="21600,21600">
            <v:path/>
            <v:fill on="f" focussize="0,0"/>
            <v:stroke on="f" joinstyle="miter"/>
            <v:imagedata r:id="rId34" o:title=""/>
            <o:lock v:ext="edit" aspectratio="t"/>
            <w10:wrap type="none"/>
            <w10:anchorlock/>
          </v:shape>
          <o:OLEObject Type="Embed" ProgID="Visio.Drawing.15" ShapeID="_x0000_i1033" DrawAspect="Content" ObjectID="_1468075733" r:id="rId33">
            <o:LockedField>false</o:LockedField>
          </o:OLEObject>
        </w:object>
      </w:r>
    </w:p>
    <w:p>
      <w:pPr>
        <w:pStyle w:val="44"/>
      </w:pPr>
      <w:r>
        <w:rPr>
          <w:rFonts w:hint="eastAsia"/>
        </w:rPr>
        <w:t>图4.3-3</w:t>
      </w:r>
      <w:r>
        <w:t xml:space="preserve"> </w:t>
      </w:r>
      <w:r>
        <w:rPr>
          <w:rFonts w:hint="eastAsia"/>
        </w:rPr>
        <w:t xml:space="preserve"> 一期工程氯</w:t>
      </w:r>
      <w:r>
        <w:t>元素</w:t>
      </w:r>
      <w:r>
        <w:rPr>
          <w:rFonts w:hint="eastAsia"/>
        </w:rPr>
        <w:t>平衡图（t</w:t>
      </w:r>
      <w:r>
        <w:t>/a</w:t>
      </w:r>
      <w:r>
        <w:rPr>
          <w:rFonts w:hint="eastAsia"/>
        </w:rPr>
        <w:t>）</w:t>
      </w:r>
    </w:p>
    <w:p>
      <w:pPr>
        <w:pStyle w:val="9"/>
      </w:pPr>
      <w:r>
        <w:rPr>
          <w:rFonts w:hint="eastAsia"/>
        </w:rPr>
        <w:t>4.3.1.3水平衡分析</w:t>
      </w:r>
    </w:p>
    <w:p>
      <w:pPr>
        <w:pStyle w:val="7"/>
        <w:ind w:firstLine="480"/>
      </w:pPr>
      <w:r>
        <w:rPr>
          <w:rFonts w:hint="eastAsia"/>
        </w:rPr>
        <w:t>本项目一期工程营运期用水主要为职工日常生活用水、生产用水及项目区绿化用水，其中项目生产用水主要包括循环冷却补充水。</w:t>
      </w:r>
    </w:p>
    <w:p>
      <w:pPr>
        <w:pStyle w:val="7"/>
        <w:ind w:firstLine="480"/>
      </w:pPr>
      <w:r>
        <w:rPr>
          <w:rFonts w:hint="eastAsia"/>
        </w:rPr>
        <w:t>（1）生活用水</w:t>
      </w:r>
    </w:p>
    <w:p>
      <w:pPr>
        <w:pStyle w:val="7"/>
        <w:ind w:firstLine="480"/>
      </w:pPr>
      <w:r>
        <w:t>项目</w:t>
      </w:r>
      <w:r>
        <w:rPr>
          <w:rFonts w:hint="eastAsia"/>
        </w:rPr>
        <w:t>一期工程</w:t>
      </w:r>
      <w:r>
        <w:t>职工</w:t>
      </w:r>
      <w:r>
        <w:rPr>
          <w:rFonts w:hint="eastAsia"/>
        </w:rPr>
        <w:t>100</w:t>
      </w:r>
      <w:r>
        <w:t>人，厂区生活用水主要为冲厕及盥洗用水、员工洗浴用水等，厂前区生活用水主要是食堂用水、倒班宿舍员工冲厕及盥洗、洗浴用水等生活用水。</w:t>
      </w:r>
    </w:p>
    <w:p>
      <w:pPr>
        <w:pStyle w:val="7"/>
        <w:ind w:firstLine="480"/>
        <w:rPr>
          <w:bCs/>
          <w:kern w:val="0"/>
        </w:rPr>
      </w:pPr>
      <w:r>
        <w:rPr>
          <w:kern w:val="0"/>
        </w:rPr>
        <w:t>厂区盥洗用水、洗浴用水等生活用水量</w:t>
      </w:r>
      <w:r>
        <w:rPr>
          <w:rFonts w:hint="eastAsia"/>
          <w:kern w:val="0"/>
        </w:rPr>
        <w:t>参照《云南省地方标准用水定额》（DB53/T168-2019），在项目内住宿员工用水量按100L/人·d计，则用水量为10m</w:t>
      </w:r>
      <w:r>
        <w:rPr>
          <w:rFonts w:hint="eastAsia"/>
          <w:kern w:val="0"/>
          <w:vertAlign w:val="superscript"/>
        </w:rPr>
        <w:t>3</w:t>
      </w:r>
      <w:r>
        <w:rPr>
          <w:rFonts w:hint="eastAsia"/>
          <w:kern w:val="0"/>
        </w:rPr>
        <w:t>/d，排水系数按0.8计，排水量8m</w:t>
      </w:r>
      <w:r>
        <w:rPr>
          <w:rFonts w:hint="eastAsia"/>
          <w:kern w:val="0"/>
          <w:vertAlign w:val="superscript"/>
        </w:rPr>
        <w:t>3</w:t>
      </w:r>
      <w:r>
        <w:rPr>
          <w:rFonts w:hint="eastAsia"/>
          <w:kern w:val="0"/>
        </w:rPr>
        <w:t>/d。餐饮用水参照《云南省地方标准用水定额》（DB53/T168-2019），按20L/人·d，则用水量为2m</w:t>
      </w:r>
      <w:r>
        <w:rPr>
          <w:rFonts w:hint="eastAsia"/>
          <w:kern w:val="0"/>
          <w:vertAlign w:val="superscript"/>
        </w:rPr>
        <w:t>3</w:t>
      </w:r>
      <w:r>
        <w:rPr>
          <w:rFonts w:hint="eastAsia"/>
          <w:kern w:val="0"/>
        </w:rPr>
        <w:t>/d，排水系数按0.8计，排水量为1.6m</w:t>
      </w:r>
      <w:r>
        <w:rPr>
          <w:rFonts w:hint="eastAsia"/>
          <w:kern w:val="0"/>
          <w:vertAlign w:val="superscript"/>
        </w:rPr>
        <w:t>3</w:t>
      </w:r>
      <w:r>
        <w:rPr>
          <w:rFonts w:hint="eastAsia"/>
          <w:kern w:val="0"/>
        </w:rPr>
        <w:t>/d。生活污水总产生量为9.6</w:t>
      </w:r>
      <w:r>
        <w:rPr>
          <w:kern w:val="0"/>
        </w:rPr>
        <w:t>m</w:t>
      </w:r>
      <w:r>
        <w:rPr>
          <w:kern w:val="0"/>
          <w:vertAlign w:val="superscript"/>
        </w:rPr>
        <w:t>3</w:t>
      </w:r>
      <w:r>
        <w:rPr>
          <w:kern w:val="0"/>
        </w:rPr>
        <w:t>/d</w:t>
      </w:r>
      <w:r>
        <w:rPr>
          <w:rFonts w:hint="eastAsia"/>
          <w:kern w:val="0"/>
        </w:rPr>
        <w:t>。</w:t>
      </w:r>
    </w:p>
    <w:p>
      <w:pPr>
        <w:pStyle w:val="7"/>
        <w:ind w:firstLine="480"/>
      </w:pPr>
      <w:r>
        <w:rPr>
          <w:rFonts w:hint="eastAsia"/>
        </w:rPr>
        <w:t>（2）生产用水</w:t>
      </w:r>
    </w:p>
    <w:p>
      <w:pPr>
        <w:pStyle w:val="7"/>
        <w:ind w:firstLine="480"/>
      </w:pPr>
      <w:r>
        <w:rPr>
          <w:rFonts w:hint="eastAsia"/>
        </w:rPr>
        <w:t>本项目铝合金圆铸锭生产小时循环</w:t>
      </w:r>
      <w:r>
        <w:rPr>
          <w:rFonts w:hint="eastAsia"/>
          <w:lang w:val="en-US" w:eastAsia="zh-CN"/>
        </w:rPr>
        <w:t>水</w:t>
      </w:r>
      <w:r>
        <w:rPr>
          <w:rFonts w:hint="eastAsia"/>
        </w:rPr>
        <w:t>量为450m</w:t>
      </w:r>
      <w:r>
        <w:rPr>
          <w:rFonts w:hint="eastAsia"/>
          <w:vertAlign w:val="superscript"/>
        </w:rPr>
        <w:t>3</w:t>
      </w:r>
      <w:r>
        <w:rPr>
          <w:rFonts w:hint="eastAsia"/>
        </w:rPr>
        <w:t>/h，补充水量以循环水量的1.5%计，则小时补充水量为6.75m</w:t>
      </w:r>
      <w:r>
        <w:rPr>
          <w:rFonts w:hint="eastAsia"/>
          <w:vertAlign w:val="superscript"/>
        </w:rPr>
        <w:t>3</w:t>
      </w:r>
      <w:r>
        <w:rPr>
          <w:rFonts w:hint="eastAsia"/>
        </w:rPr>
        <w:t>/h，根据企业提供资料，日循环时间以6小时计，则日补充水量为40.5m</w:t>
      </w:r>
      <w:r>
        <w:rPr>
          <w:rFonts w:hint="eastAsia"/>
          <w:vertAlign w:val="superscript"/>
        </w:rPr>
        <w:t>3</w:t>
      </w:r>
      <w:r>
        <w:rPr>
          <w:rFonts w:hint="eastAsia"/>
        </w:rPr>
        <w:t>/d，年补充水量为13365m</w:t>
      </w:r>
      <w:r>
        <w:rPr>
          <w:rFonts w:hint="eastAsia"/>
          <w:vertAlign w:val="superscript"/>
        </w:rPr>
        <w:t>3</w:t>
      </w:r>
      <w:r>
        <w:rPr>
          <w:rFonts w:hint="eastAsia"/>
        </w:rPr>
        <w:t>/a，同时为保证循环冷却效果，项目循环冷却水需定期排放，根据企业提供资料，循环冷却系统每年排放一次废水，循环冷却系统定期排放水量800m</w:t>
      </w:r>
      <w:r>
        <w:rPr>
          <w:rFonts w:hint="eastAsia"/>
          <w:vertAlign w:val="superscript"/>
        </w:rPr>
        <w:t>3</w:t>
      </w:r>
      <w:r>
        <w:rPr>
          <w:rFonts w:hint="eastAsia"/>
        </w:rPr>
        <w:t>/a，因此循环冷却系统年补充水量为14165m</w:t>
      </w:r>
      <w:r>
        <w:rPr>
          <w:rFonts w:hint="eastAsia"/>
          <w:vertAlign w:val="superscript"/>
        </w:rPr>
        <w:t>3</w:t>
      </w:r>
      <w:r>
        <w:rPr>
          <w:rFonts w:hint="eastAsia"/>
        </w:rPr>
        <w:t>/a。项目循环冷却系统定期排水通过市政污水管网进入砚山县第一污水处理站处理，不直接外排。</w:t>
      </w:r>
    </w:p>
    <w:p>
      <w:pPr>
        <w:pStyle w:val="7"/>
        <w:ind w:firstLine="480"/>
      </w:pPr>
      <w:r>
        <w:rPr>
          <w:rFonts w:hint="eastAsia"/>
        </w:rPr>
        <w:t>本项目铝合金板锭生产</w:t>
      </w:r>
      <w:r>
        <w:rPr>
          <w:rFonts w:hint="eastAsia"/>
          <w:lang w:val="en-US" w:eastAsia="zh-CN"/>
        </w:rPr>
        <w:t>循环水</w:t>
      </w:r>
      <w:r>
        <w:rPr>
          <w:rFonts w:hint="eastAsia"/>
        </w:rPr>
        <w:t>小时循环量为450m</w:t>
      </w:r>
      <w:r>
        <w:rPr>
          <w:rFonts w:hint="eastAsia"/>
          <w:vertAlign w:val="superscript"/>
        </w:rPr>
        <w:t>3</w:t>
      </w:r>
      <w:r>
        <w:rPr>
          <w:rFonts w:hint="eastAsia"/>
        </w:rPr>
        <w:t>/h，补充水量以循环水量的1.5%计，则小时补充水量为6.75m</w:t>
      </w:r>
      <w:r>
        <w:rPr>
          <w:rFonts w:hint="eastAsia"/>
          <w:vertAlign w:val="superscript"/>
        </w:rPr>
        <w:t>3</w:t>
      </w:r>
      <w:r>
        <w:rPr>
          <w:rFonts w:hint="eastAsia"/>
        </w:rPr>
        <w:t>/h，根据企业提供资料，日循环时间以6小时计，则日补充水量为40.5m</w:t>
      </w:r>
      <w:r>
        <w:rPr>
          <w:rFonts w:hint="eastAsia"/>
          <w:vertAlign w:val="superscript"/>
        </w:rPr>
        <w:t>3</w:t>
      </w:r>
      <w:r>
        <w:rPr>
          <w:rFonts w:hint="eastAsia"/>
        </w:rPr>
        <w:t>/d，年补充水量为13365m</w:t>
      </w:r>
      <w:r>
        <w:rPr>
          <w:rFonts w:hint="eastAsia"/>
          <w:vertAlign w:val="superscript"/>
        </w:rPr>
        <w:t>3</w:t>
      </w:r>
      <w:r>
        <w:rPr>
          <w:rFonts w:hint="eastAsia"/>
        </w:rPr>
        <w:t>/a，同时为保证循环冷却效果，项目循环冷却水需定期排放，根据企业提供资料，循环冷却系统每年排放一次废水，循环冷却系统定期排放水量800m</w:t>
      </w:r>
      <w:r>
        <w:rPr>
          <w:rFonts w:hint="eastAsia"/>
          <w:vertAlign w:val="superscript"/>
        </w:rPr>
        <w:t>3</w:t>
      </w:r>
      <w:r>
        <w:rPr>
          <w:rFonts w:hint="eastAsia"/>
        </w:rPr>
        <w:t>/a，因此循环冷却系统年补充水量为14165m</w:t>
      </w:r>
      <w:r>
        <w:rPr>
          <w:rFonts w:hint="eastAsia"/>
          <w:vertAlign w:val="superscript"/>
        </w:rPr>
        <w:t>3</w:t>
      </w:r>
      <w:r>
        <w:rPr>
          <w:rFonts w:hint="eastAsia"/>
        </w:rPr>
        <w:t>/a。因板锭生产线循环冷却系统定期排水中石油类含量较高，故该部分废水先经过项目自建污水处理站处理达《污水排入城镇下水道水质标准》（GB/T31962-2015）表1中A等级标准后通过市政污水管网进入砚山县第一污水处理厂进行处理。</w:t>
      </w:r>
    </w:p>
    <w:p>
      <w:pPr>
        <w:pStyle w:val="7"/>
        <w:ind w:firstLine="480"/>
      </w:pPr>
      <w:r>
        <w:rPr>
          <w:rFonts w:hint="eastAsia"/>
        </w:rPr>
        <w:t>（3）项目区绿化及道路清扫用水</w:t>
      </w:r>
    </w:p>
    <w:p>
      <w:pPr>
        <w:pStyle w:val="7"/>
        <w:ind w:firstLine="480"/>
      </w:pPr>
      <w:r>
        <w:rPr>
          <w:rFonts w:hint="eastAsia"/>
        </w:rPr>
        <w:t>一期工程厂区绿化面积为4800m</w:t>
      </w:r>
      <w:r>
        <w:rPr>
          <w:rFonts w:hint="eastAsia"/>
          <w:vertAlign w:val="superscript"/>
        </w:rPr>
        <w:t>2</w:t>
      </w:r>
      <w:r>
        <w:rPr>
          <w:rFonts w:hint="eastAsia"/>
        </w:rPr>
        <w:t>，旱季绿化用水量每天按3L/m</w:t>
      </w:r>
      <w:r>
        <w:rPr>
          <w:rFonts w:hint="eastAsia"/>
          <w:vertAlign w:val="superscript"/>
        </w:rPr>
        <w:t>2</w:t>
      </w:r>
      <w:r>
        <w:rPr>
          <w:rFonts w:hint="eastAsia"/>
        </w:rPr>
        <w:t>计，需水量约14.4m</w:t>
      </w:r>
      <w:r>
        <w:rPr>
          <w:rFonts w:hint="eastAsia"/>
          <w:vertAlign w:val="superscript"/>
        </w:rPr>
        <w:t>3</w:t>
      </w:r>
      <w:r>
        <w:rPr>
          <w:rFonts w:hint="eastAsia"/>
        </w:rPr>
        <w:t>/d，按照旱季215天计，全年需水量为3096m</w:t>
      </w:r>
      <w:r>
        <w:rPr>
          <w:rFonts w:hint="eastAsia"/>
          <w:vertAlign w:val="superscript"/>
        </w:rPr>
        <w:t>3</w:t>
      </w:r>
      <w:r>
        <w:rPr>
          <w:rFonts w:hint="eastAsia"/>
        </w:rPr>
        <w:t>/a。</w:t>
      </w:r>
    </w:p>
    <w:p>
      <w:pPr>
        <w:pStyle w:val="7"/>
        <w:ind w:firstLine="480"/>
      </w:pPr>
      <w:r>
        <w:rPr>
          <w:rFonts w:hint="eastAsia"/>
        </w:rPr>
        <w:t>（4）初期雨水</w:t>
      </w:r>
    </w:p>
    <w:p>
      <w:pPr>
        <w:pStyle w:val="7"/>
        <w:ind w:firstLine="480"/>
      </w:pPr>
      <w:r>
        <w:t>按照《有色金属工业环境保护设计技术规范》（GB50988-2014），受污染场地面积按照</w:t>
      </w:r>
      <w:r>
        <w:rPr>
          <w:rFonts w:hint="eastAsia"/>
        </w:rPr>
        <w:t>生产厂房面积考虑，取为52899</w:t>
      </w:r>
      <w:r>
        <w:t>m</w:t>
      </w:r>
      <w:r>
        <w:rPr>
          <w:vertAlign w:val="superscript"/>
        </w:rPr>
        <w:t>2</w:t>
      </w:r>
      <w:r>
        <w:t>，根据计算，</w:t>
      </w:r>
      <w:r>
        <w:rPr>
          <w:rFonts w:hint="eastAsia"/>
        </w:rPr>
        <w:t>项目</w:t>
      </w:r>
      <w:r>
        <w:t>初期雨水量为</w:t>
      </w:r>
      <w:r>
        <w:rPr>
          <w:rFonts w:hint="eastAsia"/>
        </w:rPr>
        <w:t>528.99</w:t>
      </w:r>
      <w:r>
        <w:t>m</w:t>
      </w:r>
      <w:r>
        <w:rPr>
          <w:vertAlign w:val="superscript"/>
        </w:rPr>
        <w:t>3</w:t>
      </w:r>
      <w:r>
        <w:rPr>
          <w:rFonts w:hint="eastAsia"/>
        </w:rPr>
        <w:t>/次，根据砚山县气候特征，每年5-10月为雨季，降雨量较为集中，占全年降水量的82.6%，11月至翌年4月为旱季，降水量只占全年降水量的17.4%，故本次评价按照每年下雨天数150天，每次连续下雨3天计，则项目初期雨水产生量为26449.5m</w:t>
      </w:r>
      <w:r>
        <w:rPr>
          <w:rFonts w:hint="eastAsia"/>
          <w:vertAlign w:val="superscript"/>
        </w:rPr>
        <w:t>3</w:t>
      </w:r>
      <w:r>
        <w:rPr>
          <w:rFonts w:hint="eastAsia"/>
        </w:rPr>
        <w:t>/a，</w:t>
      </w:r>
      <w:r>
        <w:t>收集的初期雨水进入厂区初期雨水收集池</w:t>
      </w:r>
      <w:r>
        <w:rPr>
          <w:rFonts w:hint="eastAsia"/>
        </w:rPr>
        <w:t>，</w:t>
      </w:r>
      <w:r>
        <w:t>初期雨水收集池容积为</w:t>
      </w:r>
      <w:r>
        <w:rPr>
          <w:rFonts w:hint="eastAsia"/>
        </w:rPr>
        <w:t>640</w:t>
      </w:r>
      <w:r>
        <w:t>m</w:t>
      </w:r>
      <w:r>
        <w:rPr>
          <w:vertAlign w:val="superscript"/>
        </w:rPr>
        <w:t>3</w:t>
      </w:r>
      <w:r>
        <w:t>，</w:t>
      </w:r>
      <w:r>
        <w:rPr>
          <w:rFonts w:hint="eastAsia"/>
        </w:rPr>
        <w:t>经过沉淀</w:t>
      </w:r>
      <w:r>
        <w:t>处理</w:t>
      </w:r>
      <w:r>
        <w:rPr>
          <w:rFonts w:hint="eastAsia"/>
        </w:rPr>
        <w:t>后用于厂区绿化及道路清扫，剩余部分用于冷却循环系统补充水</w:t>
      </w:r>
      <w:r>
        <w:t>。</w:t>
      </w:r>
    </w:p>
    <w:p>
      <w:pPr>
        <w:pStyle w:val="7"/>
        <w:ind w:firstLine="480"/>
        <w:rPr>
          <w:rFonts w:hint="eastAsia"/>
          <w:highlight w:val="none"/>
        </w:rPr>
      </w:pPr>
      <w:r>
        <w:rPr>
          <w:rFonts w:hint="eastAsia"/>
        </w:rPr>
        <w:t>项目一期工程</w:t>
      </w:r>
      <w:r>
        <w:rPr>
          <w:rFonts w:hint="eastAsia"/>
          <w:lang w:val="en-US" w:eastAsia="zh-CN"/>
        </w:rPr>
        <w:t>日</w:t>
      </w:r>
      <w:r>
        <w:rPr>
          <w:rFonts w:hint="eastAsia"/>
        </w:rPr>
        <w:t>水平</w:t>
      </w:r>
      <w:r>
        <w:rPr>
          <w:rFonts w:hint="eastAsia"/>
          <w:highlight w:val="none"/>
        </w:rPr>
        <w:t>衡图详见图</w:t>
      </w:r>
      <w:r>
        <w:rPr>
          <w:rFonts w:hint="eastAsia"/>
          <w:highlight w:val="none"/>
          <w:lang w:val="en-US" w:eastAsia="zh-CN"/>
        </w:rPr>
        <w:t>4</w:t>
      </w:r>
      <w:r>
        <w:rPr>
          <w:rFonts w:hint="eastAsia"/>
          <w:highlight w:val="none"/>
        </w:rPr>
        <w:t>.3-4</w:t>
      </w:r>
      <w:r>
        <w:rPr>
          <w:rFonts w:hint="eastAsia"/>
          <w:highlight w:val="none"/>
          <w:lang w:eastAsia="zh-CN"/>
        </w:rPr>
        <w:t>、</w:t>
      </w:r>
      <w:r>
        <w:rPr>
          <w:rFonts w:hint="eastAsia"/>
          <w:highlight w:val="none"/>
          <w:lang w:val="en-US" w:eastAsia="zh-CN"/>
        </w:rPr>
        <w:t>全年水平衡图见图4.3-5</w:t>
      </w:r>
      <w:r>
        <w:rPr>
          <w:rFonts w:hint="eastAsia"/>
          <w:highlight w:val="none"/>
        </w:rPr>
        <w:t>。</w:t>
      </w:r>
    </w:p>
    <w:p>
      <w:pPr>
        <w:pStyle w:val="7"/>
        <w:ind w:left="0" w:leftChars="0" w:firstLine="0" w:firstLineChars="0"/>
        <w:jc w:val="center"/>
        <w:rPr>
          <w:rFonts w:hint="eastAsia"/>
        </w:rPr>
      </w:pPr>
      <w:r>
        <w:object>
          <v:shape id="_x0000_i1034" o:spt="75" type="#_x0000_t75" style="height:370.75pt;width:450pt;" o:ole="t" filled="f" o:preferrelative="t" stroked="f" coordsize="21600,21600">
            <v:path/>
            <v:fill on="f" focussize="0,0"/>
            <v:stroke on="f"/>
            <v:imagedata r:id="rId36" cropleft="5976f" croptop="4077f" cropright="2987f" cropbottom="28251f" o:title=""/>
            <o:lock v:ext="edit" aspectratio="t"/>
            <w10:wrap type="none"/>
            <w10:anchorlock/>
          </v:shape>
          <o:OLEObject Type="Embed" ProgID="Visio.Drawing.15" ShapeID="_x0000_i1034" DrawAspect="Content" ObjectID="_1468075734" r:id="rId35">
            <o:LockedField>false</o:LockedField>
          </o:OLEObject>
        </w:object>
      </w:r>
      <w:r>
        <w:rPr>
          <w:rStyle w:val="47"/>
          <w:rFonts w:hint="eastAsia"/>
        </w:rPr>
        <w:t>图4.3-4</w:t>
      </w:r>
      <w:r>
        <w:rPr>
          <w:rStyle w:val="47"/>
        </w:rPr>
        <w:t xml:space="preserve"> </w:t>
      </w:r>
      <w:r>
        <w:rPr>
          <w:rStyle w:val="47"/>
          <w:rFonts w:hint="eastAsia"/>
        </w:rPr>
        <w:t xml:space="preserve"> 一期工程水平衡图（单位：</w:t>
      </w:r>
      <w:r>
        <w:rPr>
          <w:rStyle w:val="47"/>
        </w:rPr>
        <w:t>t/</w:t>
      </w:r>
      <w:r>
        <w:rPr>
          <w:rStyle w:val="47"/>
          <w:rFonts w:hint="eastAsia"/>
          <w:lang w:val="en-US" w:eastAsia="zh-CN"/>
        </w:rPr>
        <w:t>d</w:t>
      </w:r>
      <w:r>
        <w:rPr>
          <w:rStyle w:val="47"/>
          <w:rFonts w:hint="eastAsia"/>
        </w:rPr>
        <w:t>）</w:t>
      </w:r>
    </w:p>
    <w:p>
      <w:pPr>
        <w:pStyle w:val="7"/>
        <w:ind w:firstLine="480"/>
        <w:rPr>
          <w:rFonts w:hint="eastAsia"/>
        </w:rPr>
      </w:pPr>
    </w:p>
    <w:p>
      <w:pPr>
        <w:pStyle w:val="7"/>
        <w:ind w:firstLine="480"/>
        <w:rPr>
          <w:rFonts w:hint="eastAsia"/>
        </w:rPr>
      </w:pPr>
    </w:p>
    <w:p>
      <w:pPr>
        <w:pStyle w:val="7"/>
        <w:ind w:firstLine="480"/>
        <w:rPr>
          <w:rFonts w:hint="eastAsia"/>
        </w:rPr>
      </w:pPr>
    </w:p>
    <w:p>
      <w:pPr>
        <w:pStyle w:val="7"/>
        <w:ind w:firstLine="480"/>
        <w:rPr>
          <w:rFonts w:hint="eastAsia"/>
        </w:rPr>
      </w:pPr>
    </w:p>
    <w:p>
      <w:pPr>
        <w:pStyle w:val="7"/>
        <w:ind w:firstLine="480"/>
        <w:rPr>
          <w:rFonts w:hint="eastAsia"/>
        </w:rPr>
        <w:sectPr>
          <w:pgSz w:w="11906" w:h="16838"/>
          <w:pgMar w:top="1440" w:right="1800" w:bottom="1440" w:left="1800" w:header="851" w:footer="992" w:gutter="0"/>
          <w:cols w:space="425" w:num="1"/>
          <w:docGrid w:type="lines" w:linePitch="312" w:charSpace="0"/>
        </w:sectPr>
      </w:pPr>
    </w:p>
    <w:p>
      <w:pPr>
        <w:pStyle w:val="2"/>
        <w:ind w:left="0" w:leftChars="0" w:firstLine="0" w:firstLineChars="0"/>
        <w:jc w:val="center"/>
        <w:rPr>
          <w:rStyle w:val="47"/>
        </w:rPr>
      </w:pPr>
      <w:r>
        <w:object>
          <v:shape id="_x0000_i1035" o:spt="75" type="#_x0000_t75" style="height:298.7pt;width:712.2pt;" o:ole="t" filled="f" o:preferrelative="t" stroked="f" coordsize="21600,21600">
            <v:path/>
            <v:fill on="f" focussize="0,0"/>
            <v:stroke on="f"/>
            <v:imagedata r:id="rId38" cropleft="3468f" croptop="8584f" cropright="4064f" cropbottom="22355f" o:title=""/>
            <o:lock v:ext="edit" aspectratio="t"/>
            <w10:wrap type="none"/>
            <w10:anchorlock/>
          </v:shape>
          <o:OLEObject Type="Embed" ProgID="Visio.Drawing.15" ShapeID="_x0000_i1035" DrawAspect="Content" ObjectID="_1468075735" r:id="rId37">
            <o:LockedField>false</o:LockedField>
          </o:OLEObject>
        </w:object>
      </w:r>
      <w:r>
        <w:rPr>
          <w:rStyle w:val="47"/>
          <w:rFonts w:hint="eastAsia"/>
        </w:rPr>
        <w:t>图4.3-</w:t>
      </w:r>
      <w:r>
        <w:rPr>
          <w:rStyle w:val="47"/>
          <w:rFonts w:hint="eastAsia"/>
          <w:lang w:val="en-US" w:eastAsia="zh-CN"/>
        </w:rPr>
        <w:t>5</w:t>
      </w:r>
      <w:r>
        <w:rPr>
          <w:rStyle w:val="47"/>
        </w:rPr>
        <w:t xml:space="preserve"> </w:t>
      </w:r>
      <w:r>
        <w:rPr>
          <w:rStyle w:val="47"/>
          <w:rFonts w:hint="eastAsia"/>
        </w:rPr>
        <w:t xml:space="preserve"> 一期工程全年水平衡图（单位：</w:t>
      </w:r>
      <w:r>
        <w:rPr>
          <w:rStyle w:val="47"/>
        </w:rPr>
        <w:t>t/a</w:t>
      </w:r>
      <w:r>
        <w:rPr>
          <w:rStyle w:val="47"/>
          <w:rFonts w:hint="eastAsia"/>
        </w:rPr>
        <w:t>）</w:t>
      </w:r>
      <w:bookmarkStart w:id="79" w:name="_Hlt26284999"/>
      <w:bookmarkEnd w:id="79"/>
      <w:bookmarkStart w:id="80" w:name="_Hlt26424501"/>
      <w:bookmarkEnd w:id="80"/>
    </w:p>
    <w:p>
      <w:pPr>
        <w:pStyle w:val="7"/>
        <w:ind w:firstLine="480"/>
        <w:sectPr>
          <w:pgSz w:w="16838" w:h="11906" w:orient="landscape"/>
          <w:pgMar w:top="1800" w:right="1440" w:bottom="1800" w:left="1440" w:header="851" w:footer="992" w:gutter="0"/>
          <w:cols w:space="425" w:num="1"/>
          <w:docGrid w:type="lines" w:linePitch="312" w:charSpace="0"/>
        </w:sectPr>
      </w:pPr>
    </w:p>
    <w:p>
      <w:pPr>
        <w:pStyle w:val="8"/>
      </w:pPr>
      <w:r>
        <w:rPr>
          <w:rFonts w:hint="eastAsia"/>
        </w:rPr>
        <w:t>4.3.2二期工程相关平衡分析</w:t>
      </w:r>
    </w:p>
    <w:p>
      <w:pPr>
        <w:pStyle w:val="9"/>
      </w:pPr>
      <w:r>
        <w:rPr>
          <w:rFonts w:hint="eastAsia"/>
        </w:rPr>
        <w:t>4.3.2.1物料平衡</w:t>
      </w:r>
    </w:p>
    <w:p>
      <w:pPr>
        <w:pStyle w:val="7"/>
        <w:ind w:firstLine="480"/>
      </w:pPr>
      <w:r>
        <w:rPr>
          <w:rFonts w:hint="eastAsia"/>
        </w:rPr>
        <w:t>二期工程总物料平衡见表4.3-5。</w:t>
      </w:r>
    </w:p>
    <w:p>
      <w:pPr>
        <w:pStyle w:val="41"/>
      </w:pPr>
      <w:r>
        <w:rPr>
          <w:rFonts w:hint="eastAsia"/>
        </w:rPr>
        <w:t>表4.3-5  物料平衡一览表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613"/>
        <w:gridCol w:w="1438"/>
        <w:gridCol w:w="1438"/>
        <w:gridCol w:w="801"/>
        <w:gridCol w:w="2411"/>
        <w:gridCol w:w="1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7" w:type="pct"/>
            <w:gridSpan w:val="4"/>
            <w:vAlign w:val="center"/>
          </w:tcPr>
          <w:p>
            <w:pPr>
              <w:pStyle w:val="33"/>
            </w:pPr>
            <w:r>
              <w:rPr>
                <w:rFonts w:hint="eastAsia"/>
              </w:rPr>
              <w:t>投入物料（t/a）</w:t>
            </w:r>
          </w:p>
        </w:tc>
        <w:tc>
          <w:tcPr>
            <w:tcW w:w="2612" w:type="pct"/>
            <w:gridSpan w:val="3"/>
            <w:vAlign w:val="center"/>
          </w:tcPr>
          <w:p>
            <w:pPr>
              <w:pStyle w:val="33"/>
            </w:pPr>
            <w:r>
              <w:rPr>
                <w:rFonts w:hint="eastAsia"/>
              </w:rPr>
              <w:t>产出物料（t/a）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w:t>
            </w:r>
          </w:p>
        </w:tc>
        <w:tc>
          <w:tcPr>
            <w:tcW w:w="1204" w:type="pct"/>
            <w:gridSpan w:val="2"/>
          </w:tcPr>
          <w:p>
            <w:pPr>
              <w:pStyle w:val="33"/>
            </w:pPr>
            <w:r>
              <w:rPr>
                <w:rFonts w:hint="eastAsia"/>
              </w:rPr>
              <w:t>原铝液</w:t>
            </w:r>
          </w:p>
        </w:tc>
        <w:tc>
          <w:tcPr>
            <w:tcW w:w="842" w:type="pct"/>
            <w:vAlign w:val="center"/>
          </w:tcPr>
          <w:p>
            <w:pPr>
              <w:pStyle w:val="33"/>
            </w:pPr>
            <w:r>
              <w:rPr>
                <w:rFonts w:hint="eastAsia"/>
              </w:rPr>
              <w:t>54180</w:t>
            </w:r>
          </w:p>
        </w:tc>
        <w:tc>
          <w:tcPr>
            <w:tcW w:w="470" w:type="pct"/>
            <w:vAlign w:val="center"/>
          </w:tcPr>
          <w:p>
            <w:pPr>
              <w:pStyle w:val="33"/>
            </w:pPr>
            <w:r>
              <w:rPr>
                <w:rFonts w:hint="eastAsia"/>
              </w:rPr>
              <w:t>1</w:t>
            </w:r>
          </w:p>
        </w:tc>
        <w:tc>
          <w:tcPr>
            <w:tcW w:w="1415" w:type="pct"/>
            <w:vAlign w:val="center"/>
          </w:tcPr>
          <w:p>
            <w:pPr>
              <w:pStyle w:val="33"/>
            </w:pPr>
            <w:r>
              <w:rPr>
                <w:rFonts w:hint="eastAsia"/>
              </w:rPr>
              <w:t>产品铸轧板</w:t>
            </w:r>
          </w:p>
        </w:tc>
        <w:tc>
          <w:tcPr>
            <w:tcW w:w="727" w:type="pct"/>
            <w:vAlign w:val="center"/>
          </w:tcPr>
          <w:p>
            <w:pPr>
              <w:pStyle w:val="33"/>
            </w:pPr>
            <w:r>
              <w:rPr>
                <w:rFonts w:hint="eastAsia"/>
              </w:rPr>
              <w:t>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2</w:t>
            </w:r>
          </w:p>
        </w:tc>
        <w:tc>
          <w:tcPr>
            <w:tcW w:w="1204" w:type="pct"/>
            <w:gridSpan w:val="2"/>
          </w:tcPr>
          <w:p>
            <w:pPr>
              <w:pStyle w:val="33"/>
            </w:pPr>
            <w:r>
              <w:rPr>
                <w:rFonts w:hint="eastAsia"/>
              </w:rPr>
              <w:t>冷料</w:t>
            </w:r>
          </w:p>
        </w:tc>
        <w:tc>
          <w:tcPr>
            <w:tcW w:w="842" w:type="pct"/>
            <w:vAlign w:val="center"/>
          </w:tcPr>
          <w:p>
            <w:pPr>
              <w:pStyle w:val="33"/>
            </w:pPr>
            <w:r>
              <w:rPr>
                <w:rFonts w:hint="eastAsia"/>
              </w:rPr>
              <w:t>6000</w:t>
            </w:r>
          </w:p>
        </w:tc>
        <w:tc>
          <w:tcPr>
            <w:tcW w:w="470" w:type="pct"/>
            <w:vAlign w:val="center"/>
          </w:tcPr>
          <w:p>
            <w:pPr>
              <w:pStyle w:val="33"/>
            </w:pPr>
            <w:r>
              <w:rPr>
                <w:rFonts w:hint="eastAsia"/>
              </w:rPr>
              <w:t>2</w:t>
            </w:r>
          </w:p>
        </w:tc>
        <w:tc>
          <w:tcPr>
            <w:tcW w:w="1415" w:type="pct"/>
            <w:vAlign w:val="center"/>
          </w:tcPr>
          <w:p>
            <w:pPr>
              <w:pStyle w:val="33"/>
            </w:pPr>
            <w:r>
              <w:rPr>
                <w:rFonts w:hint="eastAsia"/>
              </w:rPr>
              <w:t>有组织外排污染物</w:t>
            </w:r>
          </w:p>
        </w:tc>
        <w:tc>
          <w:tcPr>
            <w:tcW w:w="727" w:type="pct"/>
            <w:vAlign w:val="center"/>
          </w:tcPr>
          <w:p>
            <w:pPr>
              <w:pStyle w:val="33"/>
            </w:pPr>
            <w:r>
              <w:rPr>
                <w:rFonts w:hint="eastAsia"/>
              </w:rPr>
              <w:t>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3</w:t>
            </w:r>
          </w:p>
        </w:tc>
        <w:tc>
          <w:tcPr>
            <w:tcW w:w="1204" w:type="pct"/>
            <w:gridSpan w:val="2"/>
            <w:vAlign w:val="center"/>
          </w:tcPr>
          <w:p>
            <w:pPr>
              <w:pStyle w:val="33"/>
            </w:pPr>
            <w:r>
              <w:rPr>
                <w:rFonts w:hint="eastAsia"/>
              </w:rPr>
              <w:t>镁锭</w:t>
            </w:r>
          </w:p>
        </w:tc>
        <w:tc>
          <w:tcPr>
            <w:tcW w:w="842" w:type="pct"/>
            <w:vAlign w:val="center"/>
          </w:tcPr>
          <w:p>
            <w:pPr>
              <w:pStyle w:val="33"/>
            </w:pPr>
            <w:r>
              <w:rPr>
                <w:rFonts w:hint="eastAsia"/>
              </w:rPr>
              <w:t>0.94</w:t>
            </w:r>
          </w:p>
        </w:tc>
        <w:tc>
          <w:tcPr>
            <w:tcW w:w="470" w:type="pct"/>
            <w:vAlign w:val="center"/>
          </w:tcPr>
          <w:p>
            <w:pPr>
              <w:pStyle w:val="33"/>
            </w:pPr>
            <w:r>
              <w:rPr>
                <w:rFonts w:hint="eastAsia"/>
              </w:rPr>
              <w:t>3</w:t>
            </w:r>
          </w:p>
        </w:tc>
        <w:tc>
          <w:tcPr>
            <w:tcW w:w="1415" w:type="pct"/>
            <w:vAlign w:val="center"/>
          </w:tcPr>
          <w:p>
            <w:pPr>
              <w:pStyle w:val="33"/>
            </w:pPr>
            <w:r>
              <w:rPr>
                <w:rFonts w:hint="eastAsia"/>
              </w:rPr>
              <w:t>无组织排放污染物</w:t>
            </w:r>
          </w:p>
        </w:tc>
        <w:tc>
          <w:tcPr>
            <w:tcW w:w="727" w:type="pct"/>
            <w:vAlign w:val="center"/>
          </w:tcPr>
          <w:p>
            <w:pPr>
              <w:pStyle w:val="33"/>
            </w:pPr>
            <w:r>
              <w:rPr>
                <w:rFonts w:hint="eastAsia"/>
              </w:rPr>
              <w:t>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4</w:t>
            </w:r>
          </w:p>
        </w:tc>
        <w:tc>
          <w:tcPr>
            <w:tcW w:w="1204" w:type="pct"/>
            <w:gridSpan w:val="2"/>
            <w:vAlign w:val="center"/>
          </w:tcPr>
          <w:p>
            <w:pPr>
              <w:pStyle w:val="33"/>
            </w:pPr>
            <w:r>
              <w:rPr>
                <w:rFonts w:hint="eastAsia"/>
              </w:rPr>
              <w:t>锌锭</w:t>
            </w:r>
          </w:p>
        </w:tc>
        <w:tc>
          <w:tcPr>
            <w:tcW w:w="842" w:type="pct"/>
            <w:vAlign w:val="center"/>
          </w:tcPr>
          <w:p>
            <w:pPr>
              <w:pStyle w:val="33"/>
            </w:pPr>
            <w:r>
              <w:rPr>
                <w:rFonts w:hint="eastAsia"/>
              </w:rPr>
              <w:t>0.031</w:t>
            </w:r>
          </w:p>
        </w:tc>
        <w:tc>
          <w:tcPr>
            <w:tcW w:w="470" w:type="pct"/>
            <w:vAlign w:val="center"/>
          </w:tcPr>
          <w:p>
            <w:pPr>
              <w:pStyle w:val="33"/>
            </w:pPr>
            <w:r>
              <w:rPr>
                <w:rFonts w:hint="eastAsia"/>
              </w:rPr>
              <w:t>4</w:t>
            </w:r>
          </w:p>
        </w:tc>
        <w:tc>
          <w:tcPr>
            <w:tcW w:w="1415" w:type="pct"/>
            <w:vAlign w:val="center"/>
          </w:tcPr>
          <w:p>
            <w:pPr>
              <w:pStyle w:val="33"/>
            </w:pPr>
            <w:r>
              <w:rPr>
                <w:rFonts w:hint="eastAsia"/>
              </w:rPr>
              <w:t>废过滤板</w:t>
            </w:r>
          </w:p>
        </w:tc>
        <w:tc>
          <w:tcPr>
            <w:tcW w:w="727" w:type="pct"/>
            <w:vAlign w:val="center"/>
          </w:tcPr>
          <w:p>
            <w:pPr>
              <w:pStyle w:val="33"/>
            </w:pPr>
            <w:r>
              <w:rPr>
                <w:rFonts w:hint="eastAsia"/>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5</w:t>
            </w:r>
          </w:p>
        </w:tc>
        <w:tc>
          <w:tcPr>
            <w:tcW w:w="1204" w:type="pct"/>
            <w:gridSpan w:val="2"/>
            <w:vAlign w:val="center"/>
          </w:tcPr>
          <w:p>
            <w:pPr>
              <w:pStyle w:val="33"/>
            </w:pPr>
            <w:r>
              <w:rPr>
                <w:rFonts w:hint="eastAsia"/>
              </w:rPr>
              <w:t>铁剂</w:t>
            </w:r>
          </w:p>
        </w:tc>
        <w:tc>
          <w:tcPr>
            <w:tcW w:w="842" w:type="pct"/>
            <w:vAlign w:val="center"/>
          </w:tcPr>
          <w:p>
            <w:pPr>
              <w:pStyle w:val="33"/>
            </w:pPr>
            <w:r>
              <w:rPr>
                <w:rFonts w:hint="eastAsia"/>
              </w:rPr>
              <w:t>347.28</w:t>
            </w:r>
          </w:p>
        </w:tc>
        <w:tc>
          <w:tcPr>
            <w:tcW w:w="470" w:type="pct"/>
            <w:vAlign w:val="center"/>
          </w:tcPr>
          <w:p>
            <w:pPr>
              <w:pStyle w:val="33"/>
            </w:pPr>
            <w:r>
              <w:t>5</w:t>
            </w:r>
          </w:p>
        </w:tc>
        <w:tc>
          <w:tcPr>
            <w:tcW w:w="1415" w:type="pct"/>
            <w:vAlign w:val="center"/>
          </w:tcPr>
          <w:p>
            <w:pPr>
              <w:pStyle w:val="33"/>
            </w:pPr>
            <w:r>
              <w:rPr>
                <w:rFonts w:hint="eastAsia"/>
              </w:rPr>
              <w:t>熔保炉除尘器收集粉尘</w:t>
            </w:r>
          </w:p>
        </w:tc>
        <w:tc>
          <w:tcPr>
            <w:tcW w:w="727" w:type="pct"/>
            <w:vAlign w:val="center"/>
          </w:tcPr>
          <w:p>
            <w:pPr>
              <w:pStyle w:val="33"/>
            </w:pPr>
            <w:r>
              <w:rPr>
                <w:rFonts w:hint="eastAsia"/>
              </w:rPr>
              <w:t>339.57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6</w:t>
            </w:r>
          </w:p>
        </w:tc>
        <w:tc>
          <w:tcPr>
            <w:tcW w:w="1204" w:type="pct"/>
            <w:gridSpan w:val="2"/>
            <w:vAlign w:val="center"/>
          </w:tcPr>
          <w:p>
            <w:pPr>
              <w:pStyle w:val="33"/>
            </w:pPr>
            <w:r>
              <w:rPr>
                <w:rFonts w:hint="eastAsia"/>
              </w:rPr>
              <w:t>锰剂</w:t>
            </w:r>
          </w:p>
        </w:tc>
        <w:tc>
          <w:tcPr>
            <w:tcW w:w="842" w:type="pct"/>
            <w:vAlign w:val="center"/>
          </w:tcPr>
          <w:p>
            <w:pPr>
              <w:pStyle w:val="33"/>
            </w:pPr>
            <w:r>
              <w:rPr>
                <w:rFonts w:hint="eastAsia"/>
              </w:rPr>
              <w:t>240.84</w:t>
            </w:r>
          </w:p>
        </w:tc>
        <w:tc>
          <w:tcPr>
            <w:tcW w:w="470" w:type="pct"/>
            <w:vAlign w:val="center"/>
          </w:tcPr>
          <w:p>
            <w:pPr>
              <w:pStyle w:val="33"/>
            </w:pPr>
            <w:r>
              <w:t>6</w:t>
            </w:r>
          </w:p>
        </w:tc>
        <w:tc>
          <w:tcPr>
            <w:tcW w:w="1415" w:type="pct"/>
            <w:vAlign w:val="center"/>
          </w:tcPr>
          <w:p>
            <w:pPr>
              <w:pStyle w:val="33"/>
            </w:pPr>
            <w:r>
              <w:rPr>
                <w:rFonts w:hint="eastAsia"/>
              </w:rPr>
              <w:t>铝灰分离系统铝灰</w:t>
            </w:r>
          </w:p>
        </w:tc>
        <w:tc>
          <w:tcPr>
            <w:tcW w:w="727" w:type="pct"/>
            <w:vAlign w:val="center"/>
          </w:tcPr>
          <w:p>
            <w:pPr>
              <w:pStyle w:val="33"/>
            </w:pPr>
            <w:r>
              <w:rPr>
                <w:rFonts w:hint="eastAsia"/>
              </w:rPr>
              <w:t>668.798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7</w:t>
            </w:r>
          </w:p>
        </w:tc>
        <w:tc>
          <w:tcPr>
            <w:tcW w:w="1204" w:type="pct"/>
            <w:gridSpan w:val="2"/>
            <w:vAlign w:val="center"/>
          </w:tcPr>
          <w:p>
            <w:pPr>
              <w:pStyle w:val="33"/>
            </w:pPr>
            <w:r>
              <w:rPr>
                <w:rFonts w:hint="eastAsia"/>
              </w:rPr>
              <w:t>钛剂</w:t>
            </w:r>
          </w:p>
        </w:tc>
        <w:tc>
          <w:tcPr>
            <w:tcW w:w="842" w:type="pct"/>
            <w:vAlign w:val="center"/>
          </w:tcPr>
          <w:p>
            <w:pPr>
              <w:pStyle w:val="33"/>
            </w:pPr>
            <w:r>
              <w:rPr>
                <w:rFonts w:hint="eastAsia"/>
              </w:rPr>
              <w:t>5.51</w:t>
            </w:r>
          </w:p>
        </w:tc>
        <w:tc>
          <w:tcPr>
            <w:tcW w:w="470" w:type="pct"/>
            <w:vAlign w:val="center"/>
          </w:tcPr>
          <w:p>
            <w:pPr>
              <w:pStyle w:val="33"/>
            </w:pPr>
            <w:r>
              <w:t>7</w:t>
            </w:r>
          </w:p>
        </w:tc>
        <w:tc>
          <w:tcPr>
            <w:tcW w:w="1415" w:type="pct"/>
            <w:vAlign w:val="center"/>
          </w:tcPr>
          <w:p>
            <w:pPr>
              <w:pStyle w:val="33"/>
            </w:pPr>
            <w:r>
              <w:rPr>
                <w:rFonts w:hint="eastAsia"/>
              </w:rPr>
              <w:t>铝灰分离系统收集尘</w:t>
            </w:r>
          </w:p>
        </w:tc>
        <w:tc>
          <w:tcPr>
            <w:tcW w:w="727" w:type="pct"/>
            <w:vAlign w:val="center"/>
          </w:tcPr>
          <w:p>
            <w:pPr>
              <w:pStyle w:val="33"/>
            </w:pPr>
            <w:r>
              <w:rPr>
                <w:rFonts w:hint="eastAsia"/>
              </w:rPr>
              <w:t>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339" w:type="pct"/>
            <w:vAlign w:val="center"/>
          </w:tcPr>
          <w:p>
            <w:pPr>
              <w:pStyle w:val="33"/>
            </w:pPr>
            <w:r>
              <w:rPr>
                <w:rFonts w:hint="eastAsia"/>
              </w:rPr>
              <w:t>8</w:t>
            </w:r>
          </w:p>
        </w:tc>
        <w:tc>
          <w:tcPr>
            <w:tcW w:w="1204" w:type="pct"/>
            <w:gridSpan w:val="2"/>
            <w:vAlign w:val="center"/>
          </w:tcPr>
          <w:p>
            <w:pPr>
              <w:pStyle w:val="33"/>
            </w:pPr>
            <w:r>
              <w:rPr>
                <w:rFonts w:hint="eastAsia"/>
              </w:rPr>
              <w:t>速溶硅</w:t>
            </w:r>
          </w:p>
        </w:tc>
        <w:tc>
          <w:tcPr>
            <w:tcW w:w="842" w:type="pct"/>
            <w:vAlign w:val="center"/>
          </w:tcPr>
          <w:p>
            <w:pPr>
              <w:pStyle w:val="33"/>
            </w:pPr>
            <w:r>
              <w:rPr>
                <w:rFonts w:hint="eastAsia"/>
              </w:rPr>
              <w:t>86.96</w:t>
            </w:r>
          </w:p>
        </w:tc>
        <w:tc>
          <w:tcPr>
            <w:tcW w:w="470" w:type="pct"/>
            <w:vAlign w:val="center"/>
          </w:tcPr>
          <w:p>
            <w:pPr>
              <w:pStyle w:val="33"/>
            </w:pPr>
            <w:r>
              <w:t>8</w:t>
            </w:r>
          </w:p>
        </w:tc>
        <w:tc>
          <w:tcPr>
            <w:tcW w:w="1415" w:type="pct"/>
            <w:vAlign w:val="center"/>
          </w:tcPr>
          <w:p>
            <w:pPr>
              <w:pStyle w:val="33"/>
            </w:pPr>
            <w:r>
              <w:rPr>
                <w:rFonts w:hint="eastAsia"/>
              </w:rPr>
              <w:t>铝灰分离出铝锭</w:t>
            </w:r>
          </w:p>
        </w:tc>
        <w:tc>
          <w:tcPr>
            <w:tcW w:w="727" w:type="pct"/>
            <w:vAlign w:val="center"/>
          </w:tcPr>
          <w:p>
            <w:pPr>
              <w:pStyle w:val="33"/>
            </w:pPr>
            <w:r>
              <w:rPr>
                <w:rFonts w:hint="eastAsia"/>
              </w:rPr>
              <w:t>142.06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9</w:t>
            </w:r>
          </w:p>
        </w:tc>
        <w:tc>
          <w:tcPr>
            <w:tcW w:w="1204" w:type="pct"/>
            <w:gridSpan w:val="2"/>
            <w:vAlign w:val="center"/>
          </w:tcPr>
          <w:p>
            <w:pPr>
              <w:pStyle w:val="33"/>
            </w:pPr>
            <w:r>
              <w:rPr>
                <w:rFonts w:hint="eastAsia"/>
              </w:rPr>
              <w:t>铝钛硼丝</w:t>
            </w:r>
          </w:p>
        </w:tc>
        <w:tc>
          <w:tcPr>
            <w:tcW w:w="842" w:type="pct"/>
            <w:vAlign w:val="center"/>
          </w:tcPr>
          <w:p>
            <w:pPr>
              <w:pStyle w:val="33"/>
            </w:pPr>
            <w:r>
              <w:rPr>
                <w:rFonts w:hint="eastAsia"/>
              </w:rPr>
              <w:t>143.52</w:t>
            </w:r>
          </w:p>
        </w:tc>
        <w:tc>
          <w:tcPr>
            <w:tcW w:w="470" w:type="pct"/>
            <w:vAlign w:val="center"/>
          </w:tcPr>
          <w:p>
            <w:pPr>
              <w:pStyle w:val="33"/>
            </w:pPr>
            <w:r>
              <w:t>9</w:t>
            </w:r>
          </w:p>
        </w:tc>
        <w:tc>
          <w:tcPr>
            <w:tcW w:w="1415" w:type="pct"/>
            <w:vAlign w:val="center"/>
          </w:tcPr>
          <w:p>
            <w:pPr>
              <w:pStyle w:val="33"/>
            </w:pPr>
            <w:r>
              <w:rPr>
                <w:rFonts w:hint="eastAsia"/>
              </w:rPr>
              <w:t>不合格产品</w:t>
            </w:r>
          </w:p>
        </w:tc>
        <w:tc>
          <w:tcPr>
            <w:tcW w:w="727" w:type="pct"/>
            <w:vAlign w:val="center"/>
          </w:tcPr>
          <w:p>
            <w:pPr>
              <w:pStyle w:val="33"/>
            </w:pPr>
            <w:r>
              <w:rPr>
                <w:rFonts w:hint="eastAsia"/>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t>10</w:t>
            </w:r>
          </w:p>
        </w:tc>
        <w:tc>
          <w:tcPr>
            <w:tcW w:w="1204" w:type="pct"/>
            <w:gridSpan w:val="2"/>
          </w:tcPr>
          <w:p>
            <w:pPr>
              <w:pStyle w:val="33"/>
            </w:pPr>
            <w:r>
              <w:rPr>
                <w:rFonts w:hint="eastAsia"/>
              </w:rPr>
              <w:t>精炼剂</w:t>
            </w:r>
          </w:p>
        </w:tc>
        <w:tc>
          <w:tcPr>
            <w:tcW w:w="842" w:type="pct"/>
            <w:vAlign w:val="center"/>
          </w:tcPr>
          <w:p>
            <w:pPr>
              <w:pStyle w:val="33"/>
            </w:pPr>
            <w:r>
              <w:rPr>
                <w:rFonts w:hint="eastAsia"/>
              </w:rPr>
              <w:t>6</w:t>
            </w:r>
          </w:p>
        </w:tc>
        <w:tc>
          <w:tcPr>
            <w:tcW w:w="470" w:type="pct"/>
            <w:vAlign w:val="center"/>
          </w:tcPr>
          <w:p>
            <w:pPr>
              <w:pStyle w:val="33"/>
            </w:pPr>
            <w:r>
              <w:rPr>
                <w:rFonts w:hint="eastAsia"/>
              </w:rPr>
              <w:t>10</w:t>
            </w:r>
          </w:p>
        </w:tc>
        <w:tc>
          <w:tcPr>
            <w:tcW w:w="1415" w:type="pct"/>
            <w:vAlign w:val="center"/>
          </w:tcPr>
          <w:p>
            <w:pPr>
              <w:pStyle w:val="33"/>
            </w:pPr>
            <w:r>
              <w:rPr>
                <w:rFonts w:hint="eastAsia"/>
                <w:lang w:eastAsia="zh-CN"/>
              </w:rPr>
              <w:t>下脚料</w:t>
            </w:r>
          </w:p>
        </w:tc>
        <w:tc>
          <w:tcPr>
            <w:tcW w:w="727" w:type="pct"/>
            <w:vAlign w:val="center"/>
          </w:tcPr>
          <w:p>
            <w:pPr>
              <w:pStyle w:val="33"/>
            </w:pPr>
            <w:r>
              <w:rPr>
                <w:rFonts w:hint="eastAsi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11</w:t>
            </w:r>
          </w:p>
        </w:tc>
        <w:tc>
          <w:tcPr>
            <w:tcW w:w="360" w:type="pct"/>
            <w:vMerge w:val="restart"/>
            <w:vAlign w:val="center"/>
          </w:tcPr>
          <w:p>
            <w:pPr>
              <w:pStyle w:val="33"/>
            </w:pPr>
            <w:r>
              <w:rPr>
                <w:rFonts w:hint="eastAsia"/>
              </w:rPr>
              <w:t>中间合金</w:t>
            </w:r>
          </w:p>
        </w:tc>
        <w:tc>
          <w:tcPr>
            <w:tcW w:w="843" w:type="pct"/>
            <w:vAlign w:val="center"/>
          </w:tcPr>
          <w:p>
            <w:pPr>
              <w:pStyle w:val="33"/>
            </w:pPr>
            <w:r>
              <w:rPr>
                <w:rFonts w:hint="eastAsia"/>
              </w:rPr>
              <w:t>铝锰合金</w:t>
            </w:r>
          </w:p>
        </w:tc>
        <w:tc>
          <w:tcPr>
            <w:tcW w:w="842" w:type="pct"/>
            <w:vAlign w:val="center"/>
          </w:tcPr>
          <w:p>
            <w:pPr>
              <w:pStyle w:val="33"/>
            </w:pPr>
            <w:r>
              <w:rPr>
                <w:rFonts w:hint="eastAsia"/>
              </w:rPr>
              <w:t>0.348</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12</w:t>
            </w:r>
          </w:p>
        </w:tc>
        <w:tc>
          <w:tcPr>
            <w:tcW w:w="360" w:type="pct"/>
            <w:vMerge w:val="continue"/>
          </w:tcPr>
          <w:p>
            <w:pPr>
              <w:pStyle w:val="33"/>
            </w:pPr>
          </w:p>
        </w:tc>
        <w:tc>
          <w:tcPr>
            <w:tcW w:w="843" w:type="pct"/>
            <w:vAlign w:val="center"/>
          </w:tcPr>
          <w:p>
            <w:pPr>
              <w:pStyle w:val="33"/>
            </w:pPr>
            <w:r>
              <w:rPr>
                <w:rFonts w:hint="eastAsia"/>
              </w:rPr>
              <w:t>铝硅合金</w:t>
            </w:r>
          </w:p>
        </w:tc>
        <w:tc>
          <w:tcPr>
            <w:tcW w:w="842" w:type="pct"/>
            <w:vAlign w:val="center"/>
          </w:tcPr>
          <w:p>
            <w:pPr>
              <w:pStyle w:val="33"/>
            </w:pPr>
            <w:r>
              <w:rPr>
                <w:rFonts w:hint="eastAsia"/>
              </w:rPr>
              <w:t>0.219</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13</w:t>
            </w:r>
          </w:p>
        </w:tc>
        <w:tc>
          <w:tcPr>
            <w:tcW w:w="360" w:type="pct"/>
            <w:vMerge w:val="continue"/>
          </w:tcPr>
          <w:p>
            <w:pPr>
              <w:pStyle w:val="33"/>
            </w:pPr>
          </w:p>
        </w:tc>
        <w:tc>
          <w:tcPr>
            <w:tcW w:w="843" w:type="pct"/>
            <w:vAlign w:val="center"/>
          </w:tcPr>
          <w:p>
            <w:pPr>
              <w:pStyle w:val="33"/>
            </w:pPr>
            <w:r>
              <w:rPr>
                <w:rFonts w:hint="eastAsia"/>
              </w:rPr>
              <w:t>铝钛合金</w:t>
            </w:r>
          </w:p>
        </w:tc>
        <w:tc>
          <w:tcPr>
            <w:tcW w:w="842" w:type="pct"/>
            <w:vAlign w:val="center"/>
          </w:tcPr>
          <w:p>
            <w:pPr>
              <w:pStyle w:val="33"/>
            </w:pPr>
            <w:r>
              <w:rPr>
                <w:rFonts w:hint="eastAsia"/>
              </w:rPr>
              <w:t>8.87</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14</w:t>
            </w:r>
          </w:p>
        </w:tc>
        <w:tc>
          <w:tcPr>
            <w:tcW w:w="360" w:type="pct"/>
            <w:vMerge w:val="continue"/>
          </w:tcPr>
          <w:p>
            <w:pPr>
              <w:pStyle w:val="33"/>
            </w:pPr>
          </w:p>
        </w:tc>
        <w:tc>
          <w:tcPr>
            <w:tcW w:w="843" w:type="pct"/>
            <w:vAlign w:val="center"/>
          </w:tcPr>
          <w:p>
            <w:pPr>
              <w:pStyle w:val="33"/>
            </w:pPr>
            <w:r>
              <w:rPr>
                <w:rFonts w:hint="eastAsia"/>
              </w:rPr>
              <w:t>铝铁合金</w:t>
            </w:r>
          </w:p>
        </w:tc>
        <w:tc>
          <w:tcPr>
            <w:tcW w:w="842" w:type="pct"/>
            <w:vAlign w:val="center"/>
          </w:tcPr>
          <w:p>
            <w:pPr>
              <w:pStyle w:val="33"/>
            </w:pPr>
            <w:r>
              <w:rPr>
                <w:rFonts w:hint="eastAsia"/>
              </w:rPr>
              <w:t>0.96</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20</w:t>
            </w:r>
          </w:p>
        </w:tc>
        <w:tc>
          <w:tcPr>
            <w:tcW w:w="1204" w:type="pct"/>
            <w:gridSpan w:val="2"/>
            <w:vAlign w:val="center"/>
          </w:tcPr>
          <w:p>
            <w:pPr>
              <w:pStyle w:val="33"/>
            </w:pPr>
            <w:r>
              <w:rPr>
                <w:rFonts w:hint="eastAsia"/>
              </w:rPr>
              <w:t>过滤板</w:t>
            </w:r>
          </w:p>
        </w:tc>
        <w:tc>
          <w:tcPr>
            <w:tcW w:w="842" w:type="pct"/>
            <w:vAlign w:val="center"/>
          </w:tcPr>
          <w:p>
            <w:pPr>
              <w:pStyle w:val="33"/>
            </w:pPr>
            <w:r>
              <w:rPr>
                <w:rFonts w:hint="eastAsia"/>
              </w:rPr>
              <w:t>1</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21</w:t>
            </w:r>
          </w:p>
        </w:tc>
        <w:tc>
          <w:tcPr>
            <w:tcW w:w="1204" w:type="pct"/>
            <w:gridSpan w:val="2"/>
            <w:vAlign w:val="center"/>
          </w:tcPr>
          <w:p>
            <w:pPr>
              <w:pStyle w:val="33"/>
            </w:pPr>
            <w:r>
              <w:rPr>
                <w:rFonts w:hint="eastAsia"/>
              </w:rPr>
              <w:t>不合格产品</w:t>
            </w:r>
          </w:p>
        </w:tc>
        <w:tc>
          <w:tcPr>
            <w:tcW w:w="842" w:type="pct"/>
            <w:vAlign w:val="center"/>
          </w:tcPr>
          <w:p>
            <w:pPr>
              <w:pStyle w:val="33"/>
            </w:pPr>
            <w:r>
              <w:rPr>
                <w:rFonts w:hint="eastAsia"/>
              </w:rPr>
              <w:t>720</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22</w:t>
            </w:r>
          </w:p>
        </w:tc>
        <w:tc>
          <w:tcPr>
            <w:tcW w:w="1204" w:type="pct"/>
            <w:gridSpan w:val="2"/>
            <w:vAlign w:val="center"/>
          </w:tcPr>
          <w:p>
            <w:pPr>
              <w:pStyle w:val="33"/>
            </w:pPr>
            <w:r>
              <w:rPr>
                <w:rFonts w:hint="eastAsia"/>
                <w:lang w:eastAsia="zh-CN"/>
              </w:rPr>
              <w:t>下脚料</w:t>
            </w:r>
          </w:p>
        </w:tc>
        <w:tc>
          <w:tcPr>
            <w:tcW w:w="842" w:type="pct"/>
            <w:vAlign w:val="center"/>
          </w:tcPr>
          <w:p>
            <w:pPr>
              <w:pStyle w:val="33"/>
            </w:pPr>
            <w:r>
              <w:rPr>
                <w:rFonts w:hint="eastAsia"/>
              </w:rPr>
              <w:t>300</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23</w:t>
            </w:r>
          </w:p>
        </w:tc>
        <w:tc>
          <w:tcPr>
            <w:tcW w:w="1204" w:type="pct"/>
            <w:gridSpan w:val="2"/>
            <w:vAlign w:val="center"/>
          </w:tcPr>
          <w:p>
            <w:pPr>
              <w:pStyle w:val="33"/>
            </w:pPr>
            <w:r>
              <w:rPr>
                <w:rFonts w:hint="eastAsia"/>
              </w:rPr>
              <w:t>铝灰分离出铝锭</w:t>
            </w:r>
          </w:p>
        </w:tc>
        <w:tc>
          <w:tcPr>
            <w:tcW w:w="842" w:type="pct"/>
            <w:vAlign w:val="center"/>
          </w:tcPr>
          <w:p>
            <w:pPr>
              <w:pStyle w:val="33"/>
            </w:pPr>
            <w:r>
              <w:rPr>
                <w:rFonts w:hint="eastAsia"/>
              </w:rPr>
              <w:t>142.06</w:t>
            </w:r>
          </w:p>
        </w:tc>
        <w:tc>
          <w:tcPr>
            <w:tcW w:w="470" w:type="pct"/>
            <w:vAlign w:val="center"/>
          </w:tcPr>
          <w:p>
            <w:pPr>
              <w:pStyle w:val="33"/>
            </w:pPr>
          </w:p>
        </w:tc>
        <w:tc>
          <w:tcPr>
            <w:tcW w:w="1415" w:type="pct"/>
            <w:vAlign w:val="center"/>
          </w:tcPr>
          <w:p>
            <w:pPr>
              <w:pStyle w:val="33"/>
            </w:pPr>
          </w:p>
        </w:tc>
        <w:tc>
          <w:tcPr>
            <w:tcW w:w="727"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p>
        </w:tc>
        <w:tc>
          <w:tcPr>
            <w:tcW w:w="1204" w:type="pct"/>
            <w:gridSpan w:val="2"/>
            <w:vAlign w:val="center"/>
          </w:tcPr>
          <w:p>
            <w:pPr>
              <w:pStyle w:val="33"/>
            </w:pPr>
            <w:r>
              <w:rPr>
                <w:rFonts w:hint="eastAsia"/>
              </w:rPr>
              <w:t>合计</w:t>
            </w:r>
          </w:p>
        </w:tc>
        <w:tc>
          <w:tcPr>
            <w:tcW w:w="842" w:type="pct"/>
            <w:vAlign w:val="center"/>
          </w:tcPr>
          <w:p>
            <w:pPr>
              <w:pStyle w:val="33"/>
            </w:pPr>
            <w:r>
              <w:rPr>
                <w:rFonts w:hint="eastAsia"/>
              </w:rPr>
              <w:t>62184.538</w:t>
            </w:r>
          </w:p>
        </w:tc>
        <w:tc>
          <w:tcPr>
            <w:tcW w:w="470" w:type="pct"/>
            <w:vAlign w:val="center"/>
          </w:tcPr>
          <w:p>
            <w:pPr>
              <w:pStyle w:val="33"/>
            </w:pPr>
          </w:p>
        </w:tc>
        <w:tc>
          <w:tcPr>
            <w:tcW w:w="1415" w:type="pct"/>
            <w:vAlign w:val="center"/>
          </w:tcPr>
          <w:p>
            <w:pPr>
              <w:pStyle w:val="33"/>
            </w:pPr>
            <w:r>
              <w:rPr>
                <w:rFonts w:hint="eastAsia"/>
              </w:rPr>
              <w:t>合计</w:t>
            </w:r>
          </w:p>
        </w:tc>
        <w:tc>
          <w:tcPr>
            <w:tcW w:w="727" w:type="pct"/>
            <w:vAlign w:val="center"/>
          </w:tcPr>
          <w:p>
            <w:pPr>
              <w:pStyle w:val="33"/>
            </w:pPr>
            <w:r>
              <w:rPr>
                <w:rFonts w:hint="eastAsia"/>
              </w:rPr>
              <w:t>62184.538</w:t>
            </w:r>
          </w:p>
        </w:tc>
      </w:tr>
    </w:tbl>
    <w:p>
      <w:pPr>
        <w:pStyle w:val="9"/>
      </w:pPr>
      <w:r>
        <w:rPr>
          <w:rFonts w:hint="eastAsia"/>
        </w:rPr>
        <w:t>4.3.2.2主要元素平衡</w:t>
      </w:r>
    </w:p>
    <w:p>
      <w:pPr>
        <w:pStyle w:val="7"/>
        <w:ind w:firstLine="482"/>
        <w:rPr>
          <w:b/>
          <w:bCs/>
        </w:rPr>
      </w:pPr>
      <w:r>
        <w:rPr>
          <w:rFonts w:hint="eastAsia"/>
          <w:b/>
          <w:bCs/>
        </w:rPr>
        <w:t>1、铝元素平衡</w:t>
      </w:r>
    </w:p>
    <w:p>
      <w:pPr>
        <w:pStyle w:val="7"/>
        <w:ind w:firstLine="480"/>
      </w:pPr>
      <w:r>
        <w:rPr>
          <w:rFonts w:hint="eastAsia"/>
        </w:rPr>
        <w:t>二期工程铝元素来源于铝水、冷料、镁锭、铜锭、锌锭、中间合金、速溶硅、铝钛硼丝、精炼剂，根据建设单位提供的各原辅材料的用量及成分分析，得出项目铝元素平衡见表4.3-6。</w:t>
      </w:r>
    </w:p>
    <w:p>
      <w:pPr>
        <w:pStyle w:val="31"/>
      </w:pPr>
      <w:r>
        <w:rPr>
          <w:rFonts w:hint="eastAsia"/>
        </w:rPr>
        <w:t>表4.3-6  铝元素平衡表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421"/>
        <w:gridCol w:w="1631"/>
        <w:gridCol w:w="1436"/>
        <w:gridCol w:w="801"/>
        <w:gridCol w:w="2186"/>
        <w:gridCol w:w="14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6" w:type="pct"/>
            <w:gridSpan w:val="4"/>
            <w:vAlign w:val="center"/>
          </w:tcPr>
          <w:p>
            <w:pPr>
              <w:pStyle w:val="33"/>
            </w:pPr>
            <w:r>
              <w:rPr>
                <w:rFonts w:hint="eastAsia"/>
              </w:rPr>
              <w:t>投入物料含铝量（t/a）</w:t>
            </w:r>
          </w:p>
        </w:tc>
        <w:tc>
          <w:tcPr>
            <w:tcW w:w="2613" w:type="pct"/>
            <w:gridSpan w:val="3"/>
            <w:vAlign w:val="center"/>
          </w:tcPr>
          <w:p>
            <w:pPr>
              <w:pStyle w:val="33"/>
            </w:pPr>
            <w:r>
              <w:rPr>
                <w:rFonts w:hint="eastAsia"/>
              </w:rPr>
              <w:t>产出物料含铝量（t/a）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w:t>
            </w:r>
          </w:p>
        </w:tc>
        <w:tc>
          <w:tcPr>
            <w:tcW w:w="1204" w:type="pct"/>
            <w:gridSpan w:val="2"/>
          </w:tcPr>
          <w:p>
            <w:pPr>
              <w:pStyle w:val="33"/>
            </w:pPr>
            <w:r>
              <w:rPr>
                <w:rFonts w:hint="eastAsia"/>
              </w:rPr>
              <w:t>铝液含铝</w:t>
            </w:r>
          </w:p>
        </w:tc>
        <w:tc>
          <w:tcPr>
            <w:tcW w:w="842" w:type="pct"/>
            <w:vAlign w:val="center"/>
          </w:tcPr>
          <w:p>
            <w:pPr>
              <w:pStyle w:val="33"/>
            </w:pPr>
            <w:r>
              <w:rPr>
                <w:rFonts w:hint="eastAsia"/>
              </w:rPr>
              <w:t>54075.36</w:t>
            </w:r>
          </w:p>
        </w:tc>
        <w:tc>
          <w:tcPr>
            <w:tcW w:w="470" w:type="pct"/>
            <w:vAlign w:val="center"/>
          </w:tcPr>
          <w:p>
            <w:pPr>
              <w:pStyle w:val="33"/>
            </w:pPr>
            <w:r>
              <w:rPr>
                <w:rFonts w:hint="eastAsia"/>
              </w:rPr>
              <w:t>1</w:t>
            </w:r>
          </w:p>
        </w:tc>
        <w:tc>
          <w:tcPr>
            <w:tcW w:w="1283" w:type="pct"/>
            <w:vAlign w:val="center"/>
          </w:tcPr>
          <w:p>
            <w:pPr>
              <w:pStyle w:val="33"/>
            </w:pPr>
            <w:r>
              <w:rPr>
                <w:rFonts w:hint="eastAsia"/>
              </w:rPr>
              <w:t>产品含铝</w:t>
            </w:r>
          </w:p>
        </w:tc>
        <w:tc>
          <w:tcPr>
            <w:tcW w:w="859" w:type="pct"/>
            <w:vAlign w:val="center"/>
          </w:tcPr>
          <w:p>
            <w:pPr>
              <w:pStyle w:val="33"/>
            </w:pPr>
            <w:r>
              <w:rPr>
                <w:rFonts w:hint="eastAsia"/>
              </w:rPr>
              <w:t>59570.08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2</w:t>
            </w:r>
          </w:p>
        </w:tc>
        <w:tc>
          <w:tcPr>
            <w:tcW w:w="1204" w:type="pct"/>
            <w:gridSpan w:val="2"/>
          </w:tcPr>
          <w:p>
            <w:pPr>
              <w:pStyle w:val="33"/>
            </w:pPr>
            <w:r>
              <w:rPr>
                <w:rFonts w:hint="eastAsia"/>
              </w:rPr>
              <w:t>冷料含铝</w:t>
            </w:r>
          </w:p>
        </w:tc>
        <w:tc>
          <w:tcPr>
            <w:tcW w:w="842" w:type="pct"/>
            <w:vAlign w:val="center"/>
          </w:tcPr>
          <w:p>
            <w:pPr>
              <w:pStyle w:val="33"/>
            </w:pPr>
            <w:r>
              <w:rPr>
                <w:rFonts w:hint="eastAsia"/>
              </w:rPr>
              <w:t>6000</w:t>
            </w:r>
          </w:p>
        </w:tc>
        <w:tc>
          <w:tcPr>
            <w:tcW w:w="470" w:type="pct"/>
            <w:vAlign w:val="center"/>
          </w:tcPr>
          <w:p>
            <w:pPr>
              <w:pStyle w:val="33"/>
            </w:pPr>
            <w:r>
              <w:rPr>
                <w:rFonts w:hint="eastAsia"/>
              </w:rPr>
              <w:t>2</w:t>
            </w:r>
          </w:p>
        </w:tc>
        <w:tc>
          <w:tcPr>
            <w:tcW w:w="1283" w:type="pct"/>
            <w:vAlign w:val="center"/>
          </w:tcPr>
          <w:p>
            <w:pPr>
              <w:pStyle w:val="33"/>
            </w:pPr>
            <w:r>
              <w:rPr>
                <w:rFonts w:hint="eastAsia"/>
              </w:rPr>
              <w:t>铝灰渣含铝</w:t>
            </w:r>
          </w:p>
        </w:tc>
        <w:tc>
          <w:tcPr>
            <w:tcW w:w="859" w:type="pct"/>
            <w:vAlign w:val="center"/>
          </w:tcPr>
          <w:p>
            <w:pPr>
              <w:pStyle w:val="33"/>
            </w:pPr>
            <w:r>
              <w:rPr>
                <w:rFonts w:hint="eastAsia"/>
              </w:rPr>
              <w:t>414.6619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3</w:t>
            </w:r>
          </w:p>
        </w:tc>
        <w:tc>
          <w:tcPr>
            <w:tcW w:w="1204" w:type="pct"/>
            <w:gridSpan w:val="2"/>
          </w:tcPr>
          <w:p>
            <w:pPr>
              <w:pStyle w:val="33"/>
            </w:pPr>
            <w:r>
              <w:rPr>
                <w:rFonts w:hint="eastAsia"/>
              </w:rPr>
              <w:t>镁锭含铝</w:t>
            </w:r>
          </w:p>
        </w:tc>
        <w:tc>
          <w:tcPr>
            <w:tcW w:w="842" w:type="pct"/>
            <w:vAlign w:val="center"/>
          </w:tcPr>
          <w:p>
            <w:pPr>
              <w:pStyle w:val="33"/>
            </w:pPr>
            <w:r>
              <w:rPr>
                <w:rFonts w:hint="eastAsia"/>
              </w:rPr>
              <w:t>0.01</w:t>
            </w:r>
          </w:p>
        </w:tc>
        <w:tc>
          <w:tcPr>
            <w:tcW w:w="470" w:type="pct"/>
            <w:vAlign w:val="center"/>
          </w:tcPr>
          <w:p>
            <w:pPr>
              <w:pStyle w:val="33"/>
            </w:pPr>
            <w:r>
              <w:rPr>
                <w:rFonts w:hint="eastAsia"/>
              </w:rPr>
              <w:t>3</w:t>
            </w:r>
          </w:p>
        </w:tc>
        <w:tc>
          <w:tcPr>
            <w:tcW w:w="1283" w:type="pct"/>
            <w:vAlign w:val="center"/>
          </w:tcPr>
          <w:p>
            <w:pPr>
              <w:pStyle w:val="33"/>
            </w:pPr>
            <w:r>
              <w:rPr>
                <w:rFonts w:hint="eastAsia"/>
              </w:rPr>
              <w:t>铝灰有组织排放烟尘含铝</w:t>
            </w:r>
          </w:p>
        </w:tc>
        <w:tc>
          <w:tcPr>
            <w:tcW w:w="859" w:type="pct"/>
            <w:vAlign w:val="center"/>
          </w:tcPr>
          <w:p>
            <w:pPr>
              <w:pStyle w:val="33"/>
            </w:pPr>
            <w:r>
              <w:rPr>
                <w:rFonts w:hint="eastAsia"/>
              </w:rPr>
              <w:t>0.066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4</w:t>
            </w:r>
          </w:p>
        </w:tc>
        <w:tc>
          <w:tcPr>
            <w:tcW w:w="1204" w:type="pct"/>
            <w:gridSpan w:val="2"/>
            <w:vAlign w:val="center"/>
          </w:tcPr>
          <w:p>
            <w:pPr>
              <w:pStyle w:val="33"/>
            </w:pPr>
            <w:r>
              <w:rPr>
                <w:rFonts w:hint="eastAsia"/>
              </w:rPr>
              <w:t>锌锭含铝</w:t>
            </w:r>
          </w:p>
        </w:tc>
        <w:tc>
          <w:tcPr>
            <w:tcW w:w="842" w:type="pct"/>
            <w:vAlign w:val="center"/>
          </w:tcPr>
          <w:p>
            <w:pPr>
              <w:pStyle w:val="33"/>
            </w:pPr>
            <w:r>
              <w:rPr>
                <w:rFonts w:hint="eastAsia"/>
              </w:rPr>
              <w:t>0.0003</w:t>
            </w:r>
          </w:p>
        </w:tc>
        <w:tc>
          <w:tcPr>
            <w:tcW w:w="470" w:type="pct"/>
            <w:vAlign w:val="center"/>
          </w:tcPr>
          <w:p>
            <w:pPr>
              <w:pStyle w:val="33"/>
            </w:pPr>
            <w:r>
              <w:rPr>
                <w:rFonts w:hint="eastAsia"/>
              </w:rPr>
              <w:t>4</w:t>
            </w:r>
          </w:p>
        </w:tc>
        <w:tc>
          <w:tcPr>
            <w:tcW w:w="1283" w:type="pct"/>
            <w:vAlign w:val="center"/>
          </w:tcPr>
          <w:p>
            <w:pPr>
              <w:pStyle w:val="33"/>
            </w:pPr>
            <w:r>
              <w:rPr>
                <w:rFonts w:hint="eastAsia"/>
              </w:rPr>
              <w:t>铝灰分离收集尘含铝</w:t>
            </w:r>
          </w:p>
        </w:tc>
        <w:tc>
          <w:tcPr>
            <w:tcW w:w="859" w:type="pct"/>
            <w:vAlign w:val="center"/>
          </w:tcPr>
          <w:p>
            <w:pPr>
              <w:pStyle w:val="33"/>
            </w:pPr>
            <w:r>
              <w:rPr>
                <w:rFonts w:hint="eastAsia"/>
              </w:rPr>
              <w:t>3.212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5</w:t>
            </w:r>
          </w:p>
        </w:tc>
        <w:tc>
          <w:tcPr>
            <w:tcW w:w="1204" w:type="pct"/>
            <w:gridSpan w:val="2"/>
          </w:tcPr>
          <w:p>
            <w:pPr>
              <w:pStyle w:val="33"/>
            </w:pPr>
            <w:r>
              <w:rPr>
                <w:rFonts w:hint="eastAsia"/>
              </w:rPr>
              <w:t>速溶硅含铝</w:t>
            </w:r>
          </w:p>
        </w:tc>
        <w:tc>
          <w:tcPr>
            <w:tcW w:w="842" w:type="pct"/>
            <w:vAlign w:val="center"/>
          </w:tcPr>
          <w:p>
            <w:pPr>
              <w:pStyle w:val="33"/>
            </w:pPr>
            <w:r>
              <w:rPr>
                <w:rFonts w:hint="eastAsia"/>
              </w:rPr>
              <w:t>30.44</w:t>
            </w:r>
          </w:p>
        </w:tc>
        <w:tc>
          <w:tcPr>
            <w:tcW w:w="470" w:type="pct"/>
            <w:vAlign w:val="center"/>
          </w:tcPr>
          <w:p>
            <w:pPr>
              <w:pStyle w:val="33"/>
            </w:pPr>
            <w:r>
              <w:t>5</w:t>
            </w:r>
          </w:p>
        </w:tc>
        <w:tc>
          <w:tcPr>
            <w:tcW w:w="1283" w:type="pct"/>
            <w:vAlign w:val="center"/>
          </w:tcPr>
          <w:p>
            <w:pPr>
              <w:pStyle w:val="33"/>
            </w:pPr>
            <w:r>
              <w:rPr>
                <w:rFonts w:hint="eastAsia"/>
              </w:rPr>
              <w:t>无组织产生含铝</w:t>
            </w:r>
          </w:p>
        </w:tc>
        <w:tc>
          <w:tcPr>
            <w:tcW w:w="859" w:type="pct"/>
            <w:vAlign w:val="center"/>
          </w:tcPr>
          <w:p>
            <w:pPr>
              <w:pStyle w:val="33"/>
            </w:pPr>
            <w:r>
              <w:rPr>
                <w:rFonts w:hint="eastAsia"/>
              </w:rPr>
              <w:t>0.458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6</w:t>
            </w:r>
          </w:p>
        </w:tc>
        <w:tc>
          <w:tcPr>
            <w:tcW w:w="1204" w:type="pct"/>
            <w:gridSpan w:val="2"/>
          </w:tcPr>
          <w:p>
            <w:pPr>
              <w:pStyle w:val="33"/>
            </w:pPr>
            <w:r>
              <w:rPr>
                <w:rFonts w:hint="eastAsia"/>
              </w:rPr>
              <w:t>铝钛硼丝含铝</w:t>
            </w:r>
          </w:p>
        </w:tc>
        <w:tc>
          <w:tcPr>
            <w:tcW w:w="842" w:type="pct"/>
            <w:vAlign w:val="center"/>
          </w:tcPr>
          <w:p>
            <w:pPr>
              <w:pStyle w:val="33"/>
            </w:pPr>
            <w:r>
              <w:rPr>
                <w:rFonts w:hint="eastAsia"/>
              </w:rPr>
              <w:t>134.62</w:t>
            </w:r>
          </w:p>
        </w:tc>
        <w:tc>
          <w:tcPr>
            <w:tcW w:w="470" w:type="pct"/>
            <w:vAlign w:val="center"/>
          </w:tcPr>
          <w:p>
            <w:pPr>
              <w:pStyle w:val="33"/>
            </w:pPr>
          </w:p>
        </w:tc>
        <w:tc>
          <w:tcPr>
            <w:tcW w:w="1283" w:type="pct"/>
            <w:vAlign w:val="center"/>
          </w:tcPr>
          <w:p>
            <w:pPr>
              <w:pStyle w:val="33"/>
            </w:pPr>
            <w:r>
              <w:rPr>
                <w:rFonts w:hint="eastAsia"/>
              </w:rPr>
              <w:t>熔保炉排放烟尘含铝</w:t>
            </w:r>
          </w:p>
        </w:tc>
        <w:tc>
          <w:tcPr>
            <w:tcW w:w="859" w:type="pct"/>
            <w:vAlign w:val="center"/>
          </w:tcPr>
          <w:p>
            <w:pPr>
              <w:pStyle w:val="33"/>
            </w:pPr>
            <w:r>
              <w:rPr>
                <w:rFonts w:hint="eastAsia"/>
              </w:rPr>
              <w:t>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9" w:type="pct"/>
            <w:vAlign w:val="center"/>
          </w:tcPr>
          <w:p>
            <w:pPr>
              <w:pStyle w:val="33"/>
            </w:pPr>
            <w:r>
              <w:rPr>
                <w:rFonts w:hint="eastAsia"/>
              </w:rPr>
              <w:t>7</w:t>
            </w:r>
          </w:p>
        </w:tc>
        <w:tc>
          <w:tcPr>
            <w:tcW w:w="1204" w:type="pct"/>
            <w:gridSpan w:val="2"/>
          </w:tcPr>
          <w:p>
            <w:pPr>
              <w:pStyle w:val="33"/>
            </w:pPr>
            <w:r>
              <w:rPr>
                <w:rFonts w:hint="eastAsia"/>
              </w:rPr>
              <w:t>精炼剂含铝</w:t>
            </w:r>
          </w:p>
        </w:tc>
        <w:tc>
          <w:tcPr>
            <w:tcW w:w="842" w:type="pct"/>
            <w:vAlign w:val="center"/>
          </w:tcPr>
          <w:p>
            <w:pPr>
              <w:pStyle w:val="33"/>
            </w:pPr>
            <w:r>
              <w:rPr>
                <w:rFonts w:hint="eastAsia"/>
              </w:rPr>
              <w:t>0.23</w:t>
            </w:r>
          </w:p>
        </w:tc>
        <w:tc>
          <w:tcPr>
            <w:tcW w:w="470" w:type="pct"/>
            <w:vAlign w:val="center"/>
          </w:tcPr>
          <w:p>
            <w:pPr>
              <w:pStyle w:val="33"/>
            </w:pPr>
          </w:p>
        </w:tc>
        <w:tc>
          <w:tcPr>
            <w:tcW w:w="1283" w:type="pct"/>
            <w:vAlign w:val="center"/>
          </w:tcPr>
          <w:p>
            <w:pPr>
              <w:pStyle w:val="33"/>
            </w:pPr>
            <w:r>
              <w:rPr>
                <w:rFonts w:hint="eastAsia"/>
              </w:rPr>
              <w:t>熔保炉收集尘含铝</w:t>
            </w:r>
          </w:p>
        </w:tc>
        <w:tc>
          <w:tcPr>
            <w:tcW w:w="859" w:type="pct"/>
            <w:vAlign w:val="center"/>
          </w:tcPr>
          <w:p>
            <w:pPr>
              <w:pStyle w:val="33"/>
            </w:pPr>
            <w:r>
              <w:rPr>
                <w:rFonts w:hint="eastAsia"/>
              </w:rPr>
              <w:t>254.68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8</w:t>
            </w:r>
          </w:p>
        </w:tc>
        <w:tc>
          <w:tcPr>
            <w:tcW w:w="247" w:type="pct"/>
            <w:vMerge w:val="restart"/>
          </w:tcPr>
          <w:p>
            <w:pPr>
              <w:pStyle w:val="33"/>
            </w:pPr>
            <w:r>
              <w:rPr>
                <w:rFonts w:hint="eastAsia"/>
              </w:rPr>
              <w:t>中间合金</w:t>
            </w:r>
          </w:p>
        </w:tc>
        <w:tc>
          <w:tcPr>
            <w:tcW w:w="957" w:type="pct"/>
          </w:tcPr>
          <w:p>
            <w:pPr>
              <w:pStyle w:val="33"/>
            </w:pPr>
            <w:r>
              <w:rPr>
                <w:rFonts w:hint="eastAsia"/>
              </w:rPr>
              <w:t>铝锰合金含铝</w:t>
            </w:r>
          </w:p>
        </w:tc>
        <w:tc>
          <w:tcPr>
            <w:tcW w:w="842" w:type="pct"/>
            <w:vAlign w:val="center"/>
          </w:tcPr>
          <w:p>
            <w:pPr>
              <w:pStyle w:val="33"/>
            </w:pPr>
            <w:r>
              <w:rPr>
                <w:rFonts w:hint="eastAsia"/>
              </w:rPr>
              <w:t>0.279</w:t>
            </w:r>
          </w:p>
        </w:tc>
        <w:tc>
          <w:tcPr>
            <w:tcW w:w="470" w:type="pct"/>
            <w:vAlign w:val="center"/>
          </w:tcPr>
          <w:p>
            <w:pPr>
              <w:pStyle w:val="33"/>
            </w:pPr>
          </w:p>
        </w:tc>
        <w:tc>
          <w:tcPr>
            <w:tcW w:w="1283" w:type="pct"/>
            <w:vAlign w:val="center"/>
          </w:tcPr>
          <w:p>
            <w:pPr>
              <w:pStyle w:val="33"/>
            </w:pPr>
            <w:r>
              <w:rPr>
                <w:rFonts w:hint="eastAsia"/>
              </w:rPr>
              <w:t>废过滤板带走铝</w:t>
            </w:r>
          </w:p>
        </w:tc>
        <w:tc>
          <w:tcPr>
            <w:tcW w:w="859" w:type="pct"/>
            <w:vAlign w:val="center"/>
          </w:tcPr>
          <w:p>
            <w:pPr>
              <w:pStyle w:val="33"/>
            </w:pPr>
            <w:r>
              <w:rPr>
                <w:rFonts w:hint="eastAsia"/>
              </w:rPr>
              <w:t>1.425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9</w:t>
            </w:r>
          </w:p>
        </w:tc>
        <w:tc>
          <w:tcPr>
            <w:tcW w:w="247" w:type="pct"/>
            <w:vMerge w:val="continue"/>
            <w:vAlign w:val="center"/>
          </w:tcPr>
          <w:p>
            <w:pPr>
              <w:pStyle w:val="33"/>
            </w:pPr>
          </w:p>
        </w:tc>
        <w:tc>
          <w:tcPr>
            <w:tcW w:w="957" w:type="pct"/>
          </w:tcPr>
          <w:p>
            <w:pPr>
              <w:pStyle w:val="33"/>
            </w:pPr>
            <w:r>
              <w:rPr>
                <w:rFonts w:hint="eastAsia"/>
              </w:rPr>
              <w:t>铝钛合金含铝</w:t>
            </w:r>
          </w:p>
        </w:tc>
        <w:tc>
          <w:tcPr>
            <w:tcW w:w="842" w:type="pct"/>
            <w:vAlign w:val="center"/>
          </w:tcPr>
          <w:p>
            <w:pPr>
              <w:pStyle w:val="33"/>
            </w:pPr>
            <w:r>
              <w:rPr>
                <w:rFonts w:hint="eastAsia"/>
              </w:rPr>
              <w:t>7.88</w:t>
            </w:r>
          </w:p>
        </w:tc>
        <w:tc>
          <w:tcPr>
            <w:tcW w:w="470"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10</w:t>
            </w:r>
          </w:p>
        </w:tc>
        <w:tc>
          <w:tcPr>
            <w:tcW w:w="247" w:type="pct"/>
            <w:vMerge w:val="continue"/>
          </w:tcPr>
          <w:p>
            <w:pPr>
              <w:pStyle w:val="33"/>
            </w:pPr>
          </w:p>
        </w:tc>
        <w:tc>
          <w:tcPr>
            <w:tcW w:w="957" w:type="pct"/>
          </w:tcPr>
          <w:p>
            <w:pPr>
              <w:pStyle w:val="33"/>
            </w:pPr>
            <w:r>
              <w:rPr>
                <w:rFonts w:hint="eastAsia"/>
              </w:rPr>
              <w:t>铝铁合金含铝</w:t>
            </w:r>
          </w:p>
        </w:tc>
        <w:tc>
          <w:tcPr>
            <w:tcW w:w="842" w:type="pct"/>
            <w:vAlign w:val="center"/>
          </w:tcPr>
          <w:p>
            <w:pPr>
              <w:pStyle w:val="33"/>
            </w:pPr>
            <w:r>
              <w:rPr>
                <w:rFonts w:hint="eastAsia"/>
              </w:rPr>
              <w:t>0.78</w:t>
            </w:r>
          </w:p>
        </w:tc>
        <w:tc>
          <w:tcPr>
            <w:tcW w:w="470"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r>
              <w:rPr>
                <w:rFonts w:hint="eastAsia"/>
              </w:rPr>
              <w:t>11</w:t>
            </w:r>
          </w:p>
        </w:tc>
        <w:tc>
          <w:tcPr>
            <w:tcW w:w="247" w:type="pct"/>
            <w:vMerge w:val="continue"/>
          </w:tcPr>
          <w:p>
            <w:pPr>
              <w:pStyle w:val="33"/>
            </w:pPr>
          </w:p>
        </w:tc>
        <w:tc>
          <w:tcPr>
            <w:tcW w:w="957" w:type="pct"/>
          </w:tcPr>
          <w:p>
            <w:pPr>
              <w:pStyle w:val="33"/>
            </w:pPr>
            <w:r>
              <w:rPr>
                <w:rFonts w:hint="eastAsia"/>
              </w:rPr>
              <w:t>铝硅合金含铝</w:t>
            </w:r>
          </w:p>
        </w:tc>
        <w:tc>
          <w:tcPr>
            <w:tcW w:w="842" w:type="pct"/>
            <w:vAlign w:val="center"/>
          </w:tcPr>
          <w:p>
            <w:pPr>
              <w:pStyle w:val="33"/>
            </w:pPr>
            <w:r>
              <w:rPr>
                <w:rFonts w:hint="eastAsia"/>
              </w:rPr>
              <w:t>0.1936</w:t>
            </w:r>
          </w:p>
        </w:tc>
        <w:tc>
          <w:tcPr>
            <w:tcW w:w="470" w:type="pct"/>
            <w:vAlign w:val="center"/>
          </w:tcPr>
          <w:p>
            <w:pPr>
              <w:pStyle w:val="33"/>
            </w:pPr>
          </w:p>
        </w:tc>
        <w:tc>
          <w:tcPr>
            <w:tcW w:w="1283" w:type="pct"/>
            <w:vAlign w:val="center"/>
          </w:tcPr>
          <w:p>
            <w:pPr>
              <w:pStyle w:val="33"/>
            </w:pPr>
          </w:p>
        </w:tc>
        <w:tc>
          <w:tcPr>
            <w:tcW w:w="859" w:type="pct"/>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Align w:val="center"/>
          </w:tcPr>
          <w:p>
            <w:pPr>
              <w:pStyle w:val="33"/>
            </w:pPr>
          </w:p>
        </w:tc>
        <w:tc>
          <w:tcPr>
            <w:tcW w:w="1204" w:type="pct"/>
            <w:gridSpan w:val="2"/>
            <w:vAlign w:val="center"/>
          </w:tcPr>
          <w:p>
            <w:pPr>
              <w:pStyle w:val="33"/>
            </w:pPr>
            <w:r>
              <w:rPr>
                <w:rFonts w:hint="eastAsia"/>
              </w:rPr>
              <w:t>合计</w:t>
            </w:r>
          </w:p>
        </w:tc>
        <w:tc>
          <w:tcPr>
            <w:tcW w:w="842" w:type="pct"/>
            <w:vAlign w:val="center"/>
          </w:tcPr>
          <w:p>
            <w:pPr>
              <w:pStyle w:val="33"/>
            </w:pPr>
            <w:r>
              <w:rPr>
                <w:rFonts w:hint="eastAsia"/>
              </w:rPr>
              <w:t>60249.7929</w:t>
            </w:r>
          </w:p>
        </w:tc>
        <w:tc>
          <w:tcPr>
            <w:tcW w:w="470" w:type="pct"/>
            <w:vAlign w:val="center"/>
          </w:tcPr>
          <w:p>
            <w:pPr>
              <w:pStyle w:val="33"/>
            </w:pPr>
          </w:p>
        </w:tc>
        <w:tc>
          <w:tcPr>
            <w:tcW w:w="1283" w:type="pct"/>
            <w:vAlign w:val="center"/>
          </w:tcPr>
          <w:p>
            <w:pPr>
              <w:pStyle w:val="33"/>
            </w:pPr>
            <w:r>
              <w:rPr>
                <w:rFonts w:hint="eastAsia"/>
              </w:rPr>
              <w:t>合计</w:t>
            </w:r>
          </w:p>
        </w:tc>
        <w:tc>
          <w:tcPr>
            <w:tcW w:w="859" w:type="pct"/>
            <w:vAlign w:val="center"/>
          </w:tcPr>
          <w:p>
            <w:pPr>
              <w:pStyle w:val="33"/>
            </w:pPr>
            <w:r>
              <w:rPr>
                <w:rFonts w:hint="eastAsia"/>
              </w:rPr>
              <w:t>60249.7929</w:t>
            </w:r>
          </w:p>
        </w:tc>
      </w:tr>
    </w:tbl>
    <w:p>
      <w:pPr>
        <w:pStyle w:val="7"/>
        <w:ind w:firstLine="480"/>
      </w:pPr>
      <w:r>
        <w:rPr>
          <w:rFonts w:hint="eastAsia"/>
        </w:rPr>
        <w:t>二期工程</w:t>
      </w:r>
      <w:r>
        <w:t>铝元素平衡图见图</w:t>
      </w:r>
      <w:r>
        <w:rPr>
          <w:rFonts w:hint="eastAsia"/>
          <w:lang w:val="en-US" w:eastAsia="zh-CN"/>
        </w:rPr>
        <w:t>4.3-6</w:t>
      </w:r>
      <w:r>
        <w:t>：</w:t>
      </w:r>
    </w:p>
    <w:p>
      <w:pPr>
        <w:pStyle w:val="2"/>
        <w:ind w:left="0" w:leftChars="0" w:firstLine="0" w:firstLineChars="0"/>
      </w:pPr>
      <w:r>
        <w:object>
          <v:shape id="_x0000_i1036" o:spt="75" type="#_x0000_t75" style="height:203.9pt;width:411.85pt;" o:ole="t" filled="f" o:preferrelative="t" stroked="f" coordsize="21600,21600">
            <v:path/>
            <v:fill on="f" focussize="0,0"/>
            <v:stroke on="f" joinstyle="miter"/>
            <v:imagedata r:id="rId40" cropright="5379f" cropbottom="1433f" o:title=""/>
            <o:lock v:ext="edit" aspectratio="t"/>
            <w10:wrap type="none"/>
            <w10:anchorlock/>
          </v:shape>
          <o:OLEObject Type="Embed" ProgID="Visio.Drawing.15" ShapeID="_x0000_i1036" DrawAspect="Content" ObjectID="_1468075736" r:id="rId39">
            <o:LockedField>false</o:LockedField>
          </o:OLEObject>
        </w:object>
      </w:r>
    </w:p>
    <w:p>
      <w:pPr>
        <w:pStyle w:val="44"/>
      </w:pPr>
      <w:r>
        <w:rPr>
          <w:rFonts w:hint="eastAsia"/>
        </w:rPr>
        <w:t>图4.3-</w:t>
      </w:r>
      <w:r>
        <w:rPr>
          <w:rFonts w:hint="eastAsia"/>
          <w:lang w:val="en-US" w:eastAsia="zh-CN"/>
        </w:rPr>
        <w:t>6</w:t>
      </w:r>
      <w:r>
        <w:rPr>
          <w:rFonts w:hint="eastAsia"/>
        </w:rPr>
        <w:t xml:space="preserve">  二期工程</w:t>
      </w:r>
      <w:r>
        <w:t>铝元素平衡图（单位：t/a）</w:t>
      </w:r>
    </w:p>
    <w:p>
      <w:pPr>
        <w:pStyle w:val="7"/>
        <w:ind w:firstLine="482"/>
        <w:rPr>
          <w:b/>
          <w:bCs/>
        </w:rPr>
      </w:pPr>
      <w:r>
        <w:rPr>
          <w:b/>
          <w:bCs/>
        </w:rPr>
        <w:t>2、氟元素平衡</w:t>
      </w:r>
    </w:p>
    <w:p>
      <w:pPr>
        <w:pStyle w:val="7"/>
        <w:ind w:firstLine="480"/>
      </w:pPr>
      <w:r>
        <w:rPr>
          <w:rFonts w:hint="eastAsia"/>
        </w:rPr>
        <w:t>二期工程产生的氟化物来自于精炼过程中，项目使用的精炼剂中主要含氟成分为冰晶石（</w:t>
      </w:r>
      <w:r>
        <w:t>Na</w:t>
      </w:r>
      <w:r>
        <w:rPr>
          <w:vertAlign w:val="subscript"/>
        </w:rPr>
        <w:t>3</w:t>
      </w:r>
      <w:r>
        <w:t>AlF</w:t>
      </w:r>
      <w:r>
        <w:rPr>
          <w:vertAlign w:val="subscript"/>
        </w:rPr>
        <w:t>6</w:t>
      </w:r>
      <w:r>
        <w:rPr>
          <w:rFonts w:hint="eastAsia"/>
        </w:rPr>
        <w:t>）和氟硅酸钠（</w:t>
      </w:r>
      <w:r>
        <w:t>Na</w:t>
      </w:r>
      <w:r>
        <w:rPr>
          <w:vertAlign w:val="subscript"/>
        </w:rPr>
        <w:t>2</w:t>
      </w:r>
      <w:r>
        <w:t>SiF</w:t>
      </w:r>
      <w:r>
        <w:rPr>
          <w:vertAlign w:val="subscript"/>
        </w:rPr>
        <w:t>6</w:t>
      </w:r>
      <w:r>
        <w:rPr>
          <w:rFonts w:hint="eastAsia"/>
        </w:rPr>
        <w:t>），含量分别为30%、20%。冰晶石熔点为1000℃，大于铝，在熔炼过程中主要作为助溶剂。氟硅酸钠在300℃以上分解产生四氟化硅（</w:t>
      </w:r>
      <w:r>
        <w:t>SiF</w:t>
      </w:r>
      <w:r>
        <w:rPr>
          <w:rFonts w:hint="eastAsia"/>
          <w:vertAlign w:val="subscript"/>
        </w:rPr>
        <w:t>4</w:t>
      </w:r>
      <w:r>
        <w:rPr>
          <w:rFonts w:hint="eastAsia"/>
        </w:rPr>
        <w:t>）和氟化钠（</w:t>
      </w:r>
      <w:r>
        <w:t>NaF</w:t>
      </w:r>
      <w:r>
        <w:rPr>
          <w:rFonts w:hint="eastAsia"/>
        </w:rPr>
        <w:t>），反应方程式为：</w:t>
      </w:r>
    </w:p>
    <w:p>
      <w:pPr>
        <w:pStyle w:val="7"/>
        <w:ind w:firstLine="480"/>
        <w:rPr>
          <w:vertAlign w:val="subscript"/>
        </w:rPr>
      </w:pPr>
      <w:r>
        <w:t>Na</w:t>
      </w:r>
      <w:r>
        <w:rPr>
          <w:vertAlign w:val="subscript"/>
        </w:rPr>
        <w:t>2</w:t>
      </w:r>
      <w:r>
        <w:t>SiF</w:t>
      </w:r>
      <w:r>
        <w:rPr>
          <w:vertAlign w:val="subscript"/>
        </w:rPr>
        <w:t>6</w:t>
      </w:r>
      <w:r>
        <w:rPr>
          <w:rFonts w:hint="eastAsia"/>
        </w:rPr>
        <w:t xml:space="preserve">  </w:t>
      </w:r>
      <w:r>
        <w:rPr>
          <w:rFonts w:ascii="Arial" w:hAnsi="Arial" w:cs="Arial"/>
        </w:rPr>
        <w:t>→</w:t>
      </w:r>
      <w:r>
        <w:rPr>
          <w:rFonts w:hint="eastAsia" w:ascii="Arial" w:hAnsi="Arial" w:cs="Arial"/>
        </w:rPr>
        <w:t xml:space="preserve">  </w:t>
      </w:r>
      <w:r>
        <w:t>SiF</w:t>
      </w:r>
      <w:r>
        <w:rPr>
          <w:rFonts w:hint="eastAsia"/>
          <w:vertAlign w:val="subscript"/>
        </w:rPr>
        <w:t>4</w:t>
      </w:r>
      <w:r>
        <w:t xml:space="preserve"> </w:t>
      </w:r>
      <w:r>
        <w:rPr>
          <w:rFonts w:hint="eastAsia"/>
        </w:rPr>
        <w:t>+</w:t>
      </w:r>
      <w:r>
        <w:t xml:space="preserve"> NaF</w:t>
      </w:r>
      <w:r>
        <w:rPr>
          <w:vertAlign w:val="subscript"/>
        </w:rPr>
        <w:t xml:space="preserve">    </w:t>
      </w:r>
    </w:p>
    <w:p>
      <w:pPr>
        <w:pStyle w:val="7"/>
        <w:ind w:firstLine="480"/>
      </w:pPr>
      <w:r>
        <w:rPr>
          <w:rFonts w:hint="eastAsia"/>
        </w:rPr>
        <w:t>其中</w:t>
      </w:r>
      <w:r>
        <w:t>SiF</w:t>
      </w:r>
      <w:r>
        <w:rPr>
          <w:rFonts w:hint="eastAsia"/>
          <w:vertAlign w:val="subscript"/>
        </w:rPr>
        <w:t>4</w:t>
      </w:r>
      <w:r>
        <w:rPr>
          <w:rFonts w:hint="eastAsia"/>
        </w:rPr>
        <w:t>挥发成气体起到除气的作用，</w:t>
      </w:r>
      <w:r>
        <w:t>NaF</w:t>
      </w:r>
      <w:r>
        <w:rPr>
          <w:rFonts w:hint="eastAsia"/>
        </w:rPr>
        <w:t>具有弱变质的作用。另外氟硅酸钠还跟氧化铝发生反应，会产生氟化铝，反应方程式如下，同时所生成的</w:t>
      </w:r>
      <w:r>
        <w:t>SiO</w:t>
      </w:r>
      <w:r>
        <w:rPr>
          <w:rFonts w:hint="eastAsia"/>
          <w:vertAlign w:val="subscript"/>
        </w:rPr>
        <w:t>2</w:t>
      </w:r>
      <w:r>
        <w:rPr>
          <w:rFonts w:hint="eastAsia"/>
        </w:rPr>
        <w:t>结合成块状渣易除去。</w:t>
      </w:r>
    </w:p>
    <w:p>
      <w:pPr>
        <w:pStyle w:val="7"/>
        <w:ind w:firstLine="480"/>
      </w:pPr>
      <w:r>
        <w:rPr>
          <w:rFonts w:hint="eastAsia"/>
        </w:rPr>
        <w:t>3</w:t>
      </w:r>
      <w:r>
        <w:t>Na</w:t>
      </w:r>
      <w:r>
        <w:rPr>
          <w:vertAlign w:val="subscript"/>
        </w:rPr>
        <w:t>2</w:t>
      </w:r>
      <w:r>
        <w:t>SiF</w:t>
      </w:r>
      <w:r>
        <w:rPr>
          <w:vertAlign w:val="subscript"/>
        </w:rPr>
        <w:t>6</w:t>
      </w:r>
      <w:r>
        <w:t>+2Al</w:t>
      </w:r>
      <w:r>
        <w:rPr>
          <w:vertAlign w:val="subscript"/>
        </w:rPr>
        <w:t>2</w:t>
      </w:r>
      <w:r>
        <w:t>O</w:t>
      </w:r>
      <w:r>
        <w:rPr>
          <w:vertAlign w:val="subscript"/>
        </w:rPr>
        <w:t>3</w:t>
      </w:r>
      <w:r>
        <w:rPr>
          <w:rFonts w:hint="eastAsia"/>
        </w:rPr>
        <w:t xml:space="preserve"> ==</w:t>
      </w:r>
      <w:r>
        <w:t xml:space="preserve"> </w:t>
      </w:r>
      <w:r>
        <w:rPr>
          <w:rFonts w:hint="eastAsia"/>
        </w:rPr>
        <w:t>2</w:t>
      </w:r>
      <w:r>
        <w:t>Na</w:t>
      </w:r>
      <w:r>
        <w:rPr>
          <w:vertAlign w:val="subscript"/>
        </w:rPr>
        <w:t>3</w:t>
      </w:r>
      <w:r>
        <w:t>AlF</w:t>
      </w:r>
      <w:r>
        <w:rPr>
          <w:vertAlign w:val="subscript"/>
        </w:rPr>
        <w:t>6</w:t>
      </w:r>
      <w:r>
        <w:rPr>
          <w:rFonts w:hint="eastAsia"/>
        </w:rPr>
        <w:t>+3</w:t>
      </w:r>
      <w:r>
        <w:t>SiO</w:t>
      </w:r>
      <w:r>
        <w:rPr>
          <w:rFonts w:hint="eastAsia"/>
          <w:vertAlign w:val="subscript"/>
        </w:rPr>
        <w:t>2</w:t>
      </w:r>
      <w:r>
        <w:rPr>
          <w:vertAlign w:val="subscript"/>
        </w:rPr>
        <w:t xml:space="preserve"> </w:t>
      </w:r>
      <w:r>
        <w:rPr>
          <w:rFonts w:hint="eastAsia"/>
        </w:rPr>
        <w:t>+2</w:t>
      </w:r>
      <w:r>
        <w:t>AlF</w:t>
      </w:r>
      <w:r>
        <w:rPr>
          <w:vertAlign w:val="subscript"/>
        </w:rPr>
        <w:t>3</w:t>
      </w:r>
    </w:p>
    <w:p>
      <w:pPr>
        <w:spacing w:line="360" w:lineRule="auto"/>
        <w:ind w:firstLine="480"/>
      </w:pPr>
      <w:r>
        <w:rPr>
          <w:rFonts w:hint="eastAsia"/>
        </w:rPr>
        <w:t>根据建设单位提供资料，氟元素大部分以块状残渣由扒渣工艺扒出，1</w:t>
      </w:r>
      <w:r>
        <w:t>2.5%</w:t>
      </w:r>
      <w:r>
        <w:rPr>
          <w:rFonts w:hint="eastAsia"/>
        </w:rPr>
        <w:t>的氟元素以冰晶石、氟化钠、氟化铝等尘氟的形式扩散，0</w:t>
      </w:r>
      <w:r>
        <w:t>.5%</w:t>
      </w:r>
      <w:r>
        <w:rPr>
          <w:rFonts w:hint="eastAsia"/>
        </w:rPr>
        <w:t>的因四氟化硅分解以气态氟的形式扩散。扩散出的氟化物由炉内密闭的排气管道排出，经过石灰粉+布袋除尘器处理后排入大气中。氟元素平衡表见表4.3-7，氟</w:t>
      </w:r>
      <w:r>
        <w:t>元素平衡图见图</w:t>
      </w:r>
      <w:r>
        <w:rPr>
          <w:rFonts w:hint="eastAsia"/>
        </w:rPr>
        <w:t>4.3-</w:t>
      </w:r>
      <w:r>
        <w:rPr>
          <w:rFonts w:hint="eastAsia"/>
          <w:lang w:val="en-US" w:eastAsia="zh-CN"/>
        </w:rPr>
        <w:t>7</w:t>
      </w:r>
      <w:r>
        <w:rPr>
          <w:rFonts w:hint="eastAsia"/>
        </w:rPr>
        <w:t>。</w:t>
      </w:r>
    </w:p>
    <w:p>
      <w:pPr>
        <w:pStyle w:val="31"/>
      </w:pPr>
      <w:r>
        <w:t>表</w:t>
      </w:r>
      <w:r>
        <w:rPr>
          <w:rFonts w:hint="eastAsia"/>
        </w:rPr>
        <w:t>4.3-7</w:t>
      </w:r>
      <w:r>
        <w:t xml:space="preserve"> </w:t>
      </w:r>
      <w:r>
        <w:rPr>
          <w:rFonts w:hint="eastAsia"/>
        </w:rPr>
        <w:t xml:space="preserve"> 氟</w:t>
      </w:r>
      <w:r>
        <w:t>元素平衡表</w:t>
      </w:r>
    </w:p>
    <w:tbl>
      <w:tblPr>
        <w:tblStyle w:val="27"/>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1916"/>
        <w:gridCol w:w="1134"/>
        <w:gridCol w:w="567"/>
        <w:gridCol w:w="1843"/>
        <w:gridCol w:w="1134"/>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29" w:type="dxa"/>
            <w:gridSpan w:val="3"/>
            <w:tcMar>
              <w:left w:w="28" w:type="dxa"/>
              <w:right w:w="28" w:type="dxa"/>
            </w:tcMar>
            <w:vAlign w:val="center"/>
          </w:tcPr>
          <w:p>
            <w:pPr>
              <w:pStyle w:val="32"/>
            </w:pPr>
            <w:r>
              <w:rPr>
                <w:rFonts w:hint="eastAsia"/>
              </w:rPr>
              <w:t>投入物料（t/a）</w:t>
            </w:r>
          </w:p>
        </w:tc>
        <w:tc>
          <w:tcPr>
            <w:tcW w:w="4833" w:type="dxa"/>
            <w:gridSpan w:val="4"/>
            <w:tcMar>
              <w:left w:w="28" w:type="dxa"/>
              <w:right w:w="28" w:type="dxa"/>
            </w:tcMar>
            <w:vAlign w:val="center"/>
          </w:tcPr>
          <w:p>
            <w:pPr>
              <w:pStyle w:val="32"/>
            </w:pPr>
            <w:r>
              <w:rPr>
                <w:rFonts w:hint="eastAsia"/>
              </w:rPr>
              <w:t>产出物料（t/a）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p>
        </w:tc>
        <w:tc>
          <w:tcPr>
            <w:tcW w:w="1916" w:type="dxa"/>
            <w:tcMar>
              <w:left w:w="28" w:type="dxa"/>
              <w:right w:w="28" w:type="dxa"/>
            </w:tcMar>
            <w:vAlign w:val="center"/>
          </w:tcPr>
          <w:p>
            <w:pPr>
              <w:pStyle w:val="32"/>
            </w:pPr>
            <w:r>
              <w:rPr>
                <w:rFonts w:hint="eastAsia"/>
              </w:rPr>
              <w:t>物料</w:t>
            </w:r>
          </w:p>
        </w:tc>
        <w:tc>
          <w:tcPr>
            <w:tcW w:w="1134" w:type="dxa"/>
            <w:tcMar>
              <w:left w:w="28" w:type="dxa"/>
              <w:right w:w="28" w:type="dxa"/>
            </w:tcMar>
            <w:vAlign w:val="center"/>
          </w:tcPr>
          <w:p>
            <w:pPr>
              <w:pStyle w:val="32"/>
            </w:pPr>
            <w:r>
              <w:rPr>
                <w:rFonts w:hint="eastAsia"/>
              </w:rPr>
              <w:t>氟元素量</w:t>
            </w:r>
          </w:p>
        </w:tc>
        <w:tc>
          <w:tcPr>
            <w:tcW w:w="567" w:type="dxa"/>
            <w:tcMar>
              <w:left w:w="28" w:type="dxa"/>
              <w:right w:w="28" w:type="dxa"/>
            </w:tcMar>
            <w:vAlign w:val="center"/>
          </w:tcPr>
          <w:p>
            <w:pPr>
              <w:pStyle w:val="32"/>
            </w:pPr>
          </w:p>
        </w:tc>
        <w:tc>
          <w:tcPr>
            <w:tcW w:w="1843" w:type="dxa"/>
            <w:tcMar>
              <w:left w:w="28" w:type="dxa"/>
              <w:right w:w="28" w:type="dxa"/>
            </w:tcMar>
            <w:vAlign w:val="center"/>
          </w:tcPr>
          <w:p>
            <w:pPr>
              <w:pStyle w:val="32"/>
            </w:pPr>
            <w:r>
              <w:rPr>
                <w:rFonts w:hint="eastAsia"/>
              </w:rPr>
              <w:t>物料</w:t>
            </w:r>
          </w:p>
        </w:tc>
        <w:tc>
          <w:tcPr>
            <w:tcW w:w="1134" w:type="dxa"/>
            <w:vAlign w:val="center"/>
          </w:tcPr>
          <w:p>
            <w:pPr>
              <w:pStyle w:val="32"/>
            </w:pPr>
            <w:r>
              <w:rPr>
                <w:rFonts w:hint="eastAsia"/>
              </w:rPr>
              <w:t>氟化物量</w:t>
            </w:r>
          </w:p>
        </w:tc>
        <w:tc>
          <w:tcPr>
            <w:tcW w:w="1289" w:type="dxa"/>
            <w:tcMar>
              <w:left w:w="28" w:type="dxa"/>
              <w:right w:w="28" w:type="dxa"/>
            </w:tcMar>
            <w:vAlign w:val="center"/>
          </w:tcPr>
          <w:p>
            <w:pPr>
              <w:pStyle w:val="32"/>
            </w:pPr>
            <w:r>
              <w:rPr>
                <w:rFonts w:hint="eastAsia"/>
              </w:rPr>
              <w:t>含氟元素量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r>
              <w:rPr>
                <w:rFonts w:hint="eastAsia"/>
              </w:rPr>
              <w:t>1</w:t>
            </w:r>
          </w:p>
        </w:tc>
        <w:tc>
          <w:tcPr>
            <w:tcW w:w="1916" w:type="dxa"/>
            <w:tcMar>
              <w:left w:w="28" w:type="dxa"/>
              <w:right w:w="28" w:type="dxa"/>
            </w:tcMar>
            <w:vAlign w:val="center"/>
          </w:tcPr>
          <w:p>
            <w:pPr>
              <w:pStyle w:val="32"/>
            </w:pPr>
            <w:r>
              <w:rPr>
                <w:rFonts w:hint="eastAsia"/>
              </w:rPr>
              <w:t>精炼剂中含氟</w:t>
            </w:r>
          </w:p>
        </w:tc>
        <w:tc>
          <w:tcPr>
            <w:tcW w:w="1134" w:type="dxa"/>
            <w:tcMar>
              <w:left w:w="28" w:type="dxa"/>
              <w:right w:w="28" w:type="dxa"/>
            </w:tcMar>
            <w:vAlign w:val="center"/>
          </w:tcPr>
          <w:p>
            <w:pPr>
              <w:pStyle w:val="32"/>
            </w:pPr>
            <w:r>
              <w:rPr>
                <w:rFonts w:hint="eastAsia"/>
              </w:rPr>
              <w:t>1.7048</w:t>
            </w:r>
          </w:p>
        </w:tc>
        <w:tc>
          <w:tcPr>
            <w:tcW w:w="567" w:type="dxa"/>
            <w:tcMar>
              <w:left w:w="28" w:type="dxa"/>
              <w:right w:w="28" w:type="dxa"/>
            </w:tcMar>
            <w:vAlign w:val="center"/>
          </w:tcPr>
          <w:p>
            <w:pPr>
              <w:pStyle w:val="32"/>
            </w:pPr>
            <w:r>
              <w:rPr>
                <w:rFonts w:hint="eastAsia"/>
              </w:rPr>
              <w:t>1</w:t>
            </w:r>
          </w:p>
        </w:tc>
        <w:tc>
          <w:tcPr>
            <w:tcW w:w="1843" w:type="dxa"/>
            <w:tcMar>
              <w:left w:w="28" w:type="dxa"/>
              <w:right w:w="28" w:type="dxa"/>
            </w:tcMar>
            <w:vAlign w:val="center"/>
          </w:tcPr>
          <w:p>
            <w:pPr>
              <w:pStyle w:val="32"/>
            </w:pPr>
            <w:r>
              <w:rPr>
                <w:rFonts w:hint="eastAsia"/>
              </w:rPr>
              <w:t>铝灰中氟化物</w:t>
            </w:r>
          </w:p>
        </w:tc>
        <w:tc>
          <w:tcPr>
            <w:tcW w:w="1134" w:type="dxa"/>
            <w:vAlign w:val="center"/>
          </w:tcPr>
          <w:p>
            <w:pPr>
              <w:pStyle w:val="32"/>
            </w:pPr>
            <w:r>
              <w:rPr>
                <w:rFonts w:hint="eastAsia"/>
              </w:rPr>
              <w:t>2.64</w:t>
            </w:r>
          </w:p>
        </w:tc>
        <w:tc>
          <w:tcPr>
            <w:tcW w:w="1289" w:type="dxa"/>
            <w:tcMar>
              <w:left w:w="28" w:type="dxa"/>
              <w:right w:w="28" w:type="dxa"/>
            </w:tcMar>
            <w:vAlign w:val="center"/>
          </w:tcPr>
          <w:p>
            <w:pPr>
              <w:pStyle w:val="32"/>
            </w:pPr>
            <w:r>
              <w:rPr>
                <w:rFonts w:hint="eastAsia"/>
              </w:rPr>
              <w:t>1.4832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p>
        </w:tc>
        <w:tc>
          <w:tcPr>
            <w:tcW w:w="1916" w:type="dxa"/>
            <w:tcMar>
              <w:left w:w="28" w:type="dxa"/>
              <w:right w:w="28" w:type="dxa"/>
            </w:tcMar>
            <w:vAlign w:val="center"/>
          </w:tcPr>
          <w:p>
            <w:pPr>
              <w:pStyle w:val="32"/>
            </w:pPr>
          </w:p>
        </w:tc>
        <w:tc>
          <w:tcPr>
            <w:tcW w:w="1134" w:type="dxa"/>
            <w:tcMar>
              <w:left w:w="28" w:type="dxa"/>
              <w:right w:w="28" w:type="dxa"/>
            </w:tcMar>
            <w:vAlign w:val="center"/>
          </w:tcPr>
          <w:p>
            <w:pPr>
              <w:pStyle w:val="32"/>
            </w:pPr>
          </w:p>
        </w:tc>
        <w:tc>
          <w:tcPr>
            <w:tcW w:w="567" w:type="dxa"/>
            <w:tcMar>
              <w:left w:w="28" w:type="dxa"/>
              <w:right w:w="28" w:type="dxa"/>
            </w:tcMar>
            <w:vAlign w:val="center"/>
          </w:tcPr>
          <w:p>
            <w:pPr>
              <w:pStyle w:val="32"/>
            </w:pPr>
            <w:r>
              <w:rPr>
                <w:rFonts w:hint="eastAsia"/>
              </w:rPr>
              <w:t>2</w:t>
            </w:r>
          </w:p>
        </w:tc>
        <w:tc>
          <w:tcPr>
            <w:tcW w:w="1843" w:type="dxa"/>
            <w:tcMar>
              <w:left w:w="28" w:type="dxa"/>
              <w:right w:w="28" w:type="dxa"/>
            </w:tcMar>
            <w:vAlign w:val="center"/>
          </w:tcPr>
          <w:p>
            <w:pPr>
              <w:pStyle w:val="32"/>
            </w:pPr>
            <w:r>
              <w:rPr>
                <w:rFonts w:hint="eastAsia"/>
              </w:rPr>
              <w:t>排放烟尘中氟化物</w:t>
            </w:r>
          </w:p>
        </w:tc>
        <w:tc>
          <w:tcPr>
            <w:tcW w:w="1134" w:type="dxa"/>
            <w:vAlign w:val="center"/>
          </w:tcPr>
          <w:p>
            <w:pPr>
              <w:pStyle w:val="32"/>
            </w:pPr>
            <w:r>
              <w:rPr>
                <w:rFonts w:hint="eastAsia"/>
              </w:rPr>
              <w:t>0.0039</w:t>
            </w:r>
          </w:p>
        </w:tc>
        <w:tc>
          <w:tcPr>
            <w:tcW w:w="1289" w:type="dxa"/>
            <w:tcMar>
              <w:left w:w="28" w:type="dxa"/>
              <w:right w:w="28" w:type="dxa"/>
            </w:tcMar>
            <w:vAlign w:val="center"/>
          </w:tcPr>
          <w:p>
            <w:pPr>
              <w:pStyle w:val="32"/>
            </w:pPr>
            <w:r>
              <w:rPr>
                <w:rFonts w:hint="eastAsia"/>
              </w:rPr>
              <w:t>0.0022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9" w:type="dxa"/>
            <w:tcMar>
              <w:left w:w="28" w:type="dxa"/>
              <w:right w:w="28" w:type="dxa"/>
            </w:tcMar>
            <w:vAlign w:val="center"/>
          </w:tcPr>
          <w:p>
            <w:pPr>
              <w:pStyle w:val="32"/>
            </w:pPr>
          </w:p>
        </w:tc>
        <w:tc>
          <w:tcPr>
            <w:tcW w:w="1916" w:type="dxa"/>
            <w:tcMar>
              <w:left w:w="28" w:type="dxa"/>
              <w:right w:w="28" w:type="dxa"/>
            </w:tcMar>
            <w:vAlign w:val="center"/>
          </w:tcPr>
          <w:p>
            <w:pPr>
              <w:pStyle w:val="32"/>
            </w:pPr>
          </w:p>
        </w:tc>
        <w:tc>
          <w:tcPr>
            <w:tcW w:w="1134" w:type="dxa"/>
            <w:tcMar>
              <w:left w:w="28" w:type="dxa"/>
              <w:right w:w="28" w:type="dxa"/>
            </w:tcMar>
            <w:vAlign w:val="center"/>
          </w:tcPr>
          <w:p>
            <w:pPr>
              <w:pStyle w:val="32"/>
            </w:pPr>
          </w:p>
        </w:tc>
        <w:tc>
          <w:tcPr>
            <w:tcW w:w="567" w:type="dxa"/>
            <w:tcMar>
              <w:left w:w="28" w:type="dxa"/>
              <w:right w:w="28" w:type="dxa"/>
            </w:tcMar>
            <w:vAlign w:val="center"/>
          </w:tcPr>
          <w:p>
            <w:pPr>
              <w:pStyle w:val="32"/>
            </w:pPr>
            <w:r>
              <w:rPr>
                <w:rFonts w:hint="eastAsia"/>
              </w:rPr>
              <w:t>3</w:t>
            </w:r>
          </w:p>
        </w:tc>
        <w:tc>
          <w:tcPr>
            <w:tcW w:w="1843" w:type="dxa"/>
            <w:tcMar>
              <w:left w:w="28" w:type="dxa"/>
              <w:right w:w="28" w:type="dxa"/>
            </w:tcMar>
            <w:vAlign w:val="center"/>
          </w:tcPr>
          <w:p>
            <w:pPr>
              <w:pStyle w:val="32"/>
            </w:pPr>
            <w:r>
              <w:rPr>
                <w:rFonts w:hint="eastAsia"/>
              </w:rPr>
              <w:t>收集尘中氟化物</w:t>
            </w:r>
          </w:p>
        </w:tc>
        <w:tc>
          <w:tcPr>
            <w:tcW w:w="1134" w:type="dxa"/>
            <w:vAlign w:val="center"/>
          </w:tcPr>
          <w:p>
            <w:pPr>
              <w:pStyle w:val="32"/>
            </w:pPr>
            <w:r>
              <w:rPr>
                <w:rFonts w:hint="eastAsia"/>
              </w:rPr>
              <w:t>0.39</w:t>
            </w:r>
          </w:p>
        </w:tc>
        <w:tc>
          <w:tcPr>
            <w:tcW w:w="1289" w:type="dxa"/>
            <w:tcMar>
              <w:left w:w="28" w:type="dxa"/>
              <w:right w:w="28" w:type="dxa"/>
            </w:tcMar>
            <w:vAlign w:val="center"/>
          </w:tcPr>
          <w:p>
            <w:pPr>
              <w:pStyle w:val="32"/>
            </w:pPr>
            <w:r>
              <w:rPr>
                <w:rFonts w:hint="eastAsia"/>
              </w:rPr>
              <w:t>0.2194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395" w:type="dxa"/>
            <w:gridSpan w:val="2"/>
            <w:tcMar>
              <w:left w:w="28" w:type="dxa"/>
              <w:right w:w="28" w:type="dxa"/>
            </w:tcMar>
            <w:vAlign w:val="center"/>
          </w:tcPr>
          <w:p>
            <w:pPr>
              <w:pStyle w:val="32"/>
            </w:pPr>
            <w:r>
              <w:rPr>
                <w:rFonts w:hint="eastAsia"/>
              </w:rPr>
              <w:t>合计</w:t>
            </w:r>
          </w:p>
        </w:tc>
        <w:tc>
          <w:tcPr>
            <w:tcW w:w="1134" w:type="dxa"/>
            <w:tcMar>
              <w:left w:w="28" w:type="dxa"/>
              <w:right w:w="28" w:type="dxa"/>
            </w:tcMar>
            <w:vAlign w:val="center"/>
          </w:tcPr>
          <w:p>
            <w:pPr>
              <w:pStyle w:val="32"/>
            </w:pPr>
            <w:r>
              <w:rPr>
                <w:rFonts w:hint="eastAsia"/>
              </w:rPr>
              <w:t>1.7048</w:t>
            </w:r>
          </w:p>
        </w:tc>
        <w:tc>
          <w:tcPr>
            <w:tcW w:w="3544" w:type="dxa"/>
            <w:gridSpan w:val="3"/>
            <w:tcMar>
              <w:left w:w="28" w:type="dxa"/>
              <w:right w:w="28" w:type="dxa"/>
            </w:tcMar>
            <w:vAlign w:val="center"/>
          </w:tcPr>
          <w:p>
            <w:pPr>
              <w:pStyle w:val="32"/>
            </w:pPr>
            <w:r>
              <w:rPr>
                <w:rFonts w:hint="eastAsia"/>
              </w:rPr>
              <w:t>合计</w:t>
            </w:r>
          </w:p>
        </w:tc>
        <w:tc>
          <w:tcPr>
            <w:tcW w:w="1289" w:type="dxa"/>
            <w:tcMar>
              <w:left w:w="28" w:type="dxa"/>
              <w:right w:w="28" w:type="dxa"/>
            </w:tcMar>
            <w:vAlign w:val="center"/>
          </w:tcPr>
          <w:p>
            <w:pPr>
              <w:pStyle w:val="32"/>
            </w:pPr>
            <w:r>
              <w:rPr>
                <w:rFonts w:hint="eastAsia"/>
              </w:rPr>
              <w:t>1.7048</w:t>
            </w:r>
          </w:p>
        </w:tc>
      </w:tr>
    </w:tbl>
    <w:p>
      <w:pPr>
        <w:pStyle w:val="2"/>
        <w:spacing w:line="360" w:lineRule="auto"/>
        <w:ind w:left="0" w:leftChars="0" w:firstLine="0" w:firstLineChars="0"/>
        <w:jc w:val="center"/>
      </w:pPr>
      <w:r>
        <w:object>
          <v:shape id="_x0000_i1037" o:spt="75" type="#_x0000_t75" style="height:209.65pt;width:361.15pt;" o:ole="t" filled="f" o:preferrelative="t" stroked="f" coordsize="21600,21600">
            <v:path/>
            <v:fill on="f" focussize="0,0"/>
            <v:stroke on="f" joinstyle="miter"/>
            <v:imagedata r:id="rId42" o:title=""/>
            <o:lock v:ext="edit" aspectratio="t"/>
            <w10:wrap type="none"/>
            <w10:anchorlock/>
          </v:shape>
          <o:OLEObject Type="Embed" ProgID="Visio.Drawing.15" ShapeID="_x0000_i1037" DrawAspect="Content" ObjectID="_1468075737" r:id="rId41">
            <o:LockedField>false</o:LockedField>
          </o:OLEObject>
        </w:object>
      </w:r>
    </w:p>
    <w:p>
      <w:pPr>
        <w:pStyle w:val="44"/>
      </w:pPr>
      <w:r>
        <w:rPr>
          <w:rFonts w:hint="eastAsia"/>
        </w:rPr>
        <w:t>图4.3-</w:t>
      </w:r>
      <w:r>
        <w:rPr>
          <w:rFonts w:hint="eastAsia"/>
          <w:lang w:val="en-US" w:eastAsia="zh-CN"/>
        </w:rPr>
        <w:t>7</w:t>
      </w:r>
      <w:r>
        <w:rPr>
          <w:rFonts w:hint="eastAsia"/>
        </w:rPr>
        <w:t xml:space="preserve">  二期工程氟</w:t>
      </w:r>
      <w:r>
        <w:t>元素</w:t>
      </w:r>
      <w:r>
        <w:rPr>
          <w:rFonts w:hint="eastAsia"/>
        </w:rPr>
        <w:t>平衡图（t</w:t>
      </w:r>
      <w:r>
        <w:t>/a</w:t>
      </w:r>
      <w:r>
        <w:rPr>
          <w:rFonts w:hint="eastAsia"/>
        </w:rPr>
        <w:t>）</w:t>
      </w:r>
    </w:p>
    <w:p>
      <w:pPr>
        <w:pStyle w:val="9"/>
      </w:pPr>
      <w:r>
        <w:rPr>
          <w:rFonts w:hint="eastAsia"/>
        </w:rPr>
        <w:t>4.3.2.3水平衡分析</w:t>
      </w:r>
    </w:p>
    <w:p>
      <w:pPr>
        <w:pStyle w:val="7"/>
        <w:ind w:firstLine="480"/>
      </w:pPr>
      <w:r>
        <w:rPr>
          <w:rFonts w:hint="eastAsia"/>
        </w:rPr>
        <w:t>本项目二期工程营运期用水主要为职工日常生活用水、生产用水及项目区绿化用水，其中项目生产用水主要包括循环冷却补充水。</w:t>
      </w:r>
    </w:p>
    <w:p>
      <w:pPr>
        <w:pStyle w:val="7"/>
        <w:ind w:firstLine="480"/>
      </w:pPr>
      <w:r>
        <w:rPr>
          <w:rFonts w:hint="eastAsia"/>
        </w:rPr>
        <w:t>（1）生活用水</w:t>
      </w:r>
    </w:p>
    <w:p>
      <w:pPr>
        <w:pStyle w:val="7"/>
        <w:ind w:firstLine="480"/>
      </w:pPr>
      <w:r>
        <w:t>项目</w:t>
      </w:r>
      <w:r>
        <w:rPr>
          <w:rFonts w:hint="eastAsia"/>
        </w:rPr>
        <w:t>二期工程</w:t>
      </w:r>
      <w:r>
        <w:t>职工</w:t>
      </w:r>
      <w:r>
        <w:rPr>
          <w:rFonts w:hint="eastAsia"/>
        </w:rPr>
        <w:t>50</w:t>
      </w:r>
      <w:r>
        <w:t>人，厂区生活用水主要为冲厕及盥洗用水、员工洗浴用水等，厂前区生活用水主要是食堂用水、倒班宿舍员工冲厕及盥洗、洗浴用水等生活用水。</w:t>
      </w:r>
    </w:p>
    <w:p>
      <w:pPr>
        <w:pStyle w:val="7"/>
        <w:ind w:firstLine="480"/>
        <w:rPr>
          <w:bCs/>
          <w:kern w:val="0"/>
        </w:rPr>
      </w:pPr>
      <w:r>
        <w:rPr>
          <w:kern w:val="0"/>
        </w:rPr>
        <w:t>厂区盥洗用水、洗浴用水等生活用水量</w:t>
      </w:r>
      <w:r>
        <w:rPr>
          <w:rFonts w:hint="eastAsia"/>
          <w:kern w:val="0"/>
        </w:rPr>
        <w:t>参照《云南省地方标准用水定额》（DB53/T168-2019），在项目内住宿员工用水量按100L/人·d计，则用水量为5m</w:t>
      </w:r>
      <w:r>
        <w:rPr>
          <w:rFonts w:hint="eastAsia"/>
          <w:kern w:val="0"/>
          <w:vertAlign w:val="superscript"/>
        </w:rPr>
        <w:t>3</w:t>
      </w:r>
      <w:r>
        <w:rPr>
          <w:rFonts w:hint="eastAsia"/>
          <w:kern w:val="0"/>
        </w:rPr>
        <w:t>/d，排水系数按0.8计，排水量4m</w:t>
      </w:r>
      <w:r>
        <w:rPr>
          <w:rFonts w:hint="eastAsia"/>
          <w:kern w:val="0"/>
          <w:vertAlign w:val="superscript"/>
        </w:rPr>
        <w:t>3</w:t>
      </w:r>
      <w:r>
        <w:rPr>
          <w:rFonts w:hint="eastAsia"/>
          <w:kern w:val="0"/>
        </w:rPr>
        <w:t>/d。餐饮用水参照《云南省地方标准用水定额》（DB53/T168-2019），按20L/人·d，则用水量为1m</w:t>
      </w:r>
      <w:r>
        <w:rPr>
          <w:rFonts w:hint="eastAsia"/>
          <w:kern w:val="0"/>
          <w:vertAlign w:val="superscript"/>
        </w:rPr>
        <w:t>3</w:t>
      </w:r>
      <w:r>
        <w:rPr>
          <w:rFonts w:hint="eastAsia"/>
          <w:kern w:val="0"/>
        </w:rPr>
        <w:t>/d，排水系数按0.8计，排水量为0.8m</w:t>
      </w:r>
      <w:r>
        <w:rPr>
          <w:rFonts w:hint="eastAsia"/>
          <w:kern w:val="0"/>
          <w:vertAlign w:val="superscript"/>
        </w:rPr>
        <w:t>3</w:t>
      </w:r>
      <w:r>
        <w:rPr>
          <w:rFonts w:hint="eastAsia"/>
          <w:kern w:val="0"/>
        </w:rPr>
        <w:t>/d。生活污水总产生量为4.8</w:t>
      </w:r>
      <w:r>
        <w:rPr>
          <w:kern w:val="0"/>
        </w:rPr>
        <w:t>m</w:t>
      </w:r>
      <w:r>
        <w:rPr>
          <w:kern w:val="0"/>
          <w:vertAlign w:val="superscript"/>
        </w:rPr>
        <w:t>3</w:t>
      </w:r>
      <w:r>
        <w:rPr>
          <w:kern w:val="0"/>
        </w:rPr>
        <w:t>/d</w:t>
      </w:r>
      <w:r>
        <w:rPr>
          <w:rFonts w:hint="eastAsia"/>
          <w:kern w:val="0"/>
        </w:rPr>
        <w:t>。</w:t>
      </w:r>
    </w:p>
    <w:p>
      <w:pPr>
        <w:pStyle w:val="7"/>
        <w:ind w:firstLine="480"/>
      </w:pPr>
      <w:r>
        <w:rPr>
          <w:rFonts w:hint="eastAsia"/>
        </w:rPr>
        <w:t>（2）生产用水</w:t>
      </w:r>
    </w:p>
    <w:p>
      <w:pPr>
        <w:pStyle w:val="7"/>
        <w:ind w:firstLine="480"/>
      </w:pPr>
      <w:r>
        <w:rPr>
          <w:rFonts w:hint="eastAsia"/>
        </w:rPr>
        <w:t>本项目铸轧板生产小时循环量为200m</w:t>
      </w:r>
      <w:r>
        <w:rPr>
          <w:rFonts w:hint="eastAsia"/>
          <w:vertAlign w:val="superscript"/>
        </w:rPr>
        <w:t>3</w:t>
      </w:r>
      <w:r>
        <w:rPr>
          <w:rFonts w:hint="eastAsia"/>
        </w:rPr>
        <w:t>/h，补充水量以循环水量的1.5%计，则小时补充水量为4.5m</w:t>
      </w:r>
      <w:r>
        <w:rPr>
          <w:rFonts w:hint="eastAsia"/>
          <w:vertAlign w:val="superscript"/>
        </w:rPr>
        <w:t>3</w:t>
      </w:r>
      <w:r>
        <w:rPr>
          <w:rFonts w:hint="eastAsia"/>
        </w:rPr>
        <w:t>/h，根据企业提供资料，日循环时间以6小时计，则日补充水量为18m</w:t>
      </w:r>
      <w:r>
        <w:rPr>
          <w:rFonts w:hint="eastAsia"/>
          <w:vertAlign w:val="superscript"/>
        </w:rPr>
        <w:t>3</w:t>
      </w:r>
      <w:r>
        <w:rPr>
          <w:rFonts w:hint="eastAsia"/>
        </w:rPr>
        <w:t>/d，年补充水量为5940m</w:t>
      </w:r>
      <w:r>
        <w:rPr>
          <w:rFonts w:hint="eastAsia"/>
          <w:vertAlign w:val="superscript"/>
        </w:rPr>
        <w:t>3</w:t>
      </w:r>
      <w:r>
        <w:rPr>
          <w:rFonts w:hint="eastAsia"/>
        </w:rPr>
        <w:t>/a，同时为保证循环冷却效果，项目循环冷却水需定期排放，根据企业提供资料，循环冷却系统每年排放一次废水，循环冷却系统定期排放水量250m</w:t>
      </w:r>
      <w:r>
        <w:rPr>
          <w:rFonts w:hint="eastAsia"/>
          <w:vertAlign w:val="superscript"/>
        </w:rPr>
        <w:t>3</w:t>
      </w:r>
      <w:r>
        <w:rPr>
          <w:rFonts w:hint="eastAsia"/>
        </w:rPr>
        <w:t>/a，因此循环冷却系统年补充水量6190m</w:t>
      </w:r>
      <w:r>
        <w:rPr>
          <w:rFonts w:hint="eastAsia"/>
          <w:vertAlign w:val="superscript"/>
        </w:rPr>
        <w:t>3</w:t>
      </w:r>
      <w:r>
        <w:rPr>
          <w:rFonts w:hint="eastAsia"/>
        </w:rPr>
        <w:t>/a。项目循环冷却系统定期排水通过市政污水管网进入砚山县第一污水处理站处理，不直接外排。</w:t>
      </w:r>
    </w:p>
    <w:p>
      <w:pPr>
        <w:pStyle w:val="7"/>
        <w:ind w:firstLine="480"/>
      </w:pPr>
      <w:r>
        <w:rPr>
          <w:rFonts w:hint="eastAsia"/>
        </w:rPr>
        <w:t>（3）项目区绿化及道路清扫用水</w:t>
      </w:r>
    </w:p>
    <w:p>
      <w:pPr>
        <w:pStyle w:val="7"/>
        <w:ind w:firstLine="480"/>
      </w:pPr>
      <w:r>
        <w:rPr>
          <w:rFonts w:hint="eastAsia"/>
        </w:rPr>
        <w:t>二期工程厂区绿化面积为900m</w:t>
      </w:r>
      <w:r>
        <w:rPr>
          <w:rFonts w:hint="eastAsia"/>
          <w:vertAlign w:val="superscript"/>
        </w:rPr>
        <w:t>2</w:t>
      </w:r>
      <w:r>
        <w:rPr>
          <w:rFonts w:hint="eastAsia"/>
        </w:rPr>
        <w:t>，旱季绿化用水量每天按3L/m</w:t>
      </w:r>
      <w:r>
        <w:rPr>
          <w:rFonts w:hint="eastAsia"/>
          <w:vertAlign w:val="superscript"/>
        </w:rPr>
        <w:t>2</w:t>
      </w:r>
      <w:r>
        <w:rPr>
          <w:rFonts w:hint="eastAsia"/>
        </w:rPr>
        <w:t>计，需水量约2.7m</w:t>
      </w:r>
      <w:r>
        <w:rPr>
          <w:rFonts w:hint="eastAsia"/>
          <w:vertAlign w:val="superscript"/>
        </w:rPr>
        <w:t>3</w:t>
      </w:r>
      <w:r>
        <w:rPr>
          <w:rFonts w:hint="eastAsia"/>
        </w:rPr>
        <w:t>/d，按照旱季215天计，全年需水量为580.5m</w:t>
      </w:r>
      <w:r>
        <w:rPr>
          <w:rFonts w:hint="eastAsia"/>
          <w:vertAlign w:val="superscript"/>
        </w:rPr>
        <w:t>3</w:t>
      </w:r>
      <w:r>
        <w:rPr>
          <w:rFonts w:hint="eastAsia"/>
        </w:rPr>
        <w:t>/a。</w:t>
      </w:r>
    </w:p>
    <w:p>
      <w:pPr>
        <w:pStyle w:val="7"/>
        <w:ind w:firstLine="480"/>
      </w:pPr>
      <w:r>
        <w:rPr>
          <w:rFonts w:hint="eastAsia"/>
        </w:rPr>
        <w:t>（4）初期雨水</w:t>
      </w:r>
    </w:p>
    <w:p>
      <w:pPr>
        <w:pStyle w:val="7"/>
        <w:ind w:firstLine="480"/>
      </w:pPr>
      <w:r>
        <w:t>按照《有色金属工业环境保护设计技术规范》（GB50988-2014），受污染场地面积按照</w:t>
      </w:r>
      <w:r>
        <w:rPr>
          <w:rFonts w:hint="eastAsia"/>
        </w:rPr>
        <w:t>生产厂房面积考虑，取为8865</w:t>
      </w:r>
      <w:r>
        <w:t>m</w:t>
      </w:r>
      <w:r>
        <w:rPr>
          <w:vertAlign w:val="superscript"/>
        </w:rPr>
        <w:t>2</w:t>
      </w:r>
      <w:r>
        <w:t>，根据计算，</w:t>
      </w:r>
      <w:r>
        <w:rPr>
          <w:rFonts w:hint="eastAsia"/>
        </w:rPr>
        <w:t>项目二期工程</w:t>
      </w:r>
      <w:r>
        <w:t>初期雨水量为</w:t>
      </w:r>
      <w:r>
        <w:rPr>
          <w:rFonts w:hint="eastAsia"/>
        </w:rPr>
        <w:t>88.65</w:t>
      </w:r>
      <w:r>
        <w:t>m</w:t>
      </w:r>
      <w:r>
        <w:rPr>
          <w:vertAlign w:val="superscript"/>
        </w:rPr>
        <w:t>3</w:t>
      </w:r>
      <w:r>
        <w:rPr>
          <w:rFonts w:hint="eastAsia"/>
        </w:rPr>
        <w:t>/次，根据砚山县气候特征，每年5-10月为雨季，降雨量较为集中，占全年降水量的82.6%，11月至翌年4月为旱季，降水量只占全年降水量的17.4%，故本次评价按照每年下雨天数150天，每次连续下雨3天计，则项目初期雨水产生量为4432.5m</w:t>
      </w:r>
      <w:r>
        <w:rPr>
          <w:rFonts w:hint="eastAsia"/>
          <w:vertAlign w:val="superscript"/>
        </w:rPr>
        <w:t>3</w:t>
      </w:r>
      <w:r>
        <w:rPr>
          <w:rFonts w:hint="eastAsia"/>
        </w:rPr>
        <w:t>/a，</w:t>
      </w:r>
      <w:r>
        <w:t>收集的初期雨水进入厂区初期雨水收集池</w:t>
      </w:r>
      <w:r>
        <w:rPr>
          <w:rFonts w:hint="eastAsia"/>
        </w:rPr>
        <w:t>，</w:t>
      </w:r>
      <w:r>
        <w:t>初期雨水收集池容积为</w:t>
      </w:r>
      <w:r>
        <w:rPr>
          <w:rFonts w:hint="eastAsia"/>
        </w:rPr>
        <w:t>110</w:t>
      </w:r>
      <w:r>
        <w:t>m</w:t>
      </w:r>
      <w:r>
        <w:rPr>
          <w:vertAlign w:val="superscript"/>
        </w:rPr>
        <w:t>3</w:t>
      </w:r>
      <w:r>
        <w:t>，</w:t>
      </w:r>
      <w:r>
        <w:rPr>
          <w:rFonts w:hint="eastAsia"/>
        </w:rPr>
        <w:t>经过沉淀</w:t>
      </w:r>
      <w:r>
        <w:t>处理</w:t>
      </w:r>
      <w:r>
        <w:rPr>
          <w:rFonts w:hint="eastAsia"/>
        </w:rPr>
        <w:t>后用于厂区绿化及道路清扫，剩余部分用于冷却循环系统补充水</w:t>
      </w:r>
      <w:r>
        <w:t>。</w:t>
      </w:r>
    </w:p>
    <w:p>
      <w:pPr>
        <w:pStyle w:val="7"/>
        <w:ind w:firstLine="480"/>
        <w:rPr>
          <w:rFonts w:hint="eastAsia"/>
        </w:rPr>
      </w:pPr>
      <w:r>
        <w:rPr>
          <w:rFonts w:hint="eastAsia"/>
        </w:rPr>
        <w:t>项目二期工程</w:t>
      </w:r>
      <w:r>
        <w:rPr>
          <w:rFonts w:hint="eastAsia"/>
          <w:lang w:val="en-US" w:eastAsia="zh-CN"/>
        </w:rPr>
        <w:t>日</w:t>
      </w:r>
      <w:r>
        <w:rPr>
          <w:rFonts w:hint="eastAsia"/>
        </w:rPr>
        <w:t>水平衡图详见图4.3-</w:t>
      </w:r>
      <w:r>
        <w:rPr>
          <w:rFonts w:hint="eastAsia"/>
          <w:lang w:val="en-US" w:eastAsia="zh-CN"/>
        </w:rPr>
        <w:t>8、全年水平衡图见图4.3-9</w:t>
      </w:r>
      <w:r>
        <w:rPr>
          <w:rFonts w:hint="eastAsia"/>
        </w:rPr>
        <w:t>。</w:t>
      </w:r>
    </w:p>
    <w:p>
      <w:pPr>
        <w:pStyle w:val="7"/>
        <w:ind w:left="0" w:leftChars="0" w:firstLine="0" w:firstLineChars="0"/>
        <w:jc w:val="center"/>
        <w:rPr>
          <w:rFonts w:hint="eastAsia"/>
        </w:rPr>
      </w:pPr>
      <w:r>
        <w:object>
          <v:shape id="_x0000_i1038" o:spt="75" type="#_x0000_t75" style="height:259.75pt;width:421.5pt;" o:ole="t" filled="f" o:preferrelative="t" stroked="f" coordsize="21600,21600">
            <v:path/>
            <v:fill on="f" focussize="0,0"/>
            <v:stroke on="f"/>
            <v:imagedata r:id="rId44" cropleft="9559f" croptop="4077f" cropright="2987f" cropbottom="38193f" o:title=""/>
            <o:lock v:ext="edit" aspectratio="t"/>
            <w10:wrap type="none"/>
            <w10:anchorlock/>
          </v:shape>
          <o:OLEObject Type="Embed" ProgID="Visio.Drawing.15" ShapeID="_x0000_i1038" DrawAspect="Content" ObjectID="_1468075738" r:id="rId43">
            <o:LockedField>false</o:LockedField>
          </o:OLEObject>
        </w:object>
      </w:r>
      <w:r>
        <w:rPr>
          <w:rStyle w:val="47"/>
          <w:rFonts w:hint="eastAsia"/>
        </w:rPr>
        <w:t>图4.3</w:t>
      </w:r>
      <w:r>
        <w:rPr>
          <w:rStyle w:val="47"/>
          <w:rFonts w:hint="eastAsia"/>
          <w:lang w:val="en-US" w:eastAsia="zh-CN"/>
        </w:rPr>
        <w:t>-8</w:t>
      </w:r>
      <w:r>
        <w:rPr>
          <w:rStyle w:val="47"/>
        </w:rPr>
        <w:t xml:space="preserve"> </w:t>
      </w:r>
      <w:r>
        <w:rPr>
          <w:rStyle w:val="47"/>
          <w:rFonts w:hint="eastAsia"/>
        </w:rPr>
        <w:t xml:space="preserve"> </w:t>
      </w:r>
      <w:r>
        <w:rPr>
          <w:rStyle w:val="47"/>
          <w:rFonts w:hint="eastAsia"/>
          <w:lang w:val="en-US" w:eastAsia="zh-CN"/>
        </w:rPr>
        <w:t>二</w:t>
      </w:r>
      <w:r>
        <w:rPr>
          <w:rStyle w:val="47"/>
          <w:rFonts w:hint="eastAsia"/>
        </w:rPr>
        <w:t>期工程水平衡图（单位：</w:t>
      </w:r>
      <w:r>
        <w:rPr>
          <w:rStyle w:val="47"/>
        </w:rPr>
        <w:t>t/</w:t>
      </w:r>
      <w:r>
        <w:rPr>
          <w:rStyle w:val="47"/>
          <w:rFonts w:hint="eastAsia"/>
          <w:lang w:val="en-US" w:eastAsia="zh-CN"/>
        </w:rPr>
        <w:t>d</w:t>
      </w:r>
      <w:r>
        <w:rPr>
          <w:rStyle w:val="47"/>
          <w:rFonts w:hint="eastAsia"/>
        </w:rPr>
        <w:t>）</w:t>
      </w:r>
    </w:p>
    <w:p>
      <w:pPr>
        <w:pStyle w:val="7"/>
        <w:ind w:firstLine="480"/>
        <w:rPr>
          <w:rFonts w:hint="eastAsia"/>
        </w:rPr>
      </w:pPr>
    </w:p>
    <w:p>
      <w:pPr>
        <w:pStyle w:val="7"/>
        <w:ind w:firstLine="480"/>
        <w:rPr>
          <w:rFonts w:hint="eastAsia"/>
        </w:rPr>
      </w:pPr>
    </w:p>
    <w:p>
      <w:pPr>
        <w:pStyle w:val="7"/>
        <w:ind w:firstLine="480"/>
        <w:rPr>
          <w:rFonts w:hint="eastAsia"/>
        </w:rPr>
      </w:pPr>
    </w:p>
    <w:p>
      <w:pPr>
        <w:pStyle w:val="7"/>
        <w:ind w:firstLine="480"/>
        <w:rPr>
          <w:rFonts w:hint="eastAsia"/>
        </w:rPr>
      </w:pPr>
    </w:p>
    <w:p>
      <w:pPr>
        <w:pStyle w:val="7"/>
        <w:ind w:firstLine="480"/>
        <w:rPr>
          <w:rFonts w:hint="eastAsia"/>
        </w:rPr>
      </w:pPr>
    </w:p>
    <w:p>
      <w:pPr>
        <w:pStyle w:val="7"/>
        <w:ind w:left="0" w:leftChars="0" w:firstLine="0" w:firstLineChars="0"/>
        <w:rPr>
          <w:rFonts w:hint="eastAsia"/>
        </w:rPr>
      </w:pPr>
    </w:p>
    <w:p>
      <w:pPr>
        <w:pStyle w:val="7"/>
        <w:ind w:firstLine="480"/>
        <w:rPr>
          <w:rFonts w:hint="eastAsia"/>
        </w:rPr>
      </w:pPr>
    </w:p>
    <w:p>
      <w:pPr>
        <w:pStyle w:val="7"/>
        <w:ind w:firstLine="480"/>
        <w:rPr>
          <w:rFonts w:hint="eastAsia"/>
        </w:rPr>
        <w:sectPr>
          <w:pgSz w:w="11906" w:h="16838"/>
          <w:pgMar w:top="1440" w:right="1800" w:bottom="1440" w:left="1800" w:header="851" w:footer="992" w:gutter="0"/>
          <w:cols w:space="425" w:num="1"/>
          <w:docGrid w:type="lines" w:linePitch="312" w:charSpace="0"/>
        </w:sectPr>
      </w:pPr>
    </w:p>
    <w:p>
      <w:pPr>
        <w:pStyle w:val="2"/>
        <w:ind w:left="0" w:leftChars="0" w:firstLine="0" w:firstLineChars="0"/>
        <w:jc w:val="center"/>
      </w:pPr>
      <w:r>
        <w:object>
          <v:shape id="_x0000_i1039" o:spt="75" type="#_x0000_t75" style="height:245.55pt;width:672.7pt;" o:ole="t" filled="f" o:preferrelative="t" stroked="f" coordsize="21600,21600">
            <v:path/>
            <v:fill on="f" focussize="0,0"/>
            <v:stroke on="f"/>
            <v:imagedata r:id="rId46" cropleft="7535f" croptop="13855f" cropright="6612f" cropbottom="25001f" o:title=""/>
            <o:lock v:ext="edit" aspectratio="t"/>
            <w10:wrap type="none"/>
            <w10:anchorlock/>
          </v:shape>
          <o:OLEObject Type="Embed" ProgID="Visio.Drawing.15" ShapeID="_x0000_i1039" DrawAspect="Content" ObjectID="_1468075739" r:id="rId45">
            <o:LockedField>false</o:LockedField>
          </o:OLEObject>
        </w:object>
      </w:r>
    </w:p>
    <w:p>
      <w:pPr>
        <w:pStyle w:val="2"/>
        <w:ind w:left="480" w:firstLine="0" w:firstLineChars="0"/>
        <w:jc w:val="center"/>
        <w:rPr>
          <w:rStyle w:val="47"/>
        </w:rPr>
      </w:pPr>
      <w:r>
        <w:rPr>
          <w:rStyle w:val="47"/>
          <w:rFonts w:hint="eastAsia"/>
        </w:rPr>
        <w:t>图4.3-</w:t>
      </w:r>
      <w:r>
        <w:rPr>
          <w:rStyle w:val="47"/>
          <w:rFonts w:hint="eastAsia"/>
          <w:lang w:val="en-US" w:eastAsia="zh-CN"/>
        </w:rPr>
        <w:t>9</w:t>
      </w:r>
      <w:r>
        <w:rPr>
          <w:rStyle w:val="47"/>
        </w:rPr>
        <w:t xml:space="preserve"> </w:t>
      </w:r>
      <w:r>
        <w:rPr>
          <w:rStyle w:val="47"/>
          <w:rFonts w:hint="eastAsia"/>
        </w:rPr>
        <w:t xml:space="preserve"> 二期工程全年水平衡图（单位：</w:t>
      </w:r>
      <w:r>
        <w:rPr>
          <w:rStyle w:val="47"/>
        </w:rPr>
        <w:t>t/a</w:t>
      </w:r>
      <w:r>
        <w:rPr>
          <w:rStyle w:val="47"/>
          <w:rFonts w:hint="eastAsia"/>
        </w:rPr>
        <w:t>）</w:t>
      </w:r>
    </w:p>
    <w:p>
      <w:pPr>
        <w:pStyle w:val="7"/>
        <w:ind w:firstLine="480"/>
        <w:sectPr>
          <w:pgSz w:w="16838" w:h="11906" w:orient="landscape"/>
          <w:pgMar w:top="1800" w:right="1440" w:bottom="1800" w:left="1440" w:header="851" w:footer="992" w:gutter="0"/>
          <w:cols w:space="425" w:num="1"/>
          <w:docGrid w:type="lines" w:linePitch="312" w:charSpace="0"/>
        </w:sectPr>
      </w:pPr>
    </w:p>
    <w:p>
      <w:pPr>
        <w:pStyle w:val="5"/>
      </w:pPr>
      <w:bookmarkStart w:id="81" w:name="_Toc20661"/>
      <w:r>
        <w:rPr>
          <w:rFonts w:hint="eastAsia"/>
        </w:rPr>
        <w:t>4.4污染核算</w:t>
      </w:r>
      <w:bookmarkEnd w:id="81"/>
    </w:p>
    <w:p>
      <w:pPr>
        <w:pStyle w:val="8"/>
      </w:pPr>
      <w:r>
        <w:rPr>
          <w:rFonts w:hint="eastAsia"/>
        </w:rPr>
        <w:t>4.4.1一期工程产污环节及污染源分析</w:t>
      </w:r>
    </w:p>
    <w:p>
      <w:pPr>
        <w:pStyle w:val="9"/>
      </w:pPr>
      <w:r>
        <w:rPr>
          <w:rFonts w:hint="eastAsia"/>
        </w:rPr>
        <w:t>4.4.1.1废气</w:t>
      </w:r>
    </w:p>
    <w:p>
      <w:pPr>
        <w:pStyle w:val="7"/>
        <w:ind w:firstLine="480"/>
      </w:pPr>
      <w:r>
        <w:rPr>
          <w:rFonts w:hint="eastAsia"/>
        </w:rPr>
        <w:t>通过工程分析可知，一期工程废气分为有组织排放废气及无组织排放废气，有组织废气包括熔保炉天然气燃烧废气G1-1、精炼废气G1-2、扒渣废气G1-3、铝灰分离废气G1-4、均质炉燃烧废气G1-5、食堂油烟废气G1-6。无组织废气主要包括扒渣过程中未收集到的粉尘、铝灰分离过程中未收集到的粉尘。</w:t>
      </w:r>
    </w:p>
    <w:p>
      <w:pPr>
        <w:topLinePunct/>
        <w:adjustRightInd w:val="0"/>
        <w:spacing w:line="360" w:lineRule="auto"/>
        <w:ind w:firstLine="482"/>
        <w:rPr>
          <w:b/>
          <w:bCs/>
        </w:rPr>
      </w:pPr>
      <w:r>
        <w:rPr>
          <w:b/>
          <w:bCs/>
        </w:rPr>
        <w:t>1、有组织废气</w:t>
      </w:r>
    </w:p>
    <w:p>
      <w:pPr>
        <w:widowControl/>
        <w:spacing w:line="360" w:lineRule="auto"/>
        <w:ind w:firstLine="482" w:firstLineChars="200"/>
        <w:jc w:val="left"/>
        <w:rPr>
          <w:b/>
          <w:bCs/>
        </w:rPr>
      </w:pPr>
      <w:r>
        <w:rPr>
          <w:rFonts w:hint="eastAsia"/>
          <w:b/>
          <w:bCs/>
        </w:rPr>
        <w:t>（1）熔保炉燃烧废气G1-1</w:t>
      </w:r>
    </w:p>
    <w:p>
      <w:pPr>
        <w:widowControl/>
        <w:spacing w:line="360" w:lineRule="auto"/>
        <w:ind w:firstLine="480" w:firstLineChars="200"/>
        <w:jc w:val="left"/>
      </w:pPr>
      <w:r>
        <w:t>本项目</w:t>
      </w:r>
      <w:r>
        <w:rPr>
          <w:rFonts w:hint="eastAsia"/>
        </w:rPr>
        <w:t>熔炼炉、保温炉在生产过程中需要的热源由天然气提供。</w:t>
      </w:r>
    </w:p>
    <w:p>
      <w:pPr>
        <w:pStyle w:val="7"/>
        <w:ind w:firstLine="480"/>
      </w:pPr>
      <w:r>
        <w:rPr>
          <w:rFonts w:hint="eastAsia"/>
        </w:rPr>
        <w:t>圆铸锭生产线使用6套熔保炉（45T），该生产线生产产能为160000t/a，</w:t>
      </w:r>
      <w:r>
        <w:t>总耗天然气量为</w:t>
      </w:r>
      <w:r>
        <w:rPr>
          <w:rFonts w:hint="eastAsia"/>
        </w:rPr>
        <w:t>1280</w:t>
      </w:r>
      <w:r>
        <w:t>万m</w:t>
      </w:r>
      <w:r>
        <w:rPr>
          <w:vertAlign w:val="superscript"/>
        </w:rPr>
        <w:t>3</w:t>
      </w:r>
      <w:r>
        <w:rPr>
          <w:rFonts w:hint="eastAsia"/>
        </w:rPr>
        <w:t>/a；板锭生产线使用6套熔保炉（50T），该生产线生产产能为160000t/a，</w:t>
      </w:r>
      <w:r>
        <w:t>总耗天然气量为</w:t>
      </w:r>
      <w:r>
        <w:rPr>
          <w:rFonts w:hint="eastAsia"/>
        </w:rPr>
        <w:t>1280</w:t>
      </w:r>
      <w:r>
        <w:t>万m</w:t>
      </w:r>
      <w:r>
        <w:rPr>
          <w:vertAlign w:val="superscript"/>
        </w:rPr>
        <w:t>3</w:t>
      </w:r>
      <w:r>
        <w:rPr>
          <w:rFonts w:hint="eastAsia"/>
        </w:rPr>
        <w:t>/a。根据《排放源统计调查产排污核算方法和系数手册（2021）》（4430，产污系数表—燃气工业锅炉）及《环境保护实用数据手册》，NO</w:t>
      </w:r>
      <w:r>
        <w:rPr>
          <w:rFonts w:hint="eastAsia"/>
          <w:vertAlign w:val="subscript"/>
        </w:rPr>
        <w:t>x</w:t>
      </w:r>
      <w:r>
        <w:rPr>
          <w:rFonts w:hint="eastAsia"/>
        </w:rPr>
        <w:t>排放因子取15.87kg/10</w:t>
      </w:r>
      <w:r>
        <w:rPr>
          <w:rFonts w:hint="eastAsia"/>
          <w:vertAlign w:val="superscript"/>
        </w:rPr>
        <w:t>4</w:t>
      </w:r>
      <w:r>
        <w:rPr>
          <w:rFonts w:hint="eastAsia"/>
        </w:rPr>
        <w:t>m</w:t>
      </w:r>
      <w:r>
        <w:rPr>
          <w:rFonts w:hint="eastAsia"/>
          <w:vertAlign w:val="superscript"/>
        </w:rPr>
        <w:t>3</w:t>
      </w:r>
      <w:r>
        <w:rPr>
          <w:rFonts w:hint="eastAsia"/>
        </w:rPr>
        <w:t>天然气（低氮燃烧</w:t>
      </w:r>
      <w:r>
        <w:rPr>
          <w:rFonts w:hint="eastAsia"/>
          <w:lang w:val="en-US" w:eastAsia="zh-CN"/>
        </w:rPr>
        <w:t>-</w:t>
      </w:r>
      <w:r>
        <w:rPr>
          <w:rFonts w:hint="eastAsia"/>
        </w:rPr>
        <w:t>国内一般），SO</w:t>
      </w:r>
      <w:r>
        <w:rPr>
          <w:rFonts w:hint="eastAsia"/>
          <w:vertAlign w:val="subscript"/>
        </w:rPr>
        <w:t>2</w:t>
      </w:r>
      <w:r>
        <w:rPr>
          <w:rFonts w:hint="eastAsia"/>
        </w:rPr>
        <w:t>排放因子取0.02Skg/10</w:t>
      </w:r>
      <w:r>
        <w:rPr>
          <w:rFonts w:hint="eastAsia"/>
          <w:vertAlign w:val="superscript"/>
        </w:rPr>
        <w:t>4</w:t>
      </w:r>
      <w:r>
        <w:rPr>
          <w:rFonts w:hint="eastAsia"/>
        </w:rPr>
        <w:t>m</w:t>
      </w:r>
      <w:r>
        <w:rPr>
          <w:rFonts w:hint="eastAsia"/>
          <w:vertAlign w:val="superscript"/>
        </w:rPr>
        <w:t>3</w:t>
      </w:r>
      <w:r>
        <w:rPr>
          <w:rFonts w:hint="eastAsia"/>
        </w:rPr>
        <w:t>天然气（S为硫含量，天然气含硫量按200mg/m</w:t>
      </w:r>
      <w:r>
        <w:rPr>
          <w:rFonts w:hint="eastAsia"/>
          <w:vertAlign w:val="superscript"/>
        </w:rPr>
        <w:t>3</w:t>
      </w:r>
      <w:r>
        <w:rPr>
          <w:rFonts w:hint="eastAsia"/>
        </w:rPr>
        <w:t>计算(2类标准)），烟尘排放因子取2.4kg/10</w:t>
      </w:r>
      <w:r>
        <w:rPr>
          <w:rFonts w:hint="eastAsia"/>
          <w:vertAlign w:val="superscript"/>
        </w:rPr>
        <w:t>4</w:t>
      </w:r>
      <w:r>
        <w:rPr>
          <w:rFonts w:hint="eastAsia"/>
        </w:rPr>
        <w:t>m</w:t>
      </w:r>
      <w:r>
        <w:rPr>
          <w:rFonts w:hint="eastAsia"/>
          <w:vertAlign w:val="superscript"/>
        </w:rPr>
        <w:t>3</w:t>
      </w:r>
      <w:r>
        <w:rPr>
          <w:rFonts w:hint="eastAsia"/>
        </w:rPr>
        <w:t>天然气。熔保炉天然气系统年工作时间8000h，根据计算，燃烧废气中烟尘产生量6.14t/a（0.77kg/h）、</w:t>
      </w:r>
      <w:r>
        <w:t>SO</w:t>
      </w:r>
      <w:r>
        <w:rPr>
          <w:rFonts w:hint="eastAsia"/>
          <w:vertAlign w:val="subscript"/>
        </w:rPr>
        <w:t>2</w:t>
      </w:r>
      <w:r>
        <w:rPr>
          <w:rFonts w:hint="eastAsia"/>
        </w:rPr>
        <w:t>产生量10.24t/a（1.28kg/h）、</w:t>
      </w:r>
      <w:r>
        <w:t>NO</w:t>
      </w:r>
      <w:r>
        <w:rPr>
          <w:rFonts w:hint="eastAsia"/>
          <w:vertAlign w:val="subscript"/>
        </w:rPr>
        <w:t>x</w:t>
      </w:r>
      <w:r>
        <w:rPr>
          <w:rFonts w:hint="eastAsia"/>
        </w:rPr>
        <w:t>产生量为40.63t/a（5.08kg/h）。天然气燃烧废气通过炉内管道全部进入收集管道，天然气燃烧废气与熔炼炉废气一同由P1-1排气筒排放。</w:t>
      </w:r>
    </w:p>
    <w:p>
      <w:pPr>
        <w:pStyle w:val="7"/>
        <w:ind w:firstLine="482"/>
        <w:rPr>
          <w:b/>
          <w:bCs/>
        </w:rPr>
      </w:pPr>
      <w:r>
        <w:rPr>
          <w:rFonts w:hint="eastAsia"/>
          <w:b/>
          <w:bCs/>
        </w:rPr>
        <w:t>（2）精炼废气G1-2</w:t>
      </w:r>
    </w:p>
    <w:p>
      <w:pPr>
        <w:pStyle w:val="7"/>
        <w:ind w:firstLine="480"/>
      </w:pPr>
      <w:r>
        <w:rPr>
          <w:rFonts w:hint="eastAsia"/>
        </w:rPr>
        <w:t>一期工程精炼用气采用氩气及氯气混合气体，其作用一方面是脱去氢气和分离氧化物，另一方面为清除铝液中某些金属杂质，因此精炼除气过程会产生HCl和氯气，另外需要添加精炼剂，精炼剂主要成分为Na</w:t>
      </w:r>
      <w:r>
        <w:rPr>
          <w:rFonts w:hint="eastAsia"/>
          <w:vertAlign w:val="subscript"/>
        </w:rPr>
        <w:t>3</w:t>
      </w:r>
      <w:r>
        <w:rPr>
          <w:rFonts w:hint="eastAsia"/>
        </w:rPr>
        <w:t>AlF</w:t>
      </w:r>
      <w:r>
        <w:rPr>
          <w:rFonts w:hint="eastAsia"/>
          <w:vertAlign w:val="subscript"/>
        </w:rPr>
        <w:t>6</w:t>
      </w:r>
      <w:r>
        <w:rPr>
          <w:rFonts w:hint="eastAsia"/>
        </w:rPr>
        <w:t>、Na</w:t>
      </w:r>
      <w:r>
        <w:rPr>
          <w:rFonts w:hint="eastAsia"/>
          <w:vertAlign w:val="subscript"/>
        </w:rPr>
        <w:t>2</w:t>
      </w:r>
      <w:r>
        <w:rPr>
          <w:rFonts w:hint="eastAsia"/>
        </w:rPr>
        <w:t>SiF</w:t>
      </w:r>
      <w:r>
        <w:rPr>
          <w:rFonts w:hint="eastAsia"/>
          <w:vertAlign w:val="subscript"/>
        </w:rPr>
        <w:t>6</w:t>
      </w:r>
      <w:r>
        <w:rPr>
          <w:rFonts w:hint="eastAsia"/>
        </w:rPr>
        <w:t>，因此熔保炉内会产生氟化物，同时熔保炉在配料、熔炼、精炼生产过程中会产生粉尘。故精炼废气中主要污染物为烟尘、HCl、Cl</w:t>
      </w:r>
      <w:r>
        <w:rPr>
          <w:rFonts w:hint="eastAsia"/>
          <w:vertAlign w:val="subscript"/>
        </w:rPr>
        <w:t>2</w:t>
      </w:r>
      <w:r>
        <w:rPr>
          <w:rFonts w:hint="eastAsia"/>
        </w:rPr>
        <w:t>、氟化物。</w:t>
      </w:r>
    </w:p>
    <w:p>
      <w:pPr>
        <w:pStyle w:val="7"/>
        <w:ind w:firstLine="480"/>
      </w:pPr>
      <w:r>
        <w:rPr>
          <w:rFonts w:hint="eastAsia"/>
        </w:rPr>
        <w:t>①颗粒物</w:t>
      </w:r>
    </w:p>
    <w:p>
      <w:pPr>
        <w:pStyle w:val="7"/>
        <w:ind w:firstLine="480"/>
      </w:pPr>
      <w:r>
        <w:rPr>
          <w:rFonts w:hint="eastAsia"/>
        </w:rPr>
        <w:t>圆铸锭及板锭生产规模为320000t/a，消耗铝液286000</w:t>
      </w:r>
      <w:r>
        <w:t>t/a</w:t>
      </w:r>
      <w:r>
        <w:rPr>
          <w:rFonts w:hint="eastAsia"/>
        </w:rPr>
        <w:t>，</w:t>
      </w:r>
      <w:r>
        <w:t>根据</w:t>
      </w:r>
      <w:r>
        <w:rPr>
          <w:rFonts w:hint="eastAsia"/>
        </w:rPr>
        <w:t>《排放源统计调查产排污核算方法和系数手册（2021）》“3240有色金属合金制造行业系数手册”，参考“使用反射炉以金属镁+铝锭为原料生产铝镁合金”颗粒物产生系数取6.67kg/t产品，</w:t>
      </w:r>
      <w:r>
        <w:t>因此烟尘产生量为</w:t>
      </w:r>
      <w:r>
        <w:rPr>
          <w:rFonts w:hint="eastAsia"/>
        </w:rPr>
        <w:t>2134.4</w:t>
      </w:r>
      <w:r>
        <w:t>t/a</w:t>
      </w:r>
      <w:r>
        <w:rPr>
          <w:rFonts w:hint="eastAsia"/>
        </w:rPr>
        <w:t>。根据建设单位提供资料，搅拌工序颗粒物产生比例约为10%，熔炼、配料、精炼、调整成分、静置保温都在炉内密闭进行，</w:t>
      </w:r>
      <w:r>
        <w:t>在搅拌、扒渣过程中</w:t>
      </w:r>
      <w:r>
        <w:rPr>
          <w:rFonts w:hint="eastAsia"/>
        </w:rPr>
        <w:t>需要打开</w:t>
      </w:r>
      <w:r>
        <w:t>炉门</w:t>
      </w:r>
      <w:r>
        <w:rPr>
          <w:rFonts w:hint="eastAsia"/>
        </w:rPr>
        <w:t>，该部分颗粒物会逸散出炉外。故炉内颗粒物产生量为1920.96t/a，</w:t>
      </w:r>
      <w:r>
        <w:t>搅拌、扒渣过程中</w:t>
      </w:r>
      <w:r>
        <w:rPr>
          <w:rFonts w:hint="eastAsia"/>
        </w:rPr>
        <w:t>颗粒物产生量为213.44t/a。熔保炉工作</w:t>
      </w:r>
      <w:r>
        <w:t>年时基数为</w:t>
      </w:r>
      <w:r>
        <w:rPr>
          <w:rFonts w:hint="eastAsia"/>
        </w:rPr>
        <w:t>495</w:t>
      </w:r>
      <w:r>
        <w:t>0h，则</w:t>
      </w:r>
      <w:r>
        <w:rPr>
          <w:rFonts w:hint="eastAsia"/>
        </w:rPr>
        <w:t>熔保炉内烟尘</w:t>
      </w:r>
      <w:r>
        <w:t>产生速率为</w:t>
      </w:r>
      <w:r>
        <w:rPr>
          <w:rFonts w:hint="eastAsia"/>
        </w:rPr>
        <w:t>388.07</w:t>
      </w:r>
      <w:r>
        <w:t>kg/h。</w:t>
      </w:r>
      <w:r>
        <w:rPr>
          <w:rFonts w:hint="eastAsia"/>
        </w:rPr>
        <w:t>根据《第二次全国污染源普查工业源系数手册（2021）》（3240，有色金属合金制造业产污系数表—铝硅合金）统计，本项目布袋除尘器除尘效率取值为98％。</w:t>
      </w:r>
    </w:p>
    <w:p>
      <w:pPr>
        <w:pStyle w:val="7"/>
        <w:ind w:firstLine="480"/>
      </w:pPr>
      <w:r>
        <w:rPr>
          <w:rFonts w:hint="eastAsia"/>
        </w:rPr>
        <w:t>②氯气、氯化氢</w:t>
      </w:r>
    </w:p>
    <w:p>
      <w:pPr>
        <w:widowControl/>
        <w:spacing w:line="360" w:lineRule="auto"/>
        <w:ind w:firstLine="480" w:firstLineChars="200"/>
        <w:jc w:val="left"/>
      </w:pPr>
      <w:r>
        <w:t>项目精炼用气采用氩气及氯气混合气体，按照精炼后铝熔体中H含量必须小于1ppm要求计算HCl气体产生量，本项目取0.5ppm计算。计算式：</w:t>
      </w:r>
      <w:r>
        <w:rPr>
          <w:rFonts w:hint="eastAsia"/>
        </w:rPr>
        <w:t>290000</w:t>
      </w:r>
      <w:r>
        <w:t>t铝液/a×0.</w:t>
      </w:r>
      <w:r>
        <w:rPr>
          <w:rFonts w:hint="eastAsia"/>
        </w:rPr>
        <w:t>5</w:t>
      </w:r>
      <w:r>
        <w:t>mgH/1000g铝液×36.5（H换算HCl系数），计算得</w:t>
      </w:r>
      <w:r>
        <w:rPr>
          <w:rFonts w:hint="eastAsia"/>
        </w:rPr>
        <w:t>该生产线</w:t>
      </w:r>
      <w:r>
        <w:t>产生HCl气体总量</w:t>
      </w:r>
      <w:r>
        <w:rPr>
          <w:rFonts w:hint="eastAsia"/>
        </w:rPr>
        <w:t>5.29</w:t>
      </w:r>
      <w:r>
        <w:t>t/a，</w:t>
      </w:r>
      <w:r>
        <w:rPr>
          <w:rFonts w:hint="eastAsia"/>
        </w:rPr>
        <w:t>1.07</w:t>
      </w:r>
      <w:r>
        <w:t>kg/h。</w:t>
      </w:r>
    </w:p>
    <w:p>
      <w:pPr>
        <w:spacing w:line="360" w:lineRule="auto"/>
        <w:ind w:firstLine="480"/>
      </w:pPr>
      <w:r>
        <w:rPr>
          <w:rFonts w:hint="eastAsia"/>
        </w:rPr>
        <w:t>根据建设单位提供资料，氯气的使用量为0.025kg/t产品，则一期工程氯气使用量为8t/a，根据反应式：H</w:t>
      </w:r>
      <w:r>
        <w:rPr>
          <w:rFonts w:hint="eastAsia"/>
          <w:vertAlign w:val="superscript"/>
        </w:rPr>
        <w:t>+</w:t>
      </w:r>
      <w:r>
        <w:rPr>
          <w:rFonts w:hint="eastAsia"/>
        </w:rPr>
        <w:t>+</w:t>
      </w:r>
      <w:r>
        <w:t>C</w:t>
      </w:r>
      <w:r>
        <w:rPr>
          <w:rFonts w:hint="eastAsia"/>
        </w:rPr>
        <w:t>l</w:t>
      </w:r>
      <w:r>
        <w:rPr>
          <w:rFonts w:hint="eastAsia"/>
          <w:vertAlign w:val="superscript"/>
        </w:rPr>
        <w:t>-</w:t>
      </w:r>
      <w:r>
        <w:rPr>
          <w:rFonts w:hint="eastAsia"/>
        </w:rPr>
        <w:t>=</w:t>
      </w:r>
      <w:r>
        <w:t>HC</w:t>
      </w:r>
      <w:r>
        <w:rPr>
          <w:rFonts w:hint="eastAsia"/>
        </w:rPr>
        <w:t>l，计算得精炼过程中消耗的氯气量为5.15t/a，按照最不利情况考虑，剩余Cl</w:t>
      </w:r>
      <w:r>
        <w:rPr>
          <w:rFonts w:hint="eastAsia"/>
          <w:vertAlign w:val="subscript"/>
        </w:rPr>
        <w:t>2</w:t>
      </w:r>
      <w:r>
        <w:rPr>
          <w:rFonts w:hint="eastAsia"/>
        </w:rPr>
        <w:t>未与铝液中的金属杂质发生反应，以Cl</w:t>
      </w:r>
      <w:r>
        <w:rPr>
          <w:rFonts w:hint="eastAsia"/>
          <w:vertAlign w:val="subscript"/>
        </w:rPr>
        <w:t>2</w:t>
      </w:r>
      <w:r>
        <w:rPr>
          <w:rFonts w:hint="eastAsia"/>
        </w:rPr>
        <w:t>形式直接排放，则Cl</w:t>
      </w:r>
      <w:r>
        <w:rPr>
          <w:rFonts w:hint="eastAsia"/>
          <w:vertAlign w:val="subscript"/>
        </w:rPr>
        <w:t>2</w:t>
      </w:r>
      <w:r>
        <w:rPr>
          <w:rFonts w:hint="eastAsia"/>
        </w:rPr>
        <w:t>产生量为2.85t/a，0.58kg/h。</w:t>
      </w:r>
    </w:p>
    <w:p>
      <w:pPr>
        <w:pStyle w:val="7"/>
        <w:ind w:firstLine="480"/>
      </w:pPr>
      <w:r>
        <w:rPr>
          <w:rFonts w:hint="eastAsia"/>
        </w:rPr>
        <w:t>③氟化物</w:t>
      </w:r>
    </w:p>
    <w:p>
      <w:pPr>
        <w:pStyle w:val="7"/>
        <w:ind w:firstLine="480"/>
      </w:pPr>
      <w:r>
        <w:rPr>
          <w:rFonts w:hint="eastAsia"/>
        </w:rPr>
        <w:t>项目产生的氟化物来自于精炼过程中，</w:t>
      </w:r>
      <w:bookmarkStart w:id="82" w:name="_Hlk43916705"/>
      <w:r>
        <w:rPr>
          <w:rFonts w:hint="eastAsia"/>
        </w:rPr>
        <w:t>项目使用的精炼剂中主要含氟成分为冰晶石（</w:t>
      </w:r>
      <w:r>
        <w:t>Na</w:t>
      </w:r>
      <w:r>
        <w:rPr>
          <w:vertAlign w:val="subscript"/>
        </w:rPr>
        <w:t>3</w:t>
      </w:r>
      <w:r>
        <w:t>AlF</w:t>
      </w:r>
      <w:r>
        <w:rPr>
          <w:vertAlign w:val="subscript"/>
        </w:rPr>
        <w:t>6</w:t>
      </w:r>
      <w:r>
        <w:rPr>
          <w:rFonts w:hint="eastAsia"/>
        </w:rPr>
        <w:t>）和氟硅酸钠（</w:t>
      </w:r>
      <w:r>
        <w:t>Na</w:t>
      </w:r>
      <w:r>
        <w:rPr>
          <w:vertAlign w:val="subscript"/>
        </w:rPr>
        <w:t>2</w:t>
      </w:r>
      <w:r>
        <w:t>SiF</w:t>
      </w:r>
      <w:r>
        <w:rPr>
          <w:vertAlign w:val="subscript"/>
        </w:rPr>
        <w:t>6</w:t>
      </w:r>
      <w:r>
        <w:rPr>
          <w:rFonts w:hint="eastAsia"/>
        </w:rPr>
        <w:t>），含量分别为30%、20%。冰晶石熔点为1000℃，大于铝，在熔炼过程中主要作为助溶剂。氟硅酸钠在300℃以上分解产生四氟化硅（</w:t>
      </w:r>
      <w:r>
        <w:t>SiF</w:t>
      </w:r>
      <w:r>
        <w:rPr>
          <w:rFonts w:hint="eastAsia"/>
          <w:vertAlign w:val="subscript"/>
        </w:rPr>
        <w:t>4</w:t>
      </w:r>
      <w:r>
        <w:rPr>
          <w:rFonts w:hint="eastAsia"/>
        </w:rPr>
        <w:t>）和氟化钠（</w:t>
      </w:r>
      <w:r>
        <w:t>NaF</w:t>
      </w:r>
      <w:r>
        <w:rPr>
          <w:rFonts w:hint="eastAsia"/>
        </w:rPr>
        <w:t>），反应方程式为：</w:t>
      </w:r>
    </w:p>
    <w:p>
      <w:pPr>
        <w:pStyle w:val="7"/>
        <w:ind w:firstLine="480"/>
        <w:rPr>
          <w:vertAlign w:val="subscript"/>
        </w:rPr>
      </w:pPr>
      <w:r>
        <w:t>Na</w:t>
      </w:r>
      <w:r>
        <w:rPr>
          <w:vertAlign w:val="subscript"/>
        </w:rPr>
        <w:t>2</w:t>
      </w:r>
      <w:r>
        <w:t>SiF</w:t>
      </w:r>
      <w:r>
        <w:rPr>
          <w:vertAlign w:val="subscript"/>
        </w:rPr>
        <w:t>6</w:t>
      </w:r>
      <w:r>
        <w:rPr>
          <w:rFonts w:hint="eastAsia"/>
        </w:rPr>
        <w:t xml:space="preserve">  </w:t>
      </w:r>
      <w:r>
        <w:rPr>
          <w:rFonts w:ascii="Arial" w:hAnsi="Arial" w:cs="Arial"/>
        </w:rPr>
        <w:t>→</w:t>
      </w:r>
      <w:r>
        <w:rPr>
          <w:rFonts w:hint="eastAsia" w:ascii="Arial" w:hAnsi="Arial" w:cs="Arial"/>
        </w:rPr>
        <w:t xml:space="preserve">  </w:t>
      </w:r>
      <w:r>
        <w:t>SiF</w:t>
      </w:r>
      <w:r>
        <w:rPr>
          <w:rFonts w:hint="eastAsia"/>
          <w:vertAlign w:val="subscript"/>
        </w:rPr>
        <w:t>4</w:t>
      </w:r>
      <w:r>
        <w:t xml:space="preserve"> </w:t>
      </w:r>
      <w:r>
        <w:rPr>
          <w:rFonts w:hint="eastAsia"/>
        </w:rPr>
        <w:t>+</w:t>
      </w:r>
      <w:r>
        <w:t xml:space="preserve"> NaF</w:t>
      </w:r>
      <w:r>
        <w:rPr>
          <w:vertAlign w:val="subscript"/>
        </w:rPr>
        <w:t xml:space="preserve">    </w:t>
      </w:r>
    </w:p>
    <w:p>
      <w:pPr>
        <w:pStyle w:val="7"/>
        <w:ind w:firstLine="480"/>
      </w:pPr>
      <w:r>
        <w:rPr>
          <w:rFonts w:hint="eastAsia"/>
        </w:rPr>
        <w:t>其中</w:t>
      </w:r>
      <w:r>
        <w:t>SiF</w:t>
      </w:r>
      <w:r>
        <w:rPr>
          <w:rFonts w:hint="eastAsia"/>
          <w:vertAlign w:val="subscript"/>
        </w:rPr>
        <w:t>4</w:t>
      </w:r>
      <w:r>
        <w:rPr>
          <w:rFonts w:hint="eastAsia"/>
        </w:rPr>
        <w:t>挥发成气体起到除气的作用，</w:t>
      </w:r>
      <w:r>
        <w:t>NaF</w:t>
      </w:r>
      <w:r>
        <w:rPr>
          <w:rFonts w:hint="eastAsia"/>
        </w:rPr>
        <w:t>具有弱变质的作用。另外氟硅酸钠还跟氧化铝发生反应，会产生氟化铝，反应方程式如下，同时所生成的</w:t>
      </w:r>
      <w:r>
        <w:t>SiO</w:t>
      </w:r>
      <w:r>
        <w:rPr>
          <w:rFonts w:hint="eastAsia"/>
          <w:vertAlign w:val="subscript"/>
        </w:rPr>
        <w:t>2</w:t>
      </w:r>
      <w:r>
        <w:rPr>
          <w:rFonts w:hint="eastAsia"/>
        </w:rPr>
        <w:t>结合成块状渣易除去。</w:t>
      </w:r>
    </w:p>
    <w:p>
      <w:pPr>
        <w:pStyle w:val="7"/>
        <w:ind w:firstLine="480"/>
      </w:pPr>
      <w:r>
        <w:rPr>
          <w:rFonts w:hint="eastAsia"/>
        </w:rPr>
        <w:t>3</w:t>
      </w:r>
      <w:r>
        <w:t>Na</w:t>
      </w:r>
      <w:r>
        <w:rPr>
          <w:vertAlign w:val="subscript"/>
        </w:rPr>
        <w:t>2</w:t>
      </w:r>
      <w:r>
        <w:t>SiF</w:t>
      </w:r>
      <w:r>
        <w:rPr>
          <w:vertAlign w:val="subscript"/>
        </w:rPr>
        <w:t>6</w:t>
      </w:r>
      <w:r>
        <w:t>+2Al</w:t>
      </w:r>
      <w:r>
        <w:rPr>
          <w:vertAlign w:val="subscript"/>
        </w:rPr>
        <w:t>2</w:t>
      </w:r>
      <w:r>
        <w:t>O</w:t>
      </w:r>
      <w:r>
        <w:rPr>
          <w:vertAlign w:val="subscript"/>
        </w:rPr>
        <w:t>3</w:t>
      </w:r>
      <w:r>
        <w:rPr>
          <w:rFonts w:hint="eastAsia"/>
        </w:rPr>
        <w:t xml:space="preserve"> ==</w:t>
      </w:r>
      <w:r>
        <w:t xml:space="preserve"> </w:t>
      </w:r>
      <w:r>
        <w:rPr>
          <w:rFonts w:hint="eastAsia"/>
        </w:rPr>
        <w:t>2</w:t>
      </w:r>
      <w:r>
        <w:t>Na</w:t>
      </w:r>
      <w:r>
        <w:rPr>
          <w:vertAlign w:val="subscript"/>
        </w:rPr>
        <w:t>3</w:t>
      </w:r>
      <w:r>
        <w:t>AlF</w:t>
      </w:r>
      <w:r>
        <w:rPr>
          <w:vertAlign w:val="subscript"/>
        </w:rPr>
        <w:t>6</w:t>
      </w:r>
      <w:r>
        <w:rPr>
          <w:rFonts w:hint="eastAsia"/>
        </w:rPr>
        <w:t>+3</w:t>
      </w:r>
      <w:r>
        <w:t>SiO</w:t>
      </w:r>
      <w:r>
        <w:rPr>
          <w:rFonts w:hint="eastAsia"/>
          <w:vertAlign w:val="subscript"/>
        </w:rPr>
        <w:t>2</w:t>
      </w:r>
      <w:r>
        <w:rPr>
          <w:vertAlign w:val="subscript"/>
        </w:rPr>
        <w:t xml:space="preserve"> </w:t>
      </w:r>
      <w:r>
        <w:rPr>
          <w:rFonts w:hint="eastAsia"/>
        </w:rPr>
        <w:t>+2</w:t>
      </w:r>
      <w:r>
        <w:t>AlF</w:t>
      </w:r>
      <w:r>
        <w:rPr>
          <w:vertAlign w:val="subscript"/>
        </w:rPr>
        <w:t>3</w:t>
      </w:r>
    </w:p>
    <w:bookmarkEnd w:id="82"/>
    <w:p>
      <w:pPr>
        <w:pStyle w:val="7"/>
        <w:ind w:firstLine="480"/>
      </w:pPr>
      <w:r>
        <w:rPr>
          <w:rFonts w:hint="eastAsia"/>
        </w:rPr>
        <w:t>根据工程分析，一期工程精炼剂使用量为32t/a，则冰晶石量为9.6</w:t>
      </w:r>
      <w:r>
        <w:t>t/a</w:t>
      </w:r>
      <w:r>
        <w:rPr>
          <w:rFonts w:hint="eastAsia"/>
        </w:rPr>
        <w:t>，带入的氟元素总量为5.21</w:t>
      </w:r>
      <w:r>
        <w:t>t/a</w:t>
      </w:r>
      <w:r>
        <w:rPr>
          <w:rFonts w:hint="eastAsia"/>
        </w:rPr>
        <w:t>，氟硅酸钠量为6.4</w:t>
      </w:r>
      <w:r>
        <w:t>t/a</w:t>
      </w:r>
      <w:r>
        <w:rPr>
          <w:rFonts w:hint="eastAsia"/>
        </w:rPr>
        <w:t>，带入的氟元素量为3.88</w:t>
      </w:r>
      <w:r>
        <w:t>t/a</w:t>
      </w:r>
      <w:r>
        <w:rPr>
          <w:rFonts w:hint="eastAsia"/>
        </w:rPr>
        <w:t>，总计原料中带入氟元素量为9.09</w:t>
      </w:r>
      <w:r>
        <w:t>t/a</w:t>
      </w:r>
      <w:r>
        <w:rPr>
          <w:rFonts w:hint="eastAsia"/>
        </w:rPr>
        <w:t>。根据建设单位提供资料，氟元素大部分以块状残渣由扒渣工艺扒出，1</w:t>
      </w:r>
      <w:r>
        <w:t>2.5%</w:t>
      </w:r>
      <w:r>
        <w:rPr>
          <w:rFonts w:hint="eastAsia"/>
        </w:rPr>
        <w:t>的氟元素以冰晶石、氟化钠、氟化铝等尘氟的形式扩散，0</w:t>
      </w:r>
      <w:r>
        <w:t>.5%</w:t>
      </w:r>
      <w:r>
        <w:rPr>
          <w:rFonts w:hint="eastAsia"/>
        </w:rPr>
        <w:t>氟元素的因四氟化硅分解以气态氟的形式扩散。根据计算，扩散出的氟元素量为1.18t/a，扩散出的氟化物量为2.10</w:t>
      </w:r>
      <w:r>
        <w:t>t/a</w:t>
      </w:r>
      <w:r>
        <w:rPr>
          <w:rFonts w:hint="eastAsia"/>
        </w:rPr>
        <w:t>。扩散出的氟化物由炉内密闭的排气管道排出，经过石灰粉+布袋除尘器处理后排入大气中。项目熔保炉工作</w:t>
      </w:r>
      <w:r>
        <w:t>年时基数为</w:t>
      </w:r>
      <w:r>
        <w:rPr>
          <w:rFonts w:hint="eastAsia"/>
        </w:rPr>
        <w:t>495</w:t>
      </w:r>
      <w:r>
        <w:t>0h，则</w:t>
      </w:r>
      <w:r>
        <w:rPr>
          <w:rFonts w:hint="eastAsia"/>
        </w:rPr>
        <w:t>熔保炉中氟化物产生速率为0.42kg/h。</w:t>
      </w:r>
    </w:p>
    <w:p>
      <w:pPr>
        <w:spacing w:line="360" w:lineRule="auto"/>
        <w:ind w:firstLine="480"/>
      </w:pPr>
      <w:r>
        <w:rPr>
          <w:rFonts w:hint="eastAsia"/>
        </w:rPr>
        <w:t>该部分废气由熔保炉配套的排气管道引入“石灰粉+布袋除尘器”处理系统处理后经过35m排气筒（P1-1）排放，风机风量为130000m</w:t>
      </w:r>
      <w:r>
        <w:rPr>
          <w:rFonts w:hint="eastAsia"/>
          <w:vertAlign w:val="superscript"/>
        </w:rPr>
        <w:t>3</w:t>
      </w:r>
      <w:r>
        <w:rPr>
          <w:rFonts w:hint="eastAsia"/>
        </w:rPr>
        <w:t>/h。</w:t>
      </w:r>
    </w:p>
    <w:p>
      <w:pPr>
        <w:widowControl/>
        <w:spacing w:line="360" w:lineRule="auto"/>
        <w:ind w:firstLine="482" w:firstLineChars="200"/>
        <w:jc w:val="left"/>
        <w:rPr>
          <w:b/>
          <w:bCs/>
        </w:rPr>
      </w:pPr>
      <w:r>
        <w:rPr>
          <w:rFonts w:hint="eastAsia"/>
          <w:b/>
          <w:bCs/>
        </w:rPr>
        <w:t>（3）扒渣废气G1-3</w:t>
      </w:r>
    </w:p>
    <w:p>
      <w:pPr>
        <w:pStyle w:val="7"/>
        <w:ind w:firstLine="480"/>
      </w:pPr>
      <w:r>
        <w:rPr>
          <w:rFonts w:hint="eastAsia"/>
        </w:rPr>
        <w:t>项目在扒渣过程中需要打开炉门，炉内烟气会逸散出炉外，根据建设单位提供资料，搅拌、扒渣工序颗粒物产生比例约为10%，每批次搅拌扒渣的时间为30min，搅拌扒渣的工作</w:t>
      </w:r>
      <w:r>
        <w:t>年时基数为</w:t>
      </w:r>
      <w:r>
        <w:rPr>
          <w:rFonts w:hint="eastAsia"/>
        </w:rPr>
        <w:t>99</w:t>
      </w:r>
      <w:r>
        <w:t>0h</w:t>
      </w:r>
      <w:r>
        <w:rPr>
          <w:rFonts w:hint="eastAsia"/>
        </w:rPr>
        <w:t>。</w:t>
      </w:r>
    </w:p>
    <w:p>
      <w:pPr>
        <w:pStyle w:val="7"/>
        <w:ind w:firstLine="480"/>
      </w:pPr>
      <w:r>
        <w:rPr>
          <w:rFonts w:hint="eastAsia"/>
        </w:rPr>
        <w:t>根据前述计算，</w:t>
      </w:r>
      <w:r>
        <w:t>搅拌、扒渣过程中</w:t>
      </w:r>
      <w:r>
        <w:rPr>
          <w:rFonts w:hint="eastAsia"/>
        </w:rPr>
        <w:t>颗粒物产生量为213.44t/a，每批次搅拌扒渣的时间为30min，搅拌扒渣的工作</w:t>
      </w:r>
      <w:r>
        <w:t>年时基数为</w:t>
      </w:r>
      <w:r>
        <w:rPr>
          <w:rFonts w:hint="eastAsia"/>
        </w:rPr>
        <w:t>99</w:t>
      </w:r>
      <w:r>
        <w:t>0h</w:t>
      </w:r>
      <w:r>
        <w:rPr>
          <w:rFonts w:hint="eastAsia"/>
        </w:rPr>
        <w:t>。</w:t>
      </w:r>
      <w:r>
        <w:t>搅拌、扒渣过程中</w:t>
      </w:r>
      <w:r>
        <w:rPr>
          <w:rFonts w:hint="eastAsia"/>
        </w:rPr>
        <w:t>产生的废气由</w:t>
      </w:r>
      <w:r>
        <w:t>收集效率为9</w:t>
      </w:r>
      <w:r>
        <w:rPr>
          <w:rFonts w:hint="eastAsia"/>
        </w:rPr>
        <w:t>8</w:t>
      </w:r>
      <w:r>
        <w:t>%的集气罩收集</w:t>
      </w:r>
      <w:r>
        <w:rPr>
          <w:rFonts w:hint="eastAsia"/>
        </w:rPr>
        <w:t>后同燃烧废气、精炼废气一起进入石灰粉</w:t>
      </w:r>
      <w:r>
        <w:t>+布袋除尘器处理后</w:t>
      </w:r>
      <w:r>
        <w:rPr>
          <w:rFonts w:hint="eastAsia"/>
        </w:rPr>
        <w:t>经过35m高排气筒（P1-1）排放，有组织收集量为209.17t/a（211.28kg/h）。未收集到的颗粒物量为4.27t，以无组织的形式排放。</w:t>
      </w:r>
    </w:p>
    <w:p>
      <w:pPr>
        <w:pStyle w:val="7"/>
        <w:ind w:firstLine="482"/>
        <w:rPr>
          <w:b/>
          <w:bCs/>
        </w:rPr>
      </w:pPr>
      <w:r>
        <w:rPr>
          <w:rFonts w:hint="eastAsia"/>
          <w:b/>
          <w:bCs/>
        </w:rPr>
        <w:t>（4）铝灰分离废气G1-4</w:t>
      </w:r>
    </w:p>
    <w:p>
      <w:pPr>
        <w:pStyle w:val="2"/>
        <w:spacing w:after="0" w:line="360" w:lineRule="auto"/>
        <w:ind w:left="0" w:leftChars="0" w:firstLine="480"/>
      </w:pPr>
      <w:r>
        <w:rPr>
          <w:rFonts w:hint="eastAsia"/>
        </w:rPr>
        <w:t>一期工程在</w:t>
      </w:r>
      <w:r>
        <w:t>生产车间</w:t>
      </w:r>
      <w:r>
        <w:rPr>
          <w:rFonts w:hint="eastAsia"/>
        </w:rPr>
        <w:t>南</w:t>
      </w:r>
      <w:r>
        <w:t>侧设置有</w:t>
      </w:r>
      <w:r>
        <w:rPr>
          <w:rFonts w:hint="eastAsia"/>
        </w:rPr>
        <w:t>一</w:t>
      </w:r>
      <w:r>
        <w:t>个铝灰分离车间，铝灰分离车间单独设置一套废气处理设施，参考山东创新金属科技有限公司年产80万吨轻质高强铝合金材料改扩建项目建设项目竣工环境保护验收监测报告中5#、6#排气筒监测数据分析（注：山东创新金属科技有限公司年产80万吨轻质高强铝合金材料改扩建项目主要产品为轻质高强铝合金材料，主要原料为原铝水、镁锭、速溶硅、铝钛硼丝、精炼剂等，主要生产工艺为熔炼、静置保温、晶粒细化、过滤、结晶、锯切、均质，主要设备为熔炼炉、熔保炉、结晶机、均质炉等，主要燃料为天然气，与本项目生产工艺、原料、燃料等相</w:t>
      </w:r>
      <w:r>
        <w:rPr>
          <w:rFonts w:hint="eastAsia"/>
        </w:rPr>
        <w:t>同</w:t>
      </w:r>
      <w:r>
        <w:t>），确定5#、6#排气筒对应的4台铝灰分离设备（80万吨/年产能）相关污染物排放量为：颗粒物：0.36kg/h，2.592t/a。项目采用集气罩+旋风+布袋除尘装置对此部分铝灰分离废气进行处理，除尘装置处理效率以95%计，集气罩收集效率以95%计，则山东创新金属科技有限公司年产80万吨轻质高强铝合金材料改扩建项目铝灰分离设备颗粒物产生量为54.568t/a</w:t>
      </w:r>
      <w:r>
        <w:rPr>
          <w:rFonts w:hint="eastAsia"/>
        </w:rPr>
        <w:t>（0.068kg/t-产品）</w:t>
      </w:r>
      <w:r>
        <w:t>。</w:t>
      </w:r>
    </w:p>
    <w:p>
      <w:pPr>
        <w:pStyle w:val="2"/>
        <w:spacing w:after="0" w:line="360" w:lineRule="auto"/>
        <w:ind w:left="0" w:leftChars="0" w:firstLine="480"/>
      </w:pPr>
      <w:r>
        <w:rPr>
          <w:rFonts w:hint="eastAsia"/>
        </w:rPr>
        <w:t>类比</w:t>
      </w:r>
      <w:r>
        <w:t>以上铝灰分离工序颗粒物产排污情况，</w:t>
      </w:r>
      <w:r>
        <w:rPr>
          <w:rFonts w:hint="eastAsia"/>
        </w:rPr>
        <w:t>根据建设单位提供资料，按照不利情况考虑，本项目</w:t>
      </w:r>
      <w:r>
        <w:t>铝灰分离设备颗粒物产生</w:t>
      </w:r>
      <w:r>
        <w:rPr>
          <w:rFonts w:hint="eastAsia"/>
        </w:rPr>
        <w:t>系数在类比基础上增加30%计算，即</w:t>
      </w:r>
      <w:r>
        <w:t>为</w:t>
      </w:r>
      <w:r>
        <w:rPr>
          <w:rFonts w:hint="eastAsia"/>
        </w:rPr>
        <w:t>0.089kg/t-产品，则本项目一期工程</w:t>
      </w:r>
      <w:r>
        <w:t>（</w:t>
      </w:r>
      <w:r>
        <w:rPr>
          <w:rFonts w:hint="eastAsia"/>
        </w:rPr>
        <w:t>32</w:t>
      </w:r>
      <w:r>
        <w:t>万吨/年产能）铝灰分离设备运行过程中颗粒物产生量为</w:t>
      </w:r>
      <w:r>
        <w:rPr>
          <w:rFonts w:hint="eastAsia"/>
        </w:rPr>
        <w:t>28.48</w:t>
      </w:r>
      <w:r>
        <w:t>t/a。</w:t>
      </w:r>
    </w:p>
    <w:p>
      <w:pPr>
        <w:pStyle w:val="7"/>
        <w:ind w:firstLine="480"/>
      </w:pPr>
      <w:r>
        <w:t>本项目铝灰分离车间采用封闭式结构，且铝灰输送过程采用机械运输方式，满足铝灰不落地的要求。项目配套建设的铝灰分离设备产生的颗粒物经由管道进行收集处理，较原有项目对颗粒物收集效率有较大提升，只有在下料等软连接工序有少量颗粒物逸散，因此确定本项目铝灰分离过程废气处理装置对颗粒物收集效率以99%计，</w:t>
      </w:r>
      <w:bookmarkStart w:id="83" w:name="_Hlk43725698"/>
      <w:r>
        <w:rPr>
          <w:rFonts w:hint="eastAsia"/>
        </w:rPr>
        <w:t>根据建设单位提供资料，铝灰分离系统每天工作8</w:t>
      </w:r>
      <w:r>
        <w:t>h</w:t>
      </w:r>
      <w:r>
        <w:rPr>
          <w:rFonts w:hint="eastAsia"/>
        </w:rPr>
        <w:t>，则铝灰分离系统工作</w:t>
      </w:r>
      <w:r>
        <w:t>年时基数为</w:t>
      </w:r>
      <w:r>
        <w:rPr>
          <w:rFonts w:hint="eastAsia"/>
        </w:rPr>
        <w:t>264</w:t>
      </w:r>
      <w:r>
        <w:t>0h</w:t>
      </w:r>
      <w:r>
        <w:rPr>
          <w:rFonts w:hint="eastAsia"/>
        </w:rPr>
        <w:t>。</w:t>
      </w:r>
      <w:bookmarkEnd w:id="83"/>
      <w:r>
        <w:rPr>
          <w:rFonts w:hint="eastAsia"/>
        </w:rPr>
        <w:t>则一期工程铝灰分离废气中</w:t>
      </w:r>
      <w:r>
        <w:t>颗粒物产生</w:t>
      </w:r>
      <w:r>
        <w:rPr>
          <w:rFonts w:hint="eastAsia"/>
        </w:rPr>
        <w:t>速率</w:t>
      </w:r>
      <w:r>
        <w:t>为</w:t>
      </w:r>
      <w:r>
        <w:rPr>
          <w:rFonts w:hint="eastAsia"/>
        </w:rPr>
        <w:t>10.68kg/h、28.2t/a。</w:t>
      </w:r>
      <w:r>
        <w:t>废气经收集后进入布袋除尘器进行处理，本项目铝灰分离工序布袋除尘器除尘效率以9</w:t>
      </w:r>
      <w:r>
        <w:rPr>
          <w:rFonts w:hint="eastAsia"/>
        </w:rPr>
        <w:t>8</w:t>
      </w:r>
      <w:r>
        <w:t>%</w:t>
      </w:r>
      <w:r>
        <w:rPr>
          <w:rFonts w:hint="eastAsia"/>
        </w:rPr>
        <w:t>计</w:t>
      </w:r>
      <w:r>
        <w:t>。</w:t>
      </w:r>
      <w:r>
        <w:rPr>
          <w:rFonts w:hint="eastAsia"/>
        </w:rPr>
        <w:t>铝灰分离废气经1座20m高排气筒（P1-2）排放，</w:t>
      </w:r>
      <w:r>
        <w:t>配套</w:t>
      </w:r>
      <w:r>
        <w:rPr>
          <w:rFonts w:hint="eastAsia"/>
        </w:rPr>
        <w:t>排气系统</w:t>
      </w:r>
      <w:r>
        <w:t>引风机风量为</w:t>
      </w:r>
      <w:r>
        <w:rPr>
          <w:rFonts w:hint="eastAsia"/>
        </w:rPr>
        <w:t>1</w:t>
      </w:r>
      <w:r>
        <w:t>0000m</w:t>
      </w:r>
      <w:r>
        <w:rPr>
          <w:vertAlign w:val="superscript"/>
        </w:rPr>
        <w:t>3</w:t>
      </w:r>
      <w:r>
        <w:t>/h</w:t>
      </w:r>
      <w:r>
        <w:rPr>
          <w:rFonts w:hint="eastAsia"/>
        </w:rPr>
        <w:t>，</w:t>
      </w:r>
      <w:r>
        <w:t>颗粒物</w:t>
      </w:r>
      <w:r>
        <w:rPr>
          <w:rFonts w:hint="eastAsia"/>
        </w:rPr>
        <w:t>排放速率</w:t>
      </w:r>
      <w:r>
        <w:t>为</w:t>
      </w:r>
      <w:r>
        <w:rPr>
          <w:rFonts w:hint="eastAsia"/>
        </w:rPr>
        <w:t>0.21kg/h、0.56t/a。</w:t>
      </w:r>
    </w:p>
    <w:p>
      <w:pPr>
        <w:widowControl/>
        <w:spacing w:line="360" w:lineRule="auto"/>
        <w:ind w:firstLine="482" w:firstLineChars="200"/>
        <w:jc w:val="left"/>
        <w:rPr>
          <w:b/>
          <w:bCs/>
        </w:rPr>
      </w:pPr>
      <w:r>
        <w:rPr>
          <w:rFonts w:hint="eastAsia"/>
          <w:b/>
          <w:bCs/>
        </w:rPr>
        <w:t>（5）均质炉燃烧废气G1-5</w:t>
      </w:r>
    </w:p>
    <w:p>
      <w:pPr>
        <w:spacing w:line="360" w:lineRule="auto"/>
        <w:ind w:firstLine="480"/>
      </w:pPr>
      <w:r>
        <w:rPr>
          <w:rFonts w:hint="eastAsia"/>
        </w:rPr>
        <w:t>项目均质工序均质炉采用天然气作为燃料，天然气燃烧过程中有废气产生，主要污染物为SO</w:t>
      </w:r>
      <w:r>
        <w:rPr>
          <w:rFonts w:hint="eastAsia"/>
          <w:vertAlign w:val="subscript"/>
        </w:rPr>
        <w:t>2</w:t>
      </w:r>
      <w:r>
        <w:rPr>
          <w:rFonts w:hint="eastAsia"/>
        </w:rPr>
        <w:t>、NOx。根据企业提供资料圆铸锭生产线设置4套均质系统，其中3套批次式均质炉配置1个排气筒（P3）、1套连续式均质炉配置1个排气筒（P4）；板锭生产线设置3套批次式均质系统，配置1个排气筒（P5）。</w:t>
      </w:r>
    </w:p>
    <w:p>
      <w:pPr>
        <w:spacing w:line="360" w:lineRule="auto"/>
        <w:ind w:firstLine="480"/>
      </w:pPr>
      <w:r>
        <w:rPr>
          <w:rFonts w:hint="eastAsia"/>
        </w:rPr>
        <w:t>本次项目均质炉天然气燃料用量为336万m</w:t>
      </w:r>
      <w:r>
        <w:rPr>
          <w:rFonts w:hint="eastAsia"/>
          <w:vertAlign w:val="superscript"/>
        </w:rPr>
        <w:t>3</w:t>
      </w:r>
      <w:r>
        <w:rPr>
          <w:rFonts w:hint="eastAsia"/>
        </w:rPr>
        <w:t>/a，其中圆铸锭批次式均质炉系统天然气燃料用量为224万m</w:t>
      </w:r>
      <w:r>
        <w:rPr>
          <w:rFonts w:hint="eastAsia"/>
          <w:vertAlign w:val="superscript"/>
        </w:rPr>
        <w:t>3</w:t>
      </w:r>
      <w:r>
        <w:rPr>
          <w:rFonts w:hint="eastAsia"/>
        </w:rPr>
        <w:t>/a、圆铸锭连续式均质炉天然气燃料用量112万m</w:t>
      </w:r>
      <w:r>
        <w:rPr>
          <w:rFonts w:hint="eastAsia"/>
          <w:vertAlign w:val="superscript"/>
        </w:rPr>
        <w:t>3</w:t>
      </w:r>
      <w:r>
        <w:rPr>
          <w:rFonts w:hint="eastAsia"/>
        </w:rPr>
        <w:t>/a、板锭均质炉系统天然气燃料用量为336万m</w:t>
      </w:r>
      <w:r>
        <w:rPr>
          <w:rFonts w:hint="eastAsia"/>
          <w:vertAlign w:val="superscript"/>
        </w:rPr>
        <w:t>3</w:t>
      </w:r>
      <w:r>
        <w:rPr>
          <w:rFonts w:hint="eastAsia"/>
        </w:rPr>
        <w:t>/a。</w:t>
      </w:r>
    </w:p>
    <w:p>
      <w:pPr>
        <w:spacing w:line="360" w:lineRule="auto"/>
        <w:ind w:firstLine="480"/>
      </w:pPr>
      <w:r>
        <w:rPr>
          <w:rFonts w:hint="eastAsia"/>
        </w:rPr>
        <w:t>根据《排放源统计调查产排污核算方法和系数手册（2021）》（4430，产污系数表—燃气工业锅炉）及《环境保护实用数据手册》，天然气燃烧产生的废气量按照</w:t>
      </w:r>
      <w:r>
        <w:t>107753</w:t>
      </w:r>
      <w:r>
        <w:rPr>
          <w:rFonts w:hint="eastAsia"/>
        </w:rPr>
        <w:t>标立方米/万立方米-原料计算、NO</w:t>
      </w:r>
      <w:r>
        <w:rPr>
          <w:rFonts w:hint="eastAsia"/>
          <w:vertAlign w:val="subscript"/>
        </w:rPr>
        <w:t>x</w:t>
      </w:r>
      <w:r>
        <w:rPr>
          <w:rFonts w:hint="eastAsia"/>
        </w:rPr>
        <w:t>排放因子取15.87kg/10</w:t>
      </w:r>
      <w:r>
        <w:rPr>
          <w:rFonts w:hint="eastAsia"/>
          <w:vertAlign w:val="superscript"/>
        </w:rPr>
        <w:t>4</w:t>
      </w:r>
      <w:r>
        <w:rPr>
          <w:rFonts w:hint="eastAsia"/>
        </w:rPr>
        <w:t>m</w:t>
      </w:r>
      <w:r>
        <w:rPr>
          <w:rFonts w:hint="eastAsia"/>
          <w:vertAlign w:val="superscript"/>
        </w:rPr>
        <w:t>3</w:t>
      </w:r>
      <w:r>
        <w:rPr>
          <w:rFonts w:hint="eastAsia"/>
        </w:rPr>
        <w:t>天然气（低氮燃烧-国内一般），SO</w:t>
      </w:r>
      <w:r>
        <w:rPr>
          <w:rFonts w:hint="eastAsia"/>
          <w:vertAlign w:val="subscript"/>
        </w:rPr>
        <w:t>2</w:t>
      </w:r>
      <w:r>
        <w:rPr>
          <w:rFonts w:hint="eastAsia"/>
        </w:rPr>
        <w:t>排放因子取0.02Skg/10</w:t>
      </w:r>
      <w:r>
        <w:rPr>
          <w:rFonts w:hint="eastAsia"/>
          <w:vertAlign w:val="superscript"/>
        </w:rPr>
        <w:t>4</w:t>
      </w:r>
      <w:r>
        <w:rPr>
          <w:rFonts w:hint="eastAsia"/>
        </w:rPr>
        <w:t>m</w:t>
      </w:r>
      <w:r>
        <w:rPr>
          <w:rFonts w:hint="eastAsia"/>
          <w:vertAlign w:val="superscript"/>
        </w:rPr>
        <w:t>3</w:t>
      </w:r>
      <w:r>
        <w:rPr>
          <w:rFonts w:hint="eastAsia"/>
        </w:rPr>
        <w:t>天然气（S为硫含量，天然气含硫量按200mg/m</w:t>
      </w:r>
      <w:r>
        <w:rPr>
          <w:rFonts w:hint="eastAsia"/>
          <w:vertAlign w:val="superscript"/>
        </w:rPr>
        <w:t>3</w:t>
      </w:r>
      <w:r>
        <w:rPr>
          <w:rFonts w:hint="eastAsia"/>
        </w:rPr>
        <w:t>计算(2类标准)），烟尘排放因子取2.4kg/10</w:t>
      </w:r>
      <w:r>
        <w:rPr>
          <w:rFonts w:hint="eastAsia"/>
          <w:vertAlign w:val="superscript"/>
        </w:rPr>
        <w:t>4</w:t>
      </w:r>
      <w:r>
        <w:rPr>
          <w:rFonts w:hint="eastAsia"/>
        </w:rPr>
        <w:t>m</w:t>
      </w:r>
      <w:r>
        <w:rPr>
          <w:rFonts w:hint="eastAsia"/>
          <w:vertAlign w:val="superscript"/>
        </w:rPr>
        <w:t>3</w:t>
      </w:r>
      <w:r>
        <w:rPr>
          <w:rFonts w:hint="eastAsia"/>
        </w:rPr>
        <w:t>天然气。根据建设单位提供资料，均质炉系统每天工作12</w:t>
      </w:r>
      <w:r>
        <w:t>h</w:t>
      </w:r>
      <w:r>
        <w:rPr>
          <w:rFonts w:hint="eastAsia"/>
        </w:rPr>
        <w:t>，则均质炉工作</w:t>
      </w:r>
      <w:r>
        <w:t>年时基数为</w:t>
      </w:r>
      <w:r>
        <w:rPr>
          <w:rFonts w:hint="eastAsia"/>
        </w:rPr>
        <w:t>3960</w:t>
      </w:r>
      <w:r>
        <w:t>h</w:t>
      </w:r>
      <w:r>
        <w:rPr>
          <w:rFonts w:hint="eastAsia"/>
        </w:rPr>
        <w:t>。</w:t>
      </w:r>
    </w:p>
    <w:p>
      <w:pPr>
        <w:pStyle w:val="7"/>
        <w:ind w:firstLine="480"/>
      </w:pPr>
      <w:r>
        <w:rPr>
          <w:rFonts w:hint="eastAsia"/>
        </w:rPr>
        <w:t>圆铸锭生产线批次式均质炉燃烧废气中各污染物产排情况如下：烟尘产生量为0.54t/a（0.14kg/h）、</w:t>
      </w:r>
      <w:r>
        <w:t>SO</w:t>
      </w:r>
      <w:r>
        <w:rPr>
          <w:rFonts w:hint="eastAsia"/>
          <w:vertAlign w:val="subscript"/>
        </w:rPr>
        <w:t>2</w:t>
      </w:r>
      <w:r>
        <w:rPr>
          <w:rFonts w:hint="eastAsia"/>
        </w:rPr>
        <w:t>产生量为0.9t/a（0.23kg/h）、</w:t>
      </w:r>
      <w:r>
        <w:t>NO</w:t>
      </w:r>
      <w:r>
        <w:rPr>
          <w:rFonts w:hint="eastAsia"/>
          <w:vertAlign w:val="subscript"/>
        </w:rPr>
        <w:t>x</w:t>
      </w:r>
      <w:r>
        <w:rPr>
          <w:rFonts w:hint="eastAsia"/>
        </w:rPr>
        <w:t>产生量为3.55t/a（0.90kg/h），经由</w:t>
      </w:r>
      <w:r>
        <w:t>P</w:t>
      </w:r>
      <w:r>
        <w:rPr>
          <w:rFonts w:hint="eastAsia"/>
        </w:rPr>
        <w:t>1-3排气筒排放。</w:t>
      </w:r>
    </w:p>
    <w:p>
      <w:pPr>
        <w:pStyle w:val="7"/>
        <w:ind w:firstLine="480"/>
      </w:pPr>
      <w:r>
        <w:rPr>
          <w:rFonts w:hint="eastAsia"/>
        </w:rPr>
        <w:t>圆铸锭生产线连续式均质炉燃烧废气中各污染物产排情况如下：烟尘产生量为0.27t/a（0.068kg/h）、</w:t>
      </w:r>
      <w:r>
        <w:t>SO</w:t>
      </w:r>
      <w:r>
        <w:rPr>
          <w:rFonts w:hint="eastAsia"/>
          <w:vertAlign w:val="subscript"/>
        </w:rPr>
        <w:t>2</w:t>
      </w:r>
      <w:r>
        <w:rPr>
          <w:rFonts w:hint="eastAsia"/>
        </w:rPr>
        <w:t>产生量为0.45t/a（0.11kg/h）、</w:t>
      </w:r>
      <w:r>
        <w:t>NO</w:t>
      </w:r>
      <w:r>
        <w:rPr>
          <w:rFonts w:hint="eastAsia"/>
          <w:vertAlign w:val="subscript"/>
        </w:rPr>
        <w:t>x</w:t>
      </w:r>
      <w:r>
        <w:rPr>
          <w:rFonts w:hint="eastAsia"/>
        </w:rPr>
        <w:t>产生量为1.78t/a（0.45kg/h），经由</w:t>
      </w:r>
      <w:r>
        <w:t>P</w:t>
      </w:r>
      <w:r>
        <w:rPr>
          <w:rFonts w:hint="eastAsia"/>
        </w:rPr>
        <w:t>1-4排气筒排放。</w:t>
      </w:r>
    </w:p>
    <w:p>
      <w:pPr>
        <w:pStyle w:val="7"/>
        <w:ind w:firstLine="480"/>
      </w:pPr>
      <w:r>
        <w:rPr>
          <w:rFonts w:hint="eastAsia"/>
        </w:rPr>
        <w:t>板锭生产线均质炉燃烧废气中各污染物产排情况如下：烟尘产生量为0.81t/a（0.20kg/h）、</w:t>
      </w:r>
      <w:r>
        <w:t>SO</w:t>
      </w:r>
      <w:r>
        <w:rPr>
          <w:rFonts w:hint="eastAsia"/>
          <w:vertAlign w:val="subscript"/>
        </w:rPr>
        <w:t>2</w:t>
      </w:r>
      <w:r>
        <w:rPr>
          <w:rFonts w:hint="eastAsia"/>
        </w:rPr>
        <w:t>产生量为1.34t/a（0.34kg/h）、</w:t>
      </w:r>
      <w:r>
        <w:t>NO</w:t>
      </w:r>
      <w:r>
        <w:rPr>
          <w:rFonts w:hint="eastAsia"/>
          <w:vertAlign w:val="subscript"/>
        </w:rPr>
        <w:t>x</w:t>
      </w:r>
      <w:r>
        <w:rPr>
          <w:rFonts w:hint="eastAsia"/>
        </w:rPr>
        <w:t>产生量为5.33t/a（1.35kg/h），经由</w:t>
      </w:r>
      <w:r>
        <w:t>P</w:t>
      </w:r>
      <w:r>
        <w:rPr>
          <w:rFonts w:hint="eastAsia"/>
        </w:rPr>
        <w:t>1-5排气筒排放。</w:t>
      </w:r>
    </w:p>
    <w:p>
      <w:pPr>
        <w:spacing w:line="360" w:lineRule="auto"/>
        <w:ind w:firstLine="480"/>
      </w:pPr>
      <w:r>
        <w:t>天然气燃烧各污染物</w:t>
      </w:r>
      <w:r>
        <w:rPr>
          <w:rFonts w:hint="eastAsia"/>
        </w:rPr>
        <w:t>排放</w:t>
      </w:r>
      <w:r>
        <w:t>情况</w:t>
      </w:r>
      <w:r>
        <w:rPr>
          <w:rFonts w:hint="eastAsia"/>
        </w:rPr>
        <w:t>如下：</w:t>
      </w:r>
    </w:p>
    <w:p>
      <w:pPr>
        <w:pStyle w:val="31"/>
      </w:pPr>
      <w:r>
        <w:rPr>
          <w:rFonts w:hint="eastAsia"/>
        </w:rPr>
        <w:t>表4.4-1  项目均质炉燃烧废气污染物排放情况汇总表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039"/>
        <w:gridCol w:w="954"/>
        <w:gridCol w:w="1105"/>
        <w:gridCol w:w="944"/>
        <w:gridCol w:w="1105"/>
        <w:gridCol w:w="983"/>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restart"/>
            <w:shd w:val="clear" w:color="auto" w:fill="auto"/>
            <w:vAlign w:val="center"/>
          </w:tcPr>
          <w:p>
            <w:pPr>
              <w:pStyle w:val="33"/>
            </w:pPr>
            <w:r>
              <w:rPr>
                <w:rFonts w:hint="eastAsia"/>
              </w:rPr>
              <w:t>排放源</w:t>
            </w:r>
          </w:p>
        </w:tc>
        <w:tc>
          <w:tcPr>
            <w:tcW w:w="609" w:type="pct"/>
            <w:vMerge w:val="restart"/>
            <w:shd w:val="clear" w:color="auto" w:fill="auto"/>
            <w:vAlign w:val="center"/>
          </w:tcPr>
          <w:p>
            <w:pPr>
              <w:pStyle w:val="33"/>
            </w:pPr>
            <w:r>
              <w:rPr>
                <w:rFonts w:hint="eastAsia"/>
              </w:rPr>
              <w:t>烟气量（万m</w:t>
            </w:r>
            <w:r>
              <w:rPr>
                <w:rFonts w:hint="eastAsia"/>
                <w:vertAlign w:val="superscript"/>
              </w:rPr>
              <w:t>3</w:t>
            </w:r>
            <w:r>
              <w:rPr>
                <w:rFonts w:hint="eastAsia"/>
              </w:rPr>
              <w:t>/年）</w:t>
            </w:r>
          </w:p>
        </w:tc>
        <w:tc>
          <w:tcPr>
            <w:tcW w:w="1207" w:type="pct"/>
            <w:gridSpan w:val="2"/>
            <w:shd w:val="clear" w:color="auto" w:fill="auto"/>
            <w:vAlign w:val="center"/>
          </w:tcPr>
          <w:p>
            <w:pPr>
              <w:pStyle w:val="33"/>
            </w:pPr>
            <w:r>
              <w:rPr>
                <w:rFonts w:hint="eastAsia"/>
              </w:rPr>
              <w:t>SO</w:t>
            </w:r>
            <w:r>
              <w:rPr>
                <w:rFonts w:hint="eastAsia"/>
                <w:vertAlign w:val="subscript"/>
              </w:rPr>
              <w:t>2</w:t>
            </w:r>
          </w:p>
        </w:tc>
        <w:tc>
          <w:tcPr>
            <w:tcW w:w="1201" w:type="pct"/>
            <w:gridSpan w:val="2"/>
            <w:shd w:val="clear" w:color="auto" w:fill="auto"/>
            <w:vAlign w:val="center"/>
          </w:tcPr>
          <w:p>
            <w:pPr>
              <w:pStyle w:val="33"/>
            </w:pPr>
            <w:r>
              <w:rPr>
                <w:rFonts w:hint="eastAsia"/>
              </w:rPr>
              <w:t>NOx</w:t>
            </w:r>
          </w:p>
        </w:tc>
        <w:tc>
          <w:tcPr>
            <w:tcW w:w="1235" w:type="pct"/>
            <w:gridSpan w:val="2"/>
            <w:shd w:val="clear" w:color="auto" w:fill="auto"/>
            <w:vAlign w:val="center"/>
          </w:tcPr>
          <w:p>
            <w:pPr>
              <w:pStyle w:val="33"/>
            </w:pPr>
            <w:r>
              <w:rPr>
                <w:rFonts w:hint="eastAsia"/>
              </w:rPr>
              <w:t>烟尘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vMerge w:val="continue"/>
            <w:shd w:val="clear" w:color="auto" w:fill="auto"/>
            <w:vAlign w:val="center"/>
          </w:tcPr>
          <w:p>
            <w:pPr>
              <w:pStyle w:val="33"/>
            </w:pPr>
          </w:p>
        </w:tc>
        <w:tc>
          <w:tcPr>
            <w:tcW w:w="609" w:type="pct"/>
            <w:vMerge w:val="continue"/>
            <w:shd w:val="clear" w:color="auto" w:fill="auto"/>
            <w:vAlign w:val="center"/>
          </w:tcPr>
          <w:p>
            <w:pPr>
              <w:pStyle w:val="33"/>
            </w:pPr>
          </w:p>
        </w:tc>
        <w:tc>
          <w:tcPr>
            <w:tcW w:w="559" w:type="pct"/>
            <w:shd w:val="clear" w:color="auto" w:fill="auto"/>
            <w:vAlign w:val="center"/>
          </w:tcPr>
          <w:p>
            <w:pPr>
              <w:pStyle w:val="33"/>
            </w:pPr>
            <w:r>
              <w:rPr>
                <w:rFonts w:hint="eastAsia"/>
              </w:rPr>
              <w:t>排放量（kg/</w:t>
            </w:r>
            <w:r>
              <w:t>h</w:t>
            </w:r>
            <w:r>
              <w:rPr>
                <w:rFonts w:hint="eastAsia"/>
              </w:rPr>
              <w:t>）</w:t>
            </w:r>
          </w:p>
        </w:tc>
        <w:tc>
          <w:tcPr>
            <w:tcW w:w="647" w:type="pct"/>
            <w:shd w:val="clear" w:color="auto" w:fill="auto"/>
            <w:vAlign w:val="center"/>
          </w:tcPr>
          <w:p>
            <w:pPr>
              <w:pStyle w:val="33"/>
            </w:pPr>
            <w:r>
              <w:rPr>
                <w:rFonts w:hint="eastAsia"/>
              </w:rPr>
              <w:t>排放浓度（mg/m</w:t>
            </w:r>
            <w:r>
              <w:rPr>
                <w:rFonts w:hint="eastAsia"/>
                <w:vertAlign w:val="superscript"/>
              </w:rPr>
              <w:t>3</w:t>
            </w:r>
            <w:r>
              <w:rPr>
                <w:rFonts w:hint="eastAsia"/>
              </w:rPr>
              <w:t>）</w:t>
            </w:r>
          </w:p>
        </w:tc>
        <w:tc>
          <w:tcPr>
            <w:tcW w:w="553" w:type="pct"/>
            <w:shd w:val="clear" w:color="auto" w:fill="auto"/>
            <w:vAlign w:val="center"/>
          </w:tcPr>
          <w:p>
            <w:pPr>
              <w:pStyle w:val="33"/>
            </w:pPr>
            <w:r>
              <w:rPr>
                <w:rFonts w:hint="eastAsia"/>
              </w:rPr>
              <w:t>排放量（kg/</w:t>
            </w:r>
            <w:r>
              <w:t>h</w:t>
            </w:r>
            <w:r>
              <w:rPr>
                <w:rFonts w:hint="eastAsia"/>
              </w:rPr>
              <w:t>）</w:t>
            </w:r>
          </w:p>
        </w:tc>
        <w:tc>
          <w:tcPr>
            <w:tcW w:w="647" w:type="pct"/>
            <w:shd w:val="clear" w:color="auto" w:fill="auto"/>
            <w:vAlign w:val="center"/>
          </w:tcPr>
          <w:p>
            <w:pPr>
              <w:pStyle w:val="33"/>
            </w:pPr>
            <w:r>
              <w:rPr>
                <w:rFonts w:hint="eastAsia"/>
              </w:rPr>
              <w:t>排放浓度（mg/m</w:t>
            </w:r>
            <w:r>
              <w:rPr>
                <w:rFonts w:hint="eastAsia"/>
                <w:vertAlign w:val="superscript"/>
              </w:rPr>
              <w:t>3</w:t>
            </w:r>
            <w:r>
              <w:rPr>
                <w:rFonts w:hint="eastAsia"/>
              </w:rPr>
              <w:t>）</w:t>
            </w:r>
          </w:p>
        </w:tc>
        <w:tc>
          <w:tcPr>
            <w:tcW w:w="577" w:type="pct"/>
            <w:shd w:val="clear" w:color="auto" w:fill="auto"/>
            <w:vAlign w:val="center"/>
          </w:tcPr>
          <w:p>
            <w:pPr>
              <w:pStyle w:val="33"/>
            </w:pPr>
            <w:r>
              <w:rPr>
                <w:rFonts w:hint="eastAsia"/>
              </w:rPr>
              <w:t>排放量（kg/</w:t>
            </w:r>
            <w:r>
              <w:t>h</w:t>
            </w:r>
            <w:r>
              <w:rPr>
                <w:rFonts w:hint="eastAsia"/>
              </w:rPr>
              <w:t>）</w:t>
            </w:r>
          </w:p>
        </w:tc>
        <w:tc>
          <w:tcPr>
            <w:tcW w:w="657" w:type="pct"/>
            <w:shd w:val="clear" w:color="auto" w:fill="auto"/>
            <w:vAlign w:val="center"/>
          </w:tcPr>
          <w:p>
            <w:pPr>
              <w:pStyle w:val="33"/>
            </w:pPr>
            <w:r>
              <w:rPr>
                <w:rFonts w:hint="eastAsia"/>
              </w:rPr>
              <w:t>排放浓度（mg/m</w:t>
            </w:r>
            <w:r>
              <w:rPr>
                <w:rFonts w:hint="eastAsia"/>
                <w:vertAlign w:val="superscript"/>
              </w:rPr>
              <w:t>3</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32"/>
            </w:pPr>
            <w:r>
              <w:t>P</w:t>
            </w:r>
            <w:r>
              <w:rPr>
                <w:rFonts w:hint="eastAsia"/>
              </w:rPr>
              <w:t>1-3排气筒</w:t>
            </w:r>
          </w:p>
        </w:tc>
        <w:tc>
          <w:tcPr>
            <w:tcW w:w="609" w:type="pct"/>
            <w:shd w:val="clear" w:color="auto" w:fill="auto"/>
            <w:vAlign w:val="center"/>
          </w:tcPr>
          <w:p>
            <w:pPr>
              <w:pStyle w:val="32"/>
            </w:pPr>
            <w:r>
              <w:rPr>
                <w:rFonts w:hint="eastAsia"/>
              </w:rPr>
              <w:t>2413.67</w:t>
            </w:r>
          </w:p>
        </w:tc>
        <w:tc>
          <w:tcPr>
            <w:tcW w:w="559" w:type="pct"/>
            <w:shd w:val="clear" w:color="auto" w:fill="auto"/>
            <w:vAlign w:val="center"/>
          </w:tcPr>
          <w:p>
            <w:pPr>
              <w:pStyle w:val="32"/>
            </w:pPr>
            <w:r>
              <w:rPr>
                <w:rFonts w:hint="eastAsia"/>
              </w:rPr>
              <w:t>0.23</w:t>
            </w:r>
          </w:p>
        </w:tc>
        <w:tc>
          <w:tcPr>
            <w:tcW w:w="647" w:type="pct"/>
            <w:shd w:val="clear" w:color="auto" w:fill="auto"/>
            <w:vAlign w:val="center"/>
          </w:tcPr>
          <w:p>
            <w:pPr>
              <w:pStyle w:val="32"/>
            </w:pPr>
            <w:r>
              <w:rPr>
                <w:rFonts w:hint="eastAsia"/>
              </w:rPr>
              <w:t>37.12</w:t>
            </w:r>
          </w:p>
        </w:tc>
        <w:tc>
          <w:tcPr>
            <w:tcW w:w="553" w:type="pct"/>
            <w:shd w:val="clear" w:color="auto" w:fill="auto"/>
            <w:vAlign w:val="center"/>
          </w:tcPr>
          <w:p>
            <w:pPr>
              <w:pStyle w:val="32"/>
            </w:pPr>
            <w:r>
              <w:rPr>
                <w:rFonts w:hint="eastAsia"/>
              </w:rPr>
              <w:t>0.90</w:t>
            </w:r>
          </w:p>
        </w:tc>
        <w:tc>
          <w:tcPr>
            <w:tcW w:w="647" w:type="pct"/>
            <w:shd w:val="clear" w:color="auto" w:fill="auto"/>
            <w:vAlign w:val="center"/>
          </w:tcPr>
          <w:p>
            <w:pPr>
              <w:pStyle w:val="32"/>
            </w:pPr>
            <w:r>
              <w:rPr>
                <w:rFonts w:hint="eastAsia"/>
              </w:rPr>
              <w:t>147.28</w:t>
            </w:r>
          </w:p>
        </w:tc>
        <w:tc>
          <w:tcPr>
            <w:tcW w:w="577" w:type="pct"/>
            <w:shd w:val="clear" w:color="auto" w:fill="auto"/>
            <w:vAlign w:val="center"/>
          </w:tcPr>
          <w:p>
            <w:pPr>
              <w:pStyle w:val="32"/>
            </w:pPr>
            <w:r>
              <w:rPr>
                <w:rFonts w:hint="eastAsia"/>
              </w:rPr>
              <w:t>0.14</w:t>
            </w:r>
          </w:p>
        </w:tc>
        <w:tc>
          <w:tcPr>
            <w:tcW w:w="657" w:type="pct"/>
            <w:shd w:val="clear" w:color="auto" w:fill="auto"/>
            <w:vAlign w:val="center"/>
          </w:tcPr>
          <w:p>
            <w:pPr>
              <w:pStyle w:val="32"/>
            </w:pPr>
            <w:r>
              <w:rPr>
                <w:rFonts w:hint="eastAsia"/>
              </w:rPr>
              <w:t>22.27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32"/>
            </w:pPr>
            <w:r>
              <w:t>P</w:t>
            </w:r>
            <w:r>
              <w:rPr>
                <w:rFonts w:hint="eastAsia"/>
              </w:rPr>
              <w:t>1-4排气筒</w:t>
            </w:r>
          </w:p>
        </w:tc>
        <w:tc>
          <w:tcPr>
            <w:tcW w:w="609" w:type="pct"/>
            <w:shd w:val="clear" w:color="auto" w:fill="auto"/>
            <w:vAlign w:val="center"/>
          </w:tcPr>
          <w:p>
            <w:pPr>
              <w:pStyle w:val="32"/>
            </w:pPr>
            <w:r>
              <w:rPr>
                <w:rFonts w:hint="eastAsia"/>
              </w:rPr>
              <w:t>1206.83</w:t>
            </w:r>
          </w:p>
        </w:tc>
        <w:tc>
          <w:tcPr>
            <w:tcW w:w="559" w:type="pct"/>
            <w:shd w:val="clear" w:color="auto" w:fill="auto"/>
            <w:vAlign w:val="center"/>
          </w:tcPr>
          <w:p>
            <w:pPr>
              <w:pStyle w:val="32"/>
            </w:pPr>
            <w:r>
              <w:rPr>
                <w:rFonts w:hint="eastAsia"/>
              </w:rPr>
              <w:t>0.11</w:t>
            </w:r>
          </w:p>
        </w:tc>
        <w:tc>
          <w:tcPr>
            <w:tcW w:w="647" w:type="pct"/>
            <w:shd w:val="clear" w:color="auto" w:fill="auto"/>
            <w:vAlign w:val="center"/>
          </w:tcPr>
          <w:p>
            <w:pPr>
              <w:pStyle w:val="32"/>
            </w:pPr>
            <w:r>
              <w:rPr>
                <w:rFonts w:hint="eastAsia"/>
              </w:rPr>
              <w:t>37.12</w:t>
            </w:r>
          </w:p>
        </w:tc>
        <w:tc>
          <w:tcPr>
            <w:tcW w:w="553" w:type="pct"/>
            <w:shd w:val="clear" w:color="auto" w:fill="auto"/>
            <w:vAlign w:val="center"/>
          </w:tcPr>
          <w:p>
            <w:pPr>
              <w:pStyle w:val="32"/>
            </w:pPr>
            <w:r>
              <w:rPr>
                <w:rFonts w:hint="eastAsia"/>
              </w:rPr>
              <w:t>0.45</w:t>
            </w:r>
          </w:p>
        </w:tc>
        <w:tc>
          <w:tcPr>
            <w:tcW w:w="647" w:type="pct"/>
            <w:shd w:val="clear" w:color="auto" w:fill="auto"/>
            <w:vAlign w:val="center"/>
          </w:tcPr>
          <w:p>
            <w:pPr>
              <w:pStyle w:val="32"/>
            </w:pPr>
            <w:r>
              <w:rPr>
                <w:rFonts w:hint="eastAsia"/>
              </w:rPr>
              <w:t>147.28</w:t>
            </w:r>
          </w:p>
        </w:tc>
        <w:tc>
          <w:tcPr>
            <w:tcW w:w="577" w:type="pct"/>
            <w:shd w:val="clear" w:color="auto" w:fill="auto"/>
            <w:vAlign w:val="center"/>
          </w:tcPr>
          <w:p>
            <w:pPr>
              <w:pStyle w:val="32"/>
            </w:pPr>
            <w:r>
              <w:rPr>
                <w:rFonts w:hint="eastAsia"/>
              </w:rPr>
              <w:t>0.068</w:t>
            </w:r>
          </w:p>
        </w:tc>
        <w:tc>
          <w:tcPr>
            <w:tcW w:w="657" w:type="pct"/>
            <w:shd w:val="clear" w:color="auto" w:fill="auto"/>
            <w:vAlign w:val="center"/>
          </w:tcPr>
          <w:p>
            <w:pPr>
              <w:pStyle w:val="32"/>
            </w:pPr>
            <w:r>
              <w:rPr>
                <w:rFonts w:hint="eastAsia"/>
              </w:rPr>
              <w:t>22.27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5" w:type="pct"/>
            <w:shd w:val="clear" w:color="auto" w:fill="auto"/>
            <w:vAlign w:val="center"/>
          </w:tcPr>
          <w:p>
            <w:pPr>
              <w:pStyle w:val="32"/>
            </w:pPr>
            <w:r>
              <w:t>P</w:t>
            </w:r>
            <w:r>
              <w:rPr>
                <w:rFonts w:hint="eastAsia"/>
              </w:rPr>
              <w:t>1-5排气筒</w:t>
            </w:r>
          </w:p>
        </w:tc>
        <w:tc>
          <w:tcPr>
            <w:tcW w:w="609" w:type="pct"/>
            <w:shd w:val="clear" w:color="auto" w:fill="auto"/>
            <w:vAlign w:val="center"/>
          </w:tcPr>
          <w:p>
            <w:pPr>
              <w:pStyle w:val="32"/>
            </w:pPr>
            <w:r>
              <w:rPr>
                <w:rFonts w:hint="eastAsia"/>
              </w:rPr>
              <w:t>3620.5</w:t>
            </w:r>
          </w:p>
        </w:tc>
        <w:tc>
          <w:tcPr>
            <w:tcW w:w="559" w:type="pct"/>
            <w:shd w:val="clear" w:color="auto" w:fill="auto"/>
            <w:vAlign w:val="center"/>
          </w:tcPr>
          <w:p>
            <w:pPr>
              <w:pStyle w:val="32"/>
            </w:pPr>
            <w:r>
              <w:rPr>
                <w:rFonts w:hint="eastAsia"/>
              </w:rPr>
              <w:t>0.34</w:t>
            </w:r>
          </w:p>
        </w:tc>
        <w:tc>
          <w:tcPr>
            <w:tcW w:w="647" w:type="pct"/>
            <w:shd w:val="clear" w:color="auto" w:fill="auto"/>
            <w:vAlign w:val="center"/>
          </w:tcPr>
          <w:p>
            <w:pPr>
              <w:pStyle w:val="32"/>
            </w:pPr>
            <w:r>
              <w:rPr>
                <w:rFonts w:hint="eastAsia"/>
              </w:rPr>
              <w:t>37.12</w:t>
            </w:r>
          </w:p>
        </w:tc>
        <w:tc>
          <w:tcPr>
            <w:tcW w:w="553" w:type="pct"/>
            <w:shd w:val="clear" w:color="auto" w:fill="auto"/>
            <w:vAlign w:val="center"/>
          </w:tcPr>
          <w:p>
            <w:pPr>
              <w:pStyle w:val="32"/>
            </w:pPr>
            <w:r>
              <w:rPr>
                <w:rFonts w:hint="eastAsia"/>
              </w:rPr>
              <w:t>1.35</w:t>
            </w:r>
          </w:p>
        </w:tc>
        <w:tc>
          <w:tcPr>
            <w:tcW w:w="647" w:type="pct"/>
            <w:shd w:val="clear" w:color="auto" w:fill="auto"/>
            <w:vAlign w:val="center"/>
          </w:tcPr>
          <w:p>
            <w:pPr>
              <w:pStyle w:val="32"/>
            </w:pPr>
            <w:r>
              <w:rPr>
                <w:rFonts w:hint="eastAsia"/>
              </w:rPr>
              <w:t>147.28</w:t>
            </w:r>
          </w:p>
        </w:tc>
        <w:tc>
          <w:tcPr>
            <w:tcW w:w="577" w:type="pct"/>
            <w:shd w:val="clear" w:color="auto" w:fill="auto"/>
            <w:vAlign w:val="center"/>
          </w:tcPr>
          <w:p>
            <w:pPr>
              <w:pStyle w:val="32"/>
            </w:pPr>
            <w:r>
              <w:rPr>
                <w:rFonts w:hint="eastAsia"/>
              </w:rPr>
              <w:t>0.20</w:t>
            </w:r>
          </w:p>
        </w:tc>
        <w:tc>
          <w:tcPr>
            <w:tcW w:w="657" w:type="pct"/>
            <w:shd w:val="clear" w:color="auto" w:fill="auto"/>
            <w:vAlign w:val="center"/>
          </w:tcPr>
          <w:p>
            <w:pPr>
              <w:pStyle w:val="32"/>
            </w:pPr>
            <w:r>
              <w:rPr>
                <w:rFonts w:hint="eastAsia"/>
              </w:rPr>
              <w:t>22.27</w:t>
            </w:r>
          </w:p>
        </w:tc>
      </w:tr>
    </w:tbl>
    <w:p>
      <w:pPr>
        <w:pStyle w:val="7"/>
        <w:ind w:firstLine="482"/>
        <w:rPr>
          <w:b/>
          <w:bCs/>
        </w:rPr>
      </w:pPr>
      <w:r>
        <w:rPr>
          <w:rFonts w:hint="eastAsia"/>
          <w:b/>
          <w:bCs/>
        </w:rPr>
        <w:t>（6）食堂油烟废气G1-6</w:t>
      </w:r>
    </w:p>
    <w:p>
      <w:pPr>
        <w:pStyle w:val="7"/>
        <w:ind w:firstLine="480"/>
      </w:pPr>
      <w:r>
        <w:rPr>
          <w:rFonts w:hint="eastAsia"/>
        </w:rPr>
        <w:t>本项目一期工程所需人员为100人、二期工程所需人员为50人，合计150人。人均食用油用量约30g/人·天，不同的烧炸工况，油烟气中烟气浓度及挥发量均有所不同，油的平均挥发量为总耗油量的2%~3%，本次环评取3%，其食用油消耗量约为4.5kg/d，油烟产生量约为0.033kg/h、0.04t/a。</w:t>
      </w:r>
      <w:r>
        <w:t>本项目</w:t>
      </w:r>
      <w:r>
        <w:rPr>
          <w:rFonts w:hint="eastAsia"/>
        </w:rPr>
        <w:t>3</w:t>
      </w:r>
      <w:r>
        <w:t>个基准灶头计，单个基准灶头排风量约</w:t>
      </w:r>
      <w:r>
        <w:rPr>
          <w:rFonts w:hint="eastAsia"/>
        </w:rPr>
        <w:t>2</w:t>
      </w:r>
      <w:r>
        <w:t>000m</w:t>
      </w:r>
      <w:r>
        <w:rPr>
          <w:vertAlign w:val="superscript"/>
        </w:rPr>
        <w:t>3</w:t>
      </w:r>
      <w:r>
        <w:t>/h，则总排风量约为</w:t>
      </w:r>
      <w:r>
        <w:rPr>
          <w:rFonts w:hint="eastAsia"/>
        </w:rPr>
        <w:t>6</w:t>
      </w:r>
      <w:r>
        <w:t>000m</w:t>
      </w:r>
      <w:r>
        <w:rPr>
          <w:vertAlign w:val="superscript"/>
        </w:rPr>
        <w:t>3</w:t>
      </w:r>
      <w:r>
        <w:t>/h，油烟产生浓度约</w:t>
      </w:r>
      <w:r>
        <w:rPr>
          <w:rFonts w:hint="eastAsia"/>
        </w:rPr>
        <w:t>5.6</w:t>
      </w:r>
      <w:r>
        <w:t>mg/m</w:t>
      </w:r>
      <w:r>
        <w:rPr>
          <w:vertAlign w:val="superscript"/>
        </w:rPr>
        <w:t>3</w:t>
      </w:r>
      <w:r>
        <w:t>。</w:t>
      </w:r>
    </w:p>
    <w:p>
      <w:pPr>
        <w:pStyle w:val="7"/>
        <w:ind w:firstLine="480"/>
      </w:pPr>
      <w:r>
        <w:t>食堂油烟废气经集气罩收集后由一根总风管引出，通至楼顶经专用静电复合式高效油烟净化器净化后排放。风机风量为</w:t>
      </w:r>
      <w:r>
        <w:rPr>
          <w:rFonts w:hint="eastAsia"/>
        </w:rPr>
        <w:t>6000</w:t>
      </w:r>
      <w:r>
        <w:t>m</w:t>
      </w:r>
      <w:r>
        <w:rPr>
          <w:vertAlign w:val="superscript"/>
        </w:rPr>
        <w:t>3</w:t>
      </w:r>
      <w:r>
        <w:t>/h，净化效率以</w:t>
      </w:r>
      <w:r>
        <w:rPr>
          <w:rFonts w:hint="eastAsia"/>
        </w:rPr>
        <w:t>75</w:t>
      </w:r>
      <w:r>
        <w:t>%计算，则项目油烟排放浓度为</w:t>
      </w:r>
      <w:r>
        <w:rPr>
          <w:rFonts w:hint="eastAsia"/>
        </w:rPr>
        <w:t>1.4</w:t>
      </w:r>
      <w:r>
        <w:t>mg/m</w:t>
      </w:r>
      <w:r>
        <w:rPr>
          <w:vertAlign w:val="superscript"/>
        </w:rPr>
        <w:t>3</w:t>
      </w:r>
      <w:r>
        <w:t>，</w:t>
      </w:r>
      <w:r>
        <w:rPr>
          <w:rFonts w:hint="eastAsia"/>
        </w:rPr>
        <w:t>排</w:t>
      </w:r>
      <w:r>
        <w:t>放量为</w:t>
      </w:r>
      <w:r>
        <w:rPr>
          <w:rFonts w:hint="eastAsia"/>
        </w:rPr>
        <w:t>0.0084kg/h、</w:t>
      </w:r>
      <w:r>
        <w:t>0.01</w:t>
      </w:r>
      <w:r>
        <w:rPr>
          <w:rFonts w:hint="eastAsia"/>
        </w:rPr>
        <w:t>1</w:t>
      </w:r>
      <w:r>
        <w:t>t/a。可达到《饮食业油烟排放标准》（GB18483-2001）中的排放标准要求（2.0mg/m</w:t>
      </w:r>
      <w:r>
        <w:rPr>
          <w:vertAlign w:val="superscript"/>
        </w:rPr>
        <w:t>3</w:t>
      </w:r>
      <w:r>
        <w:t>）及油烟去除率要求（75%）。油烟排气口设置在厨房所在建筑楼顶，离地高度大约为</w:t>
      </w:r>
      <w:r>
        <w:rPr>
          <w:rFonts w:hint="eastAsia"/>
        </w:rPr>
        <w:t>8</w:t>
      </w:r>
      <w:r>
        <w:t>m。</w:t>
      </w:r>
    </w:p>
    <w:p>
      <w:pPr>
        <w:topLinePunct/>
        <w:adjustRightInd w:val="0"/>
        <w:spacing w:line="360" w:lineRule="auto"/>
        <w:ind w:firstLine="482"/>
        <w:rPr>
          <w:b/>
          <w:bCs/>
        </w:rPr>
      </w:pPr>
      <w:r>
        <w:rPr>
          <w:rFonts w:hint="eastAsia"/>
          <w:b/>
          <w:bCs/>
        </w:rPr>
        <w:t>2</w:t>
      </w:r>
      <w:r>
        <w:rPr>
          <w:b/>
          <w:bCs/>
        </w:rPr>
        <w:t>、</w:t>
      </w:r>
      <w:r>
        <w:rPr>
          <w:rFonts w:hint="eastAsia"/>
          <w:b/>
          <w:bCs/>
        </w:rPr>
        <w:t>无组织</w:t>
      </w:r>
      <w:r>
        <w:rPr>
          <w:b/>
          <w:bCs/>
        </w:rPr>
        <w:t>废气</w:t>
      </w:r>
    </w:p>
    <w:p>
      <w:pPr>
        <w:spacing w:line="360" w:lineRule="auto"/>
        <w:ind w:firstLine="480"/>
      </w:pPr>
      <w:bookmarkStart w:id="84" w:name="_Hlk43726383"/>
      <w:r>
        <w:t>本项目无组织废气主要包括扒渣工序未被收集逸散的少量颗粒物</w:t>
      </w:r>
      <w:r>
        <w:rPr>
          <w:rFonts w:hint="eastAsia"/>
        </w:rPr>
        <w:t>以及</w:t>
      </w:r>
      <w:r>
        <w:t>铝灰分离工序未被收集逸散的少量颗粒物。</w:t>
      </w:r>
    </w:p>
    <w:p>
      <w:pPr>
        <w:spacing w:line="360" w:lineRule="auto"/>
        <w:ind w:firstLine="480"/>
      </w:pPr>
      <w:r>
        <w:t>（1）扒渣工序无组织废气</w:t>
      </w:r>
    </w:p>
    <w:p>
      <w:pPr>
        <w:spacing w:line="360" w:lineRule="auto"/>
        <w:ind w:firstLine="480"/>
      </w:pPr>
      <w:r>
        <w:rPr>
          <w:rFonts w:hint="eastAsia"/>
        </w:rPr>
        <w:t>根据分析，搅拌、</w:t>
      </w:r>
      <w:r>
        <w:t>扒渣工序废气集气罩收集效率为9</w:t>
      </w:r>
      <w:r>
        <w:rPr>
          <w:rFonts w:hint="eastAsia"/>
        </w:rPr>
        <w:t>8</w:t>
      </w:r>
      <w:r>
        <w:t>%，未被收集的颗粒物量占此工序颗粒物产生总量的</w:t>
      </w:r>
      <w:r>
        <w:rPr>
          <w:rFonts w:hint="eastAsia"/>
        </w:rPr>
        <w:t>2</w:t>
      </w:r>
      <w:r>
        <w:t>%，产生量为</w:t>
      </w:r>
      <w:r>
        <w:rPr>
          <w:rFonts w:hint="eastAsia"/>
        </w:rPr>
        <w:t>4.27</w:t>
      </w:r>
      <w:r>
        <w:t>t/a，无组织排放。</w:t>
      </w:r>
      <w:r>
        <w:rPr>
          <w:rFonts w:hint="eastAsia"/>
        </w:rPr>
        <w:t>熔炼炉、保温炉建设在项目厂房内，属于半密闭厂房，厂房及颗粒物自然沉降效率按50%计算，则一期工程生产车间排放无组织粉尘0.43kg/h、2.13t/a。</w:t>
      </w:r>
    </w:p>
    <w:p>
      <w:pPr>
        <w:pStyle w:val="7"/>
        <w:ind w:firstLine="480"/>
      </w:pPr>
      <w:r>
        <w:t>（2）铝灰分离</w:t>
      </w:r>
      <w:r>
        <w:rPr>
          <w:rFonts w:hint="eastAsia"/>
        </w:rPr>
        <w:t>工序</w:t>
      </w:r>
      <w:r>
        <w:t>无组织废气</w:t>
      </w:r>
    </w:p>
    <w:p>
      <w:pPr>
        <w:pStyle w:val="7"/>
        <w:ind w:firstLine="480"/>
      </w:pPr>
      <w:r>
        <w:t>项目铝灰分离设备产生颗粒物经由管道进行收集处理，只有在下料等软连接工序有少量颗粒物逸散，因此本项目铝灰分离过程废气处理装置对颗粒物收集效率以99%计，未被收集的颗粒物量占此工序颗粒物产生总量的1%，</w:t>
      </w:r>
      <w:r>
        <w:rPr>
          <w:rFonts w:hint="eastAsia"/>
        </w:rPr>
        <w:t>则</w:t>
      </w:r>
      <w:r>
        <w:t>产生量为</w:t>
      </w:r>
      <w:r>
        <w:rPr>
          <w:rFonts w:hint="eastAsia"/>
        </w:rPr>
        <w:t>0.28</w:t>
      </w:r>
      <w:r>
        <w:t>t/a，无组织排放。</w:t>
      </w:r>
      <w:r>
        <w:rPr>
          <w:rFonts w:hint="eastAsia"/>
        </w:rPr>
        <w:t>熔炼炉、保温炉建设在项目厂房内，属于半密闭厂房，厂房及颗粒物自然沉降效率按50%计算，则一期工程铝灰分离车间排放无组织粉尘0.</w:t>
      </w:r>
      <w:r>
        <w:t>0</w:t>
      </w:r>
      <w:r>
        <w:rPr>
          <w:rFonts w:hint="eastAsia"/>
        </w:rPr>
        <w:t>54kg/h、0.14t/a</w:t>
      </w:r>
      <w:bookmarkEnd w:id="84"/>
      <w:r>
        <w:rPr>
          <w:rFonts w:hint="eastAsia"/>
        </w:rPr>
        <w:t>。</w:t>
      </w:r>
    </w:p>
    <w:p>
      <w:pPr>
        <w:topLinePunct/>
        <w:adjustRightInd w:val="0"/>
        <w:spacing w:line="360" w:lineRule="auto"/>
        <w:ind w:firstLine="482"/>
        <w:rPr>
          <w:b/>
          <w:bCs/>
        </w:rPr>
      </w:pPr>
      <w:r>
        <w:rPr>
          <w:rFonts w:hint="eastAsia"/>
          <w:b/>
          <w:bCs/>
        </w:rPr>
        <w:t>3、一期工程废气总汇</w:t>
      </w:r>
    </w:p>
    <w:p>
      <w:pPr>
        <w:spacing w:line="440" w:lineRule="exact"/>
        <w:ind w:firstLine="480" w:firstLineChars="200"/>
      </w:pPr>
      <w:r>
        <w:rPr>
          <w:rFonts w:hint="eastAsia"/>
        </w:rPr>
        <w:t>项目一期工程建成后的废气按生产工序，分为有组织排放和无组织排放，有组织废气排放情况见表4.4-2，无组织废气排放情况见表4.4-3。</w:t>
      </w:r>
    </w:p>
    <w:p>
      <w:pPr>
        <w:pStyle w:val="7"/>
        <w:ind w:firstLine="480"/>
        <w:sectPr>
          <w:pgSz w:w="11906" w:h="16838"/>
          <w:pgMar w:top="1440" w:right="1800" w:bottom="1440" w:left="1800" w:header="851" w:footer="992" w:gutter="0"/>
          <w:cols w:space="425" w:num="1"/>
          <w:docGrid w:type="lines" w:linePitch="312" w:charSpace="0"/>
        </w:sectPr>
      </w:pPr>
    </w:p>
    <w:p>
      <w:pPr>
        <w:pStyle w:val="31"/>
        <w:spacing w:before="60"/>
      </w:pPr>
      <w:r>
        <w:rPr>
          <w:rFonts w:hint="eastAsia"/>
        </w:rPr>
        <w:t>表4.4-2  一期工程有组织废气排放情况</w:t>
      </w:r>
    </w:p>
    <w:tbl>
      <w:tblPr>
        <w:tblStyle w:val="27"/>
        <w:tblW w:w="51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1300"/>
        <w:gridCol w:w="794"/>
        <w:gridCol w:w="774"/>
        <w:gridCol w:w="837"/>
        <w:gridCol w:w="811"/>
        <w:gridCol w:w="829"/>
        <w:gridCol w:w="762"/>
        <w:gridCol w:w="788"/>
        <w:gridCol w:w="814"/>
        <w:gridCol w:w="739"/>
        <w:gridCol w:w="612"/>
        <w:gridCol w:w="603"/>
        <w:gridCol w:w="1598"/>
        <w:gridCol w:w="768"/>
        <w:gridCol w:w="671"/>
        <w:gridCol w:w="611"/>
        <w:gridCol w:w="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restart"/>
            <w:vAlign w:val="center"/>
          </w:tcPr>
          <w:p>
            <w:pPr>
              <w:jc w:val="center"/>
              <w:rPr>
                <w:b/>
                <w:sz w:val="18"/>
                <w:szCs w:val="18"/>
              </w:rPr>
            </w:pPr>
            <w:r>
              <w:rPr>
                <w:rFonts w:hint="eastAsia"/>
                <w:b/>
                <w:sz w:val="18"/>
                <w:szCs w:val="18"/>
              </w:rPr>
              <w:t>编号</w:t>
            </w:r>
          </w:p>
        </w:tc>
        <w:tc>
          <w:tcPr>
            <w:tcW w:w="448" w:type="pct"/>
            <w:vMerge w:val="restart"/>
            <w:vAlign w:val="center"/>
          </w:tcPr>
          <w:p>
            <w:pPr>
              <w:widowControl/>
              <w:jc w:val="center"/>
              <w:rPr>
                <w:b/>
                <w:sz w:val="18"/>
                <w:szCs w:val="18"/>
              </w:rPr>
            </w:pPr>
            <w:r>
              <w:rPr>
                <w:rFonts w:hint="eastAsia"/>
                <w:b/>
                <w:sz w:val="18"/>
                <w:szCs w:val="18"/>
              </w:rPr>
              <w:t>污染源</w:t>
            </w:r>
          </w:p>
          <w:p>
            <w:pPr>
              <w:widowControl/>
              <w:jc w:val="center"/>
              <w:rPr>
                <w:b/>
                <w:sz w:val="18"/>
                <w:szCs w:val="18"/>
              </w:rPr>
            </w:pPr>
            <w:r>
              <w:rPr>
                <w:rFonts w:hint="eastAsia"/>
                <w:b/>
                <w:sz w:val="18"/>
                <w:szCs w:val="18"/>
              </w:rPr>
              <w:t>名称</w:t>
            </w:r>
          </w:p>
        </w:tc>
        <w:tc>
          <w:tcPr>
            <w:tcW w:w="274" w:type="pct"/>
            <w:vMerge w:val="restart"/>
            <w:vAlign w:val="center"/>
          </w:tcPr>
          <w:p>
            <w:pPr>
              <w:widowControl/>
              <w:jc w:val="center"/>
              <w:rPr>
                <w:b/>
                <w:sz w:val="18"/>
                <w:szCs w:val="18"/>
              </w:rPr>
            </w:pPr>
            <w:r>
              <w:rPr>
                <w:rFonts w:hint="eastAsia"/>
                <w:b/>
                <w:sz w:val="18"/>
                <w:szCs w:val="18"/>
              </w:rPr>
              <w:t>排气量</w:t>
            </w:r>
          </w:p>
          <w:p>
            <w:pPr>
              <w:widowControl/>
              <w:jc w:val="center"/>
              <w:rPr>
                <w:b/>
                <w:sz w:val="18"/>
                <w:szCs w:val="18"/>
              </w:rPr>
            </w:pPr>
            <w:r>
              <w:rPr>
                <w:b/>
                <w:sz w:val="18"/>
                <w:szCs w:val="18"/>
              </w:rPr>
              <w:t>m</w:t>
            </w:r>
            <w:r>
              <w:rPr>
                <w:b/>
                <w:sz w:val="18"/>
                <w:szCs w:val="18"/>
                <w:vertAlign w:val="superscript"/>
              </w:rPr>
              <w:t>3</w:t>
            </w:r>
            <w:r>
              <w:rPr>
                <w:b/>
                <w:sz w:val="18"/>
                <w:szCs w:val="18"/>
              </w:rPr>
              <w:t>/h</w:t>
            </w:r>
          </w:p>
        </w:tc>
        <w:tc>
          <w:tcPr>
            <w:tcW w:w="267" w:type="pct"/>
            <w:vMerge w:val="restart"/>
            <w:vAlign w:val="center"/>
          </w:tcPr>
          <w:p>
            <w:pPr>
              <w:widowControl/>
              <w:jc w:val="center"/>
              <w:rPr>
                <w:b/>
                <w:sz w:val="18"/>
                <w:szCs w:val="18"/>
              </w:rPr>
            </w:pPr>
            <w:r>
              <w:rPr>
                <w:rFonts w:hint="eastAsia"/>
                <w:b/>
                <w:sz w:val="18"/>
                <w:szCs w:val="18"/>
              </w:rPr>
              <w:t>污染物</w:t>
            </w:r>
          </w:p>
          <w:p>
            <w:pPr>
              <w:widowControl/>
              <w:jc w:val="center"/>
              <w:rPr>
                <w:b/>
                <w:sz w:val="18"/>
                <w:szCs w:val="18"/>
              </w:rPr>
            </w:pPr>
            <w:r>
              <w:rPr>
                <w:rFonts w:hint="eastAsia"/>
                <w:b/>
                <w:sz w:val="18"/>
                <w:szCs w:val="18"/>
              </w:rPr>
              <w:t>名称</w:t>
            </w:r>
          </w:p>
        </w:tc>
        <w:tc>
          <w:tcPr>
            <w:tcW w:w="855" w:type="pct"/>
            <w:gridSpan w:val="3"/>
            <w:vAlign w:val="center"/>
          </w:tcPr>
          <w:p>
            <w:pPr>
              <w:widowControl/>
              <w:jc w:val="center"/>
              <w:rPr>
                <w:b/>
                <w:sz w:val="18"/>
                <w:szCs w:val="18"/>
              </w:rPr>
            </w:pPr>
            <w:r>
              <w:rPr>
                <w:rFonts w:hint="eastAsia"/>
                <w:b/>
                <w:sz w:val="18"/>
                <w:szCs w:val="18"/>
              </w:rPr>
              <w:t>产生情况</w:t>
            </w:r>
          </w:p>
        </w:tc>
        <w:tc>
          <w:tcPr>
            <w:tcW w:w="816" w:type="pct"/>
            <w:gridSpan w:val="3"/>
            <w:vAlign w:val="center"/>
          </w:tcPr>
          <w:p>
            <w:pPr>
              <w:widowControl/>
              <w:jc w:val="center"/>
              <w:rPr>
                <w:b/>
                <w:sz w:val="18"/>
                <w:szCs w:val="18"/>
              </w:rPr>
            </w:pPr>
            <w:r>
              <w:rPr>
                <w:rFonts w:hint="eastAsia"/>
                <w:b/>
                <w:sz w:val="18"/>
                <w:szCs w:val="18"/>
              </w:rPr>
              <w:t>排放情况</w:t>
            </w:r>
          </w:p>
        </w:tc>
        <w:tc>
          <w:tcPr>
            <w:tcW w:w="674" w:type="pct"/>
            <w:gridSpan w:val="3"/>
            <w:vAlign w:val="center"/>
          </w:tcPr>
          <w:p>
            <w:pPr>
              <w:widowControl/>
              <w:jc w:val="center"/>
              <w:rPr>
                <w:b/>
                <w:sz w:val="18"/>
                <w:szCs w:val="18"/>
              </w:rPr>
            </w:pPr>
            <w:r>
              <w:rPr>
                <w:rFonts w:hint="eastAsia"/>
                <w:b/>
                <w:sz w:val="18"/>
                <w:szCs w:val="18"/>
              </w:rPr>
              <w:t>排放源参数</w:t>
            </w:r>
          </w:p>
        </w:tc>
        <w:tc>
          <w:tcPr>
            <w:tcW w:w="551" w:type="pct"/>
            <w:vMerge w:val="restart"/>
            <w:vAlign w:val="center"/>
          </w:tcPr>
          <w:p>
            <w:pPr>
              <w:widowControl/>
              <w:jc w:val="center"/>
              <w:rPr>
                <w:b/>
                <w:sz w:val="18"/>
                <w:szCs w:val="18"/>
              </w:rPr>
            </w:pPr>
            <w:r>
              <w:rPr>
                <w:rFonts w:hint="eastAsia"/>
                <w:b/>
                <w:sz w:val="18"/>
                <w:szCs w:val="18"/>
              </w:rPr>
              <w:t>拟采取的</w:t>
            </w:r>
          </w:p>
          <w:p>
            <w:pPr>
              <w:widowControl/>
              <w:jc w:val="center"/>
              <w:rPr>
                <w:b/>
                <w:sz w:val="18"/>
                <w:szCs w:val="18"/>
              </w:rPr>
            </w:pPr>
            <w:r>
              <w:rPr>
                <w:rFonts w:hint="eastAsia"/>
                <w:b/>
                <w:sz w:val="18"/>
                <w:szCs w:val="18"/>
              </w:rPr>
              <w:t>处理方式</w:t>
            </w:r>
          </w:p>
        </w:tc>
        <w:tc>
          <w:tcPr>
            <w:tcW w:w="497" w:type="pct"/>
            <w:gridSpan w:val="2"/>
            <w:vMerge w:val="restart"/>
            <w:vAlign w:val="center"/>
          </w:tcPr>
          <w:p>
            <w:pPr>
              <w:jc w:val="center"/>
              <w:rPr>
                <w:b/>
                <w:sz w:val="18"/>
                <w:szCs w:val="18"/>
              </w:rPr>
            </w:pPr>
            <w:r>
              <w:rPr>
                <w:rFonts w:hint="eastAsia"/>
                <w:b/>
                <w:sz w:val="18"/>
                <w:szCs w:val="18"/>
              </w:rPr>
              <w:t>排放标准</w:t>
            </w:r>
          </w:p>
        </w:tc>
        <w:tc>
          <w:tcPr>
            <w:tcW w:w="211" w:type="pct"/>
            <w:vMerge w:val="restart"/>
            <w:vAlign w:val="center"/>
          </w:tcPr>
          <w:p>
            <w:pPr>
              <w:jc w:val="center"/>
              <w:rPr>
                <w:b/>
                <w:sz w:val="18"/>
                <w:szCs w:val="18"/>
              </w:rPr>
            </w:pPr>
            <w:r>
              <w:rPr>
                <w:rFonts w:hint="eastAsia"/>
                <w:b/>
                <w:sz w:val="18"/>
                <w:szCs w:val="18"/>
              </w:rPr>
              <w:t>排放</w:t>
            </w:r>
          </w:p>
          <w:p>
            <w:pPr>
              <w:jc w:val="center"/>
              <w:rPr>
                <w:b/>
                <w:sz w:val="18"/>
                <w:szCs w:val="18"/>
              </w:rPr>
            </w:pPr>
            <w:r>
              <w:rPr>
                <w:rFonts w:hint="eastAsia"/>
                <w:b/>
                <w:sz w:val="18"/>
                <w:szCs w:val="18"/>
              </w:rPr>
              <w:t>方式</w:t>
            </w:r>
          </w:p>
        </w:tc>
        <w:tc>
          <w:tcPr>
            <w:tcW w:w="203" w:type="pct"/>
            <w:vMerge w:val="restart"/>
            <w:vAlign w:val="center"/>
          </w:tcPr>
          <w:p>
            <w:pPr>
              <w:jc w:val="center"/>
              <w:rPr>
                <w:b/>
                <w:sz w:val="18"/>
                <w:szCs w:val="18"/>
              </w:rPr>
            </w:pPr>
            <w:r>
              <w:rPr>
                <w:rFonts w:hint="eastAsia"/>
                <w:b/>
                <w:sz w:val="18"/>
                <w:szCs w:val="18"/>
              </w:rPr>
              <w:t>是否</w:t>
            </w:r>
          </w:p>
          <w:p>
            <w:pPr>
              <w:jc w:val="center"/>
              <w:rPr>
                <w:b/>
                <w:sz w:val="18"/>
                <w:szCs w:val="18"/>
              </w:rPr>
            </w:pPr>
            <w:r>
              <w:rPr>
                <w:rFonts w:hint="eastAsia"/>
                <w:b/>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97" w:type="pct"/>
            <w:vMerge w:val="continue"/>
            <w:vAlign w:val="center"/>
          </w:tcPr>
          <w:p>
            <w:pPr>
              <w:widowControl/>
              <w:jc w:val="center"/>
              <w:rPr>
                <w:b/>
                <w:sz w:val="18"/>
                <w:szCs w:val="18"/>
              </w:rPr>
            </w:pPr>
          </w:p>
        </w:tc>
        <w:tc>
          <w:tcPr>
            <w:tcW w:w="448" w:type="pct"/>
            <w:vMerge w:val="continue"/>
            <w:vAlign w:val="center"/>
          </w:tcPr>
          <w:p>
            <w:pPr>
              <w:widowControl/>
              <w:jc w:val="center"/>
              <w:rPr>
                <w:b/>
                <w:sz w:val="18"/>
                <w:szCs w:val="18"/>
              </w:rPr>
            </w:pPr>
          </w:p>
        </w:tc>
        <w:tc>
          <w:tcPr>
            <w:tcW w:w="274" w:type="pct"/>
            <w:vMerge w:val="continue"/>
            <w:vAlign w:val="center"/>
          </w:tcPr>
          <w:p>
            <w:pPr>
              <w:widowControl/>
              <w:jc w:val="center"/>
              <w:rPr>
                <w:b/>
                <w:sz w:val="18"/>
                <w:szCs w:val="18"/>
              </w:rPr>
            </w:pPr>
          </w:p>
        </w:tc>
        <w:tc>
          <w:tcPr>
            <w:tcW w:w="267" w:type="pct"/>
            <w:vMerge w:val="continue"/>
            <w:vAlign w:val="center"/>
          </w:tcPr>
          <w:p>
            <w:pPr>
              <w:widowControl/>
              <w:jc w:val="center"/>
              <w:rPr>
                <w:b/>
                <w:sz w:val="18"/>
                <w:szCs w:val="18"/>
              </w:rPr>
            </w:pPr>
          </w:p>
        </w:tc>
        <w:tc>
          <w:tcPr>
            <w:tcW w:w="289" w:type="pct"/>
            <w:vMerge w:val="restart"/>
            <w:vAlign w:val="center"/>
          </w:tcPr>
          <w:p>
            <w:pPr>
              <w:jc w:val="center"/>
              <w:rPr>
                <w:b/>
                <w:sz w:val="18"/>
                <w:szCs w:val="18"/>
              </w:rPr>
            </w:pPr>
            <w:r>
              <w:rPr>
                <w:rFonts w:hint="eastAsia"/>
                <w:b/>
                <w:sz w:val="18"/>
                <w:szCs w:val="18"/>
              </w:rPr>
              <w:t>mg/m</w:t>
            </w:r>
            <w:r>
              <w:rPr>
                <w:rFonts w:hint="eastAsia"/>
                <w:b/>
                <w:sz w:val="18"/>
                <w:szCs w:val="18"/>
                <w:vertAlign w:val="superscript"/>
              </w:rPr>
              <w:t>3</w:t>
            </w:r>
          </w:p>
        </w:tc>
        <w:tc>
          <w:tcPr>
            <w:tcW w:w="280" w:type="pct"/>
            <w:vMerge w:val="restart"/>
            <w:vAlign w:val="center"/>
          </w:tcPr>
          <w:p>
            <w:pPr>
              <w:jc w:val="center"/>
              <w:rPr>
                <w:b/>
                <w:sz w:val="18"/>
                <w:szCs w:val="18"/>
              </w:rPr>
            </w:pPr>
            <w:r>
              <w:rPr>
                <w:rFonts w:hint="eastAsia"/>
                <w:b/>
                <w:sz w:val="18"/>
                <w:szCs w:val="18"/>
              </w:rPr>
              <w:t>kg/h</w:t>
            </w:r>
          </w:p>
        </w:tc>
        <w:tc>
          <w:tcPr>
            <w:tcW w:w="286" w:type="pct"/>
            <w:vMerge w:val="restart"/>
            <w:vAlign w:val="center"/>
          </w:tcPr>
          <w:p>
            <w:pPr>
              <w:jc w:val="center"/>
              <w:rPr>
                <w:b/>
                <w:sz w:val="18"/>
                <w:szCs w:val="18"/>
              </w:rPr>
            </w:pPr>
            <w:r>
              <w:rPr>
                <w:rFonts w:hint="eastAsia"/>
                <w:b/>
                <w:sz w:val="18"/>
                <w:szCs w:val="18"/>
              </w:rPr>
              <w:t>t/a</w:t>
            </w:r>
          </w:p>
        </w:tc>
        <w:tc>
          <w:tcPr>
            <w:tcW w:w="263" w:type="pct"/>
            <w:vMerge w:val="restart"/>
            <w:vAlign w:val="center"/>
          </w:tcPr>
          <w:p>
            <w:pPr>
              <w:jc w:val="center"/>
              <w:rPr>
                <w:b/>
                <w:sz w:val="18"/>
                <w:szCs w:val="18"/>
              </w:rPr>
            </w:pPr>
            <w:r>
              <w:rPr>
                <w:rFonts w:hint="eastAsia"/>
                <w:b/>
                <w:sz w:val="18"/>
                <w:szCs w:val="18"/>
              </w:rPr>
              <w:t>mg/m</w:t>
            </w:r>
            <w:r>
              <w:rPr>
                <w:rFonts w:hint="eastAsia"/>
                <w:b/>
                <w:sz w:val="18"/>
                <w:szCs w:val="18"/>
                <w:vertAlign w:val="superscript"/>
              </w:rPr>
              <w:t>3</w:t>
            </w:r>
          </w:p>
        </w:tc>
        <w:tc>
          <w:tcPr>
            <w:tcW w:w="272" w:type="pct"/>
            <w:vMerge w:val="restart"/>
            <w:vAlign w:val="center"/>
          </w:tcPr>
          <w:p>
            <w:pPr>
              <w:jc w:val="center"/>
              <w:rPr>
                <w:b/>
                <w:sz w:val="18"/>
                <w:szCs w:val="18"/>
              </w:rPr>
            </w:pPr>
            <w:r>
              <w:rPr>
                <w:rFonts w:hint="eastAsia"/>
                <w:b/>
                <w:sz w:val="18"/>
                <w:szCs w:val="18"/>
              </w:rPr>
              <w:t>kg/h</w:t>
            </w:r>
          </w:p>
        </w:tc>
        <w:tc>
          <w:tcPr>
            <w:tcW w:w="281" w:type="pct"/>
            <w:vMerge w:val="restart"/>
            <w:vAlign w:val="center"/>
          </w:tcPr>
          <w:p>
            <w:pPr>
              <w:jc w:val="center"/>
              <w:rPr>
                <w:b/>
                <w:sz w:val="18"/>
                <w:szCs w:val="18"/>
              </w:rPr>
            </w:pPr>
            <w:r>
              <w:rPr>
                <w:rFonts w:hint="eastAsia"/>
                <w:b/>
                <w:sz w:val="18"/>
                <w:szCs w:val="18"/>
              </w:rPr>
              <w:t>t/a</w:t>
            </w:r>
          </w:p>
        </w:tc>
        <w:tc>
          <w:tcPr>
            <w:tcW w:w="255" w:type="pct"/>
            <w:vMerge w:val="restart"/>
            <w:vAlign w:val="center"/>
          </w:tcPr>
          <w:p>
            <w:pPr>
              <w:jc w:val="center"/>
              <w:rPr>
                <w:b/>
                <w:sz w:val="18"/>
                <w:szCs w:val="18"/>
              </w:rPr>
            </w:pPr>
            <w:r>
              <w:rPr>
                <w:rFonts w:hint="eastAsia"/>
                <w:b/>
                <w:sz w:val="18"/>
                <w:szCs w:val="18"/>
              </w:rPr>
              <w:t>高度</w:t>
            </w:r>
          </w:p>
          <w:p>
            <w:pPr>
              <w:jc w:val="center"/>
              <w:rPr>
                <w:b/>
                <w:sz w:val="18"/>
                <w:szCs w:val="18"/>
              </w:rPr>
            </w:pPr>
            <w:r>
              <w:rPr>
                <w:b/>
                <w:sz w:val="18"/>
                <w:szCs w:val="18"/>
              </w:rPr>
              <w:t>m</w:t>
            </w:r>
          </w:p>
        </w:tc>
        <w:tc>
          <w:tcPr>
            <w:tcW w:w="211" w:type="pct"/>
            <w:vMerge w:val="restart"/>
            <w:vAlign w:val="center"/>
          </w:tcPr>
          <w:p>
            <w:pPr>
              <w:jc w:val="center"/>
              <w:rPr>
                <w:b/>
                <w:sz w:val="18"/>
                <w:szCs w:val="18"/>
              </w:rPr>
            </w:pPr>
            <w:r>
              <w:rPr>
                <w:rFonts w:hint="eastAsia"/>
                <w:b/>
                <w:sz w:val="18"/>
                <w:szCs w:val="18"/>
              </w:rPr>
              <w:t>直径</w:t>
            </w:r>
          </w:p>
          <w:p>
            <w:pPr>
              <w:jc w:val="center"/>
              <w:rPr>
                <w:b/>
                <w:sz w:val="18"/>
                <w:szCs w:val="18"/>
              </w:rPr>
            </w:pPr>
            <w:r>
              <w:rPr>
                <w:b/>
                <w:sz w:val="18"/>
                <w:szCs w:val="18"/>
              </w:rPr>
              <w:t>m</w:t>
            </w:r>
          </w:p>
        </w:tc>
        <w:tc>
          <w:tcPr>
            <w:tcW w:w="207" w:type="pct"/>
            <w:vMerge w:val="restart"/>
            <w:vAlign w:val="center"/>
          </w:tcPr>
          <w:p>
            <w:pPr>
              <w:jc w:val="center"/>
              <w:rPr>
                <w:b/>
                <w:sz w:val="18"/>
                <w:szCs w:val="18"/>
              </w:rPr>
            </w:pPr>
            <w:r>
              <w:rPr>
                <w:rFonts w:hint="eastAsia"/>
                <w:b/>
                <w:sz w:val="18"/>
                <w:szCs w:val="18"/>
              </w:rPr>
              <w:t>温度</w:t>
            </w:r>
          </w:p>
          <w:p>
            <w:pPr>
              <w:jc w:val="center"/>
              <w:rPr>
                <w:b/>
                <w:sz w:val="18"/>
                <w:szCs w:val="18"/>
              </w:rPr>
            </w:pPr>
            <w:r>
              <w:rPr>
                <w:rFonts w:hint="eastAsia"/>
                <w:b/>
                <w:sz w:val="18"/>
                <w:szCs w:val="18"/>
              </w:rPr>
              <w:t>℃</w:t>
            </w:r>
          </w:p>
        </w:tc>
        <w:tc>
          <w:tcPr>
            <w:tcW w:w="551" w:type="pct"/>
            <w:vMerge w:val="continue"/>
            <w:vAlign w:val="center"/>
          </w:tcPr>
          <w:p>
            <w:pPr>
              <w:widowControl/>
              <w:jc w:val="center"/>
              <w:rPr>
                <w:b/>
                <w:sz w:val="18"/>
                <w:szCs w:val="18"/>
              </w:rPr>
            </w:pPr>
          </w:p>
        </w:tc>
        <w:tc>
          <w:tcPr>
            <w:tcW w:w="497" w:type="pct"/>
            <w:gridSpan w:val="2"/>
            <w:vMerge w:val="continue"/>
            <w:vAlign w:val="center"/>
          </w:tcPr>
          <w:p>
            <w:pPr>
              <w:widowControl/>
              <w:jc w:val="center"/>
              <w:rPr>
                <w:b/>
                <w:sz w:val="18"/>
                <w:szCs w:val="18"/>
              </w:rPr>
            </w:pPr>
          </w:p>
        </w:tc>
        <w:tc>
          <w:tcPr>
            <w:tcW w:w="211" w:type="pct"/>
            <w:vMerge w:val="continue"/>
            <w:vAlign w:val="center"/>
          </w:tcPr>
          <w:p>
            <w:pPr>
              <w:widowControl/>
              <w:jc w:val="center"/>
              <w:rPr>
                <w:b/>
                <w:sz w:val="18"/>
                <w:szCs w:val="18"/>
              </w:rPr>
            </w:pPr>
          </w:p>
        </w:tc>
        <w:tc>
          <w:tcPr>
            <w:tcW w:w="203" w:type="pct"/>
            <w:vMerge w:val="continue"/>
            <w:vAlign w:val="center"/>
          </w:tcPr>
          <w:p>
            <w:pPr>
              <w:widowControl/>
              <w:jc w:val="center"/>
              <w:rPr>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197" w:type="pct"/>
            <w:vMerge w:val="continue"/>
            <w:vAlign w:val="center"/>
          </w:tcPr>
          <w:p>
            <w:pPr>
              <w:widowControl/>
              <w:jc w:val="center"/>
              <w:rPr>
                <w:b/>
                <w:sz w:val="18"/>
                <w:szCs w:val="18"/>
              </w:rPr>
            </w:pPr>
          </w:p>
        </w:tc>
        <w:tc>
          <w:tcPr>
            <w:tcW w:w="448" w:type="pct"/>
            <w:vMerge w:val="continue"/>
            <w:vAlign w:val="center"/>
          </w:tcPr>
          <w:p>
            <w:pPr>
              <w:widowControl/>
              <w:jc w:val="center"/>
              <w:rPr>
                <w:b/>
                <w:sz w:val="18"/>
                <w:szCs w:val="18"/>
              </w:rPr>
            </w:pPr>
          </w:p>
        </w:tc>
        <w:tc>
          <w:tcPr>
            <w:tcW w:w="274" w:type="pct"/>
            <w:vMerge w:val="continue"/>
            <w:vAlign w:val="center"/>
          </w:tcPr>
          <w:p>
            <w:pPr>
              <w:widowControl/>
              <w:jc w:val="center"/>
              <w:rPr>
                <w:b/>
                <w:sz w:val="18"/>
                <w:szCs w:val="18"/>
              </w:rPr>
            </w:pPr>
          </w:p>
        </w:tc>
        <w:tc>
          <w:tcPr>
            <w:tcW w:w="267" w:type="pct"/>
            <w:vMerge w:val="continue"/>
            <w:vAlign w:val="center"/>
          </w:tcPr>
          <w:p>
            <w:pPr>
              <w:widowControl/>
              <w:jc w:val="center"/>
              <w:rPr>
                <w:b/>
                <w:sz w:val="18"/>
                <w:szCs w:val="18"/>
              </w:rPr>
            </w:pPr>
          </w:p>
        </w:tc>
        <w:tc>
          <w:tcPr>
            <w:tcW w:w="289" w:type="pct"/>
            <w:vMerge w:val="continue"/>
            <w:vAlign w:val="center"/>
          </w:tcPr>
          <w:p>
            <w:pPr>
              <w:jc w:val="center"/>
              <w:rPr>
                <w:b/>
                <w:sz w:val="18"/>
                <w:szCs w:val="18"/>
              </w:rPr>
            </w:pPr>
          </w:p>
        </w:tc>
        <w:tc>
          <w:tcPr>
            <w:tcW w:w="280" w:type="pct"/>
            <w:vMerge w:val="continue"/>
            <w:vAlign w:val="center"/>
          </w:tcPr>
          <w:p>
            <w:pPr>
              <w:jc w:val="center"/>
              <w:rPr>
                <w:b/>
                <w:sz w:val="18"/>
                <w:szCs w:val="18"/>
              </w:rPr>
            </w:pPr>
          </w:p>
        </w:tc>
        <w:tc>
          <w:tcPr>
            <w:tcW w:w="286" w:type="pct"/>
            <w:vMerge w:val="continue"/>
            <w:vAlign w:val="center"/>
          </w:tcPr>
          <w:p>
            <w:pPr>
              <w:jc w:val="center"/>
              <w:rPr>
                <w:b/>
                <w:sz w:val="18"/>
                <w:szCs w:val="18"/>
              </w:rPr>
            </w:pPr>
          </w:p>
        </w:tc>
        <w:tc>
          <w:tcPr>
            <w:tcW w:w="263" w:type="pct"/>
            <w:vMerge w:val="continue"/>
            <w:vAlign w:val="center"/>
          </w:tcPr>
          <w:p>
            <w:pPr>
              <w:jc w:val="center"/>
              <w:rPr>
                <w:b/>
                <w:sz w:val="18"/>
                <w:szCs w:val="18"/>
              </w:rPr>
            </w:pPr>
          </w:p>
        </w:tc>
        <w:tc>
          <w:tcPr>
            <w:tcW w:w="272" w:type="pct"/>
            <w:vMerge w:val="continue"/>
            <w:vAlign w:val="center"/>
          </w:tcPr>
          <w:p>
            <w:pPr>
              <w:jc w:val="center"/>
              <w:rPr>
                <w:b/>
                <w:sz w:val="18"/>
                <w:szCs w:val="18"/>
              </w:rPr>
            </w:pPr>
          </w:p>
        </w:tc>
        <w:tc>
          <w:tcPr>
            <w:tcW w:w="281" w:type="pct"/>
            <w:vMerge w:val="continue"/>
            <w:vAlign w:val="center"/>
          </w:tcPr>
          <w:p>
            <w:pPr>
              <w:jc w:val="center"/>
              <w:rPr>
                <w:b/>
                <w:sz w:val="18"/>
                <w:szCs w:val="18"/>
              </w:rPr>
            </w:pPr>
          </w:p>
        </w:tc>
        <w:tc>
          <w:tcPr>
            <w:tcW w:w="255" w:type="pct"/>
            <w:vMerge w:val="continue"/>
            <w:vAlign w:val="center"/>
          </w:tcPr>
          <w:p>
            <w:pPr>
              <w:jc w:val="center"/>
              <w:rPr>
                <w:b/>
                <w:sz w:val="18"/>
                <w:szCs w:val="18"/>
              </w:rPr>
            </w:pPr>
          </w:p>
        </w:tc>
        <w:tc>
          <w:tcPr>
            <w:tcW w:w="211" w:type="pct"/>
            <w:vMerge w:val="continue"/>
            <w:vAlign w:val="center"/>
          </w:tcPr>
          <w:p>
            <w:pPr>
              <w:jc w:val="center"/>
              <w:rPr>
                <w:b/>
                <w:sz w:val="18"/>
                <w:szCs w:val="18"/>
              </w:rPr>
            </w:pPr>
          </w:p>
        </w:tc>
        <w:tc>
          <w:tcPr>
            <w:tcW w:w="207" w:type="pct"/>
            <w:vMerge w:val="continue"/>
            <w:vAlign w:val="center"/>
          </w:tcPr>
          <w:p>
            <w:pPr>
              <w:jc w:val="center"/>
              <w:rPr>
                <w:b/>
                <w:sz w:val="18"/>
                <w:szCs w:val="18"/>
              </w:rPr>
            </w:pPr>
          </w:p>
        </w:tc>
        <w:tc>
          <w:tcPr>
            <w:tcW w:w="551" w:type="pct"/>
            <w:vMerge w:val="continue"/>
            <w:vAlign w:val="center"/>
          </w:tcPr>
          <w:p>
            <w:pPr>
              <w:widowControl/>
              <w:jc w:val="center"/>
              <w:rPr>
                <w:b/>
                <w:sz w:val="18"/>
                <w:szCs w:val="18"/>
              </w:rPr>
            </w:pPr>
          </w:p>
        </w:tc>
        <w:tc>
          <w:tcPr>
            <w:tcW w:w="265" w:type="pct"/>
            <w:vAlign w:val="center"/>
          </w:tcPr>
          <w:p>
            <w:pPr>
              <w:widowControl/>
              <w:jc w:val="center"/>
              <w:rPr>
                <w:b/>
                <w:sz w:val="18"/>
                <w:szCs w:val="18"/>
              </w:rPr>
            </w:pPr>
            <w:r>
              <w:rPr>
                <w:rFonts w:hint="eastAsia"/>
                <w:b/>
                <w:sz w:val="18"/>
                <w:szCs w:val="18"/>
              </w:rPr>
              <w:t>mg/m</w:t>
            </w:r>
            <w:r>
              <w:rPr>
                <w:rFonts w:hint="eastAsia"/>
                <w:b/>
                <w:sz w:val="18"/>
                <w:szCs w:val="18"/>
                <w:vertAlign w:val="superscript"/>
              </w:rPr>
              <w:t>3</w:t>
            </w:r>
          </w:p>
        </w:tc>
        <w:tc>
          <w:tcPr>
            <w:tcW w:w="232" w:type="pct"/>
            <w:vAlign w:val="center"/>
          </w:tcPr>
          <w:p>
            <w:pPr>
              <w:widowControl/>
              <w:jc w:val="center"/>
              <w:rPr>
                <w:b/>
                <w:sz w:val="18"/>
                <w:szCs w:val="18"/>
              </w:rPr>
            </w:pPr>
            <w:r>
              <w:rPr>
                <w:rFonts w:hint="eastAsia"/>
                <w:b/>
                <w:sz w:val="18"/>
                <w:szCs w:val="18"/>
              </w:rPr>
              <w:t>kg/h</w:t>
            </w:r>
          </w:p>
        </w:tc>
        <w:tc>
          <w:tcPr>
            <w:tcW w:w="211" w:type="pct"/>
            <w:vMerge w:val="continue"/>
            <w:vAlign w:val="center"/>
          </w:tcPr>
          <w:p>
            <w:pPr>
              <w:widowControl/>
              <w:jc w:val="center"/>
              <w:rPr>
                <w:b/>
                <w:sz w:val="18"/>
                <w:szCs w:val="18"/>
              </w:rPr>
            </w:pPr>
          </w:p>
        </w:tc>
        <w:tc>
          <w:tcPr>
            <w:tcW w:w="203" w:type="pct"/>
            <w:vMerge w:val="continue"/>
            <w:vAlign w:val="center"/>
          </w:tcPr>
          <w:p>
            <w:pPr>
              <w:widowControl/>
              <w:jc w:val="center"/>
              <w:rPr>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97" w:type="pct"/>
            <w:vMerge w:val="restart"/>
            <w:tcBorders>
              <w:bottom w:val="single" w:color="auto" w:sz="4" w:space="0"/>
            </w:tcBorders>
            <w:vAlign w:val="center"/>
          </w:tcPr>
          <w:p>
            <w:pPr>
              <w:widowControl/>
              <w:jc w:val="center"/>
              <w:rPr>
                <w:sz w:val="18"/>
                <w:szCs w:val="18"/>
              </w:rPr>
            </w:pPr>
            <w:r>
              <w:rPr>
                <w:sz w:val="18"/>
                <w:szCs w:val="18"/>
              </w:rPr>
              <w:t>P</w:t>
            </w:r>
            <w:r>
              <w:rPr>
                <w:rFonts w:hint="eastAsia"/>
                <w:sz w:val="18"/>
                <w:szCs w:val="18"/>
              </w:rPr>
              <w:t>1-1</w:t>
            </w:r>
          </w:p>
        </w:tc>
        <w:tc>
          <w:tcPr>
            <w:tcW w:w="448" w:type="pct"/>
            <w:vMerge w:val="restart"/>
            <w:tcBorders>
              <w:bottom w:val="single" w:color="auto" w:sz="4" w:space="0"/>
            </w:tcBorders>
            <w:vAlign w:val="center"/>
          </w:tcPr>
          <w:p>
            <w:pPr>
              <w:widowControl/>
              <w:jc w:val="center"/>
              <w:rPr>
                <w:sz w:val="18"/>
                <w:szCs w:val="18"/>
              </w:rPr>
            </w:pPr>
            <w:r>
              <w:rPr>
                <w:rFonts w:hint="eastAsia"/>
                <w:sz w:val="18"/>
                <w:szCs w:val="18"/>
              </w:rPr>
              <w:t>燃烧废气G1-1</w:t>
            </w:r>
          </w:p>
          <w:p>
            <w:pPr>
              <w:widowControl/>
              <w:jc w:val="center"/>
              <w:rPr>
                <w:sz w:val="18"/>
                <w:szCs w:val="18"/>
              </w:rPr>
            </w:pPr>
            <w:r>
              <w:rPr>
                <w:rFonts w:hint="eastAsia"/>
                <w:sz w:val="18"/>
                <w:szCs w:val="18"/>
              </w:rPr>
              <w:t>精炼废气G1-2</w:t>
            </w:r>
          </w:p>
          <w:p>
            <w:pPr>
              <w:jc w:val="center"/>
              <w:rPr>
                <w:sz w:val="18"/>
                <w:szCs w:val="18"/>
              </w:rPr>
            </w:pPr>
            <w:r>
              <w:rPr>
                <w:rFonts w:hint="eastAsia"/>
                <w:sz w:val="18"/>
                <w:szCs w:val="18"/>
              </w:rPr>
              <w:t>扒渣废气G1-3</w:t>
            </w:r>
          </w:p>
        </w:tc>
        <w:tc>
          <w:tcPr>
            <w:tcW w:w="274" w:type="pct"/>
            <w:vMerge w:val="restart"/>
            <w:tcBorders>
              <w:bottom w:val="single" w:color="auto" w:sz="4" w:space="0"/>
            </w:tcBorders>
            <w:vAlign w:val="center"/>
          </w:tcPr>
          <w:p>
            <w:pPr>
              <w:widowControl/>
              <w:jc w:val="center"/>
              <w:rPr>
                <w:sz w:val="18"/>
                <w:szCs w:val="18"/>
              </w:rPr>
            </w:pPr>
            <w:r>
              <w:rPr>
                <w:rFonts w:hint="eastAsia"/>
                <w:sz w:val="18"/>
                <w:szCs w:val="18"/>
              </w:rPr>
              <w:t>130000</w:t>
            </w:r>
          </w:p>
        </w:tc>
        <w:tc>
          <w:tcPr>
            <w:tcW w:w="267" w:type="pct"/>
            <w:tcBorders>
              <w:bottom w:val="single" w:color="auto" w:sz="4" w:space="0"/>
            </w:tcBorders>
            <w:vAlign w:val="center"/>
          </w:tcPr>
          <w:p>
            <w:pPr>
              <w:widowControl/>
              <w:jc w:val="center"/>
              <w:rPr>
                <w:sz w:val="18"/>
                <w:szCs w:val="18"/>
              </w:rPr>
            </w:pPr>
            <w:r>
              <w:rPr>
                <w:rFonts w:hint="eastAsia"/>
                <w:sz w:val="18"/>
                <w:szCs w:val="18"/>
              </w:rPr>
              <w:t>颗粒物</w:t>
            </w:r>
          </w:p>
        </w:tc>
        <w:tc>
          <w:tcPr>
            <w:tcW w:w="289" w:type="pct"/>
            <w:tcBorders>
              <w:bottom w:val="single" w:color="auto" w:sz="4" w:space="0"/>
            </w:tcBorders>
            <w:vAlign w:val="center"/>
          </w:tcPr>
          <w:p>
            <w:pPr>
              <w:pStyle w:val="33"/>
              <w:rPr>
                <w:sz w:val="18"/>
                <w:szCs w:val="18"/>
              </w:rPr>
            </w:pPr>
            <w:r>
              <w:rPr>
                <w:rFonts w:hint="eastAsia"/>
                <w:sz w:val="18"/>
                <w:szCs w:val="18"/>
              </w:rPr>
              <w:t>4616.34</w:t>
            </w:r>
          </w:p>
        </w:tc>
        <w:tc>
          <w:tcPr>
            <w:tcW w:w="280" w:type="pct"/>
            <w:tcBorders>
              <w:bottom w:val="single" w:color="auto" w:sz="4" w:space="0"/>
            </w:tcBorders>
            <w:vAlign w:val="center"/>
          </w:tcPr>
          <w:p>
            <w:pPr>
              <w:pStyle w:val="32"/>
              <w:rPr>
                <w:sz w:val="18"/>
                <w:szCs w:val="18"/>
              </w:rPr>
            </w:pPr>
            <w:r>
              <w:rPr>
                <w:rFonts w:hint="eastAsia"/>
                <w:sz w:val="18"/>
                <w:szCs w:val="18"/>
              </w:rPr>
              <w:t>600.12</w:t>
            </w:r>
          </w:p>
        </w:tc>
        <w:tc>
          <w:tcPr>
            <w:tcW w:w="286" w:type="pct"/>
            <w:tcBorders>
              <w:bottom w:val="single" w:color="auto" w:sz="4" w:space="0"/>
            </w:tcBorders>
            <w:vAlign w:val="center"/>
          </w:tcPr>
          <w:p>
            <w:pPr>
              <w:pStyle w:val="32"/>
              <w:rPr>
                <w:sz w:val="18"/>
                <w:szCs w:val="18"/>
              </w:rPr>
            </w:pPr>
            <w:r>
              <w:rPr>
                <w:rFonts w:hint="eastAsia"/>
                <w:sz w:val="18"/>
                <w:szCs w:val="18"/>
              </w:rPr>
              <w:t>2136.28</w:t>
            </w:r>
          </w:p>
        </w:tc>
        <w:tc>
          <w:tcPr>
            <w:tcW w:w="263" w:type="pct"/>
            <w:tcBorders>
              <w:bottom w:val="single" w:color="auto" w:sz="4" w:space="0"/>
            </w:tcBorders>
            <w:vAlign w:val="center"/>
          </w:tcPr>
          <w:p>
            <w:pPr>
              <w:pStyle w:val="33"/>
              <w:rPr>
                <w:sz w:val="18"/>
                <w:szCs w:val="18"/>
              </w:rPr>
            </w:pPr>
            <w:r>
              <w:rPr>
                <w:rFonts w:hint="eastAsia"/>
                <w:sz w:val="18"/>
                <w:szCs w:val="18"/>
              </w:rPr>
              <w:t>92.33</w:t>
            </w:r>
          </w:p>
        </w:tc>
        <w:tc>
          <w:tcPr>
            <w:tcW w:w="272" w:type="pct"/>
            <w:tcBorders>
              <w:bottom w:val="single" w:color="auto" w:sz="4" w:space="0"/>
            </w:tcBorders>
            <w:vAlign w:val="center"/>
          </w:tcPr>
          <w:p>
            <w:pPr>
              <w:pStyle w:val="32"/>
              <w:rPr>
                <w:sz w:val="18"/>
                <w:szCs w:val="18"/>
              </w:rPr>
            </w:pPr>
            <w:r>
              <w:rPr>
                <w:rFonts w:hint="eastAsia"/>
                <w:sz w:val="18"/>
                <w:szCs w:val="18"/>
              </w:rPr>
              <w:t>12.0</w:t>
            </w:r>
          </w:p>
        </w:tc>
        <w:tc>
          <w:tcPr>
            <w:tcW w:w="281" w:type="pct"/>
            <w:tcBorders>
              <w:bottom w:val="single" w:color="auto" w:sz="4" w:space="0"/>
            </w:tcBorders>
            <w:vAlign w:val="center"/>
          </w:tcPr>
          <w:p>
            <w:pPr>
              <w:pStyle w:val="32"/>
              <w:rPr>
                <w:sz w:val="18"/>
                <w:szCs w:val="18"/>
              </w:rPr>
            </w:pPr>
            <w:r>
              <w:rPr>
                <w:rFonts w:hint="eastAsia"/>
                <w:sz w:val="18"/>
                <w:szCs w:val="18"/>
              </w:rPr>
              <w:t>42.73</w:t>
            </w:r>
          </w:p>
        </w:tc>
        <w:tc>
          <w:tcPr>
            <w:tcW w:w="255" w:type="pct"/>
            <w:vMerge w:val="restart"/>
            <w:vAlign w:val="center"/>
          </w:tcPr>
          <w:p>
            <w:pPr>
              <w:jc w:val="center"/>
              <w:rPr>
                <w:sz w:val="18"/>
                <w:szCs w:val="18"/>
              </w:rPr>
            </w:pPr>
            <w:r>
              <w:rPr>
                <w:rFonts w:hint="eastAsia"/>
                <w:sz w:val="18"/>
                <w:szCs w:val="18"/>
              </w:rPr>
              <w:t>35</w:t>
            </w:r>
          </w:p>
        </w:tc>
        <w:tc>
          <w:tcPr>
            <w:tcW w:w="211" w:type="pct"/>
            <w:vMerge w:val="restart"/>
            <w:vAlign w:val="center"/>
          </w:tcPr>
          <w:p>
            <w:pPr>
              <w:jc w:val="center"/>
              <w:rPr>
                <w:sz w:val="18"/>
                <w:szCs w:val="18"/>
              </w:rPr>
            </w:pPr>
            <w:r>
              <w:rPr>
                <w:rFonts w:hint="eastAsia"/>
                <w:sz w:val="18"/>
                <w:szCs w:val="18"/>
              </w:rPr>
              <w:t>2.0</w:t>
            </w:r>
          </w:p>
        </w:tc>
        <w:tc>
          <w:tcPr>
            <w:tcW w:w="207" w:type="pct"/>
            <w:vMerge w:val="restart"/>
            <w:vAlign w:val="center"/>
          </w:tcPr>
          <w:p>
            <w:pPr>
              <w:jc w:val="center"/>
              <w:rPr>
                <w:sz w:val="18"/>
                <w:szCs w:val="18"/>
              </w:rPr>
            </w:pPr>
            <w:r>
              <w:rPr>
                <w:rFonts w:hint="eastAsia"/>
                <w:sz w:val="18"/>
                <w:szCs w:val="18"/>
              </w:rPr>
              <w:t>125</w:t>
            </w:r>
          </w:p>
        </w:tc>
        <w:tc>
          <w:tcPr>
            <w:tcW w:w="551" w:type="pct"/>
            <w:vMerge w:val="restart"/>
            <w:vAlign w:val="center"/>
          </w:tcPr>
          <w:p>
            <w:pPr>
              <w:jc w:val="center"/>
              <w:rPr>
                <w:sz w:val="18"/>
                <w:szCs w:val="18"/>
              </w:rPr>
            </w:pPr>
            <w:r>
              <w:rPr>
                <w:rFonts w:hint="eastAsia"/>
                <w:sz w:val="18"/>
                <w:szCs w:val="18"/>
              </w:rPr>
              <w:t>石灰粉+布袋除尘器，颗粒物去除效率98%、氟化物去除效率99%，HCl、Cl</w:t>
            </w:r>
            <w:r>
              <w:rPr>
                <w:rFonts w:hint="eastAsia"/>
                <w:sz w:val="18"/>
                <w:szCs w:val="18"/>
                <w:vertAlign w:val="subscript"/>
              </w:rPr>
              <w:t>2</w:t>
            </w:r>
            <w:r>
              <w:rPr>
                <w:rFonts w:hint="eastAsia"/>
                <w:sz w:val="18"/>
                <w:szCs w:val="18"/>
              </w:rPr>
              <w:t>去除效率80%，S</w:t>
            </w:r>
            <w:r>
              <w:rPr>
                <w:sz w:val="18"/>
                <w:szCs w:val="18"/>
              </w:rPr>
              <w:t>O</w:t>
            </w:r>
            <w:r>
              <w:rPr>
                <w:rFonts w:hint="eastAsia"/>
                <w:sz w:val="18"/>
                <w:szCs w:val="18"/>
                <w:vertAlign w:val="subscript"/>
              </w:rPr>
              <w:t>2</w:t>
            </w:r>
            <w:r>
              <w:rPr>
                <w:rFonts w:hint="eastAsia"/>
                <w:sz w:val="18"/>
                <w:szCs w:val="18"/>
              </w:rPr>
              <w:t>、NO</w:t>
            </w:r>
            <w:r>
              <w:rPr>
                <w:rFonts w:hint="eastAsia"/>
                <w:sz w:val="18"/>
                <w:szCs w:val="18"/>
                <w:vertAlign w:val="subscript"/>
              </w:rPr>
              <w:t>x</w:t>
            </w:r>
            <w:r>
              <w:rPr>
                <w:rFonts w:hint="eastAsia"/>
                <w:sz w:val="18"/>
                <w:szCs w:val="18"/>
              </w:rPr>
              <w:t>无去除效率</w:t>
            </w:r>
          </w:p>
        </w:tc>
        <w:tc>
          <w:tcPr>
            <w:tcW w:w="265" w:type="pct"/>
            <w:tcBorders>
              <w:bottom w:val="single" w:color="auto" w:sz="4" w:space="0"/>
            </w:tcBorders>
            <w:vAlign w:val="center"/>
          </w:tcPr>
          <w:p>
            <w:pPr>
              <w:widowControl/>
              <w:jc w:val="center"/>
              <w:rPr>
                <w:sz w:val="18"/>
                <w:szCs w:val="18"/>
              </w:rPr>
            </w:pPr>
            <w:r>
              <w:rPr>
                <w:rFonts w:hint="eastAsia"/>
                <w:sz w:val="18"/>
                <w:szCs w:val="18"/>
              </w:rPr>
              <w:t>100</w:t>
            </w:r>
          </w:p>
        </w:tc>
        <w:tc>
          <w:tcPr>
            <w:tcW w:w="232" w:type="pct"/>
            <w:tcBorders>
              <w:bottom w:val="single" w:color="auto" w:sz="4" w:space="0"/>
            </w:tcBorders>
            <w:vAlign w:val="center"/>
          </w:tcPr>
          <w:p>
            <w:pPr>
              <w:widowControl/>
              <w:jc w:val="center"/>
              <w:rPr>
                <w:sz w:val="18"/>
                <w:szCs w:val="18"/>
              </w:rPr>
            </w:pPr>
            <w:r>
              <w:rPr>
                <w:rFonts w:hint="eastAsia"/>
                <w:sz w:val="18"/>
                <w:szCs w:val="18"/>
              </w:rPr>
              <w:t>31</w:t>
            </w:r>
          </w:p>
        </w:tc>
        <w:tc>
          <w:tcPr>
            <w:tcW w:w="211" w:type="pct"/>
            <w:tcBorders>
              <w:bottom w:val="single" w:color="auto" w:sz="4" w:space="0"/>
            </w:tcBorders>
            <w:vAlign w:val="center"/>
          </w:tcPr>
          <w:p>
            <w:pPr>
              <w:widowControl/>
              <w:jc w:val="center"/>
              <w:rPr>
                <w:sz w:val="18"/>
                <w:szCs w:val="18"/>
              </w:rPr>
            </w:pPr>
            <w:r>
              <w:rPr>
                <w:rFonts w:hint="eastAsia"/>
                <w:sz w:val="18"/>
                <w:szCs w:val="18"/>
              </w:rPr>
              <w:t>连续</w:t>
            </w:r>
          </w:p>
        </w:tc>
        <w:tc>
          <w:tcPr>
            <w:tcW w:w="203" w:type="pct"/>
            <w:tcBorders>
              <w:bottom w:val="single" w:color="auto" w:sz="4" w:space="0"/>
            </w:tcBorders>
            <w:vAlign w:val="center"/>
          </w:tcPr>
          <w:p>
            <w:pPr>
              <w:widowControl/>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289" w:type="pct"/>
            <w:vAlign w:val="center"/>
          </w:tcPr>
          <w:p>
            <w:pPr>
              <w:pStyle w:val="33"/>
              <w:rPr>
                <w:sz w:val="18"/>
                <w:szCs w:val="18"/>
              </w:rPr>
            </w:pPr>
            <w:r>
              <w:rPr>
                <w:rFonts w:hint="eastAsia"/>
                <w:sz w:val="18"/>
                <w:szCs w:val="18"/>
              </w:rPr>
              <w:t>9.85</w:t>
            </w:r>
          </w:p>
        </w:tc>
        <w:tc>
          <w:tcPr>
            <w:tcW w:w="280" w:type="pct"/>
            <w:vAlign w:val="center"/>
          </w:tcPr>
          <w:p>
            <w:pPr>
              <w:pStyle w:val="32"/>
              <w:rPr>
                <w:sz w:val="18"/>
                <w:szCs w:val="18"/>
              </w:rPr>
            </w:pPr>
            <w:r>
              <w:rPr>
                <w:rFonts w:hint="eastAsia"/>
                <w:sz w:val="18"/>
                <w:szCs w:val="18"/>
              </w:rPr>
              <w:t>1.28</w:t>
            </w:r>
          </w:p>
        </w:tc>
        <w:tc>
          <w:tcPr>
            <w:tcW w:w="286" w:type="pct"/>
            <w:vAlign w:val="center"/>
          </w:tcPr>
          <w:p>
            <w:pPr>
              <w:pStyle w:val="32"/>
              <w:rPr>
                <w:sz w:val="18"/>
                <w:szCs w:val="18"/>
              </w:rPr>
            </w:pPr>
            <w:r>
              <w:rPr>
                <w:rFonts w:hint="eastAsia"/>
                <w:sz w:val="18"/>
                <w:szCs w:val="18"/>
              </w:rPr>
              <w:t>10.24</w:t>
            </w:r>
          </w:p>
        </w:tc>
        <w:tc>
          <w:tcPr>
            <w:tcW w:w="263" w:type="pct"/>
            <w:vAlign w:val="center"/>
          </w:tcPr>
          <w:p>
            <w:pPr>
              <w:pStyle w:val="33"/>
              <w:rPr>
                <w:sz w:val="18"/>
                <w:szCs w:val="18"/>
              </w:rPr>
            </w:pPr>
            <w:r>
              <w:rPr>
                <w:rFonts w:hint="eastAsia"/>
                <w:sz w:val="18"/>
                <w:szCs w:val="18"/>
              </w:rPr>
              <w:t>9.85</w:t>
            </w:r>
          </w:p>
        </w:tc>
        <w:tc>
          <w:tcPr>
            <w:tcW w:w="272" w:type="pct"/>
            <w:vAlign w:val="center"/>
          </w:tcPr>
          <w:p>
            <w:pPr>
              <w:pStyle w:val="32"/>
              <w:rPr>
                <w:sz w:val="18"/>
                <w:szCs w:val="18"/>
              </w:rPr>
            </w:pPr>
            <w:r>
              <w:rPr>
                <w:rFonts w:hint="eastAsia"/>
                <w:sz w:val="18"/>
                <w:szCs w:val="18"/>
              </w:rPr>
              <w:t>1.28</w:t>
            </w:r>
          </w:p>
        </w:tc>
        <w:tc>
          <w:tcPr>
            <w:tcW w:w="281" w:type="pct"/>
            <w:vAlign w:val="center"/>
          </w:tcPr>
          <w:p>
            <w:pPr>
              <w:pStyle w:val="32"/>
              <w:rPr>
                <w:sz w:val="18"/>
                <w:szCs w:val="18"/>
              </w:rPr>
            </w:pPr>
            <w:r>
              <w:rPr>
                <w:rFonts w:hint="eastAsia"/>
                <w:sz w:val="18"/>
                <w:szCs w:val="18"/>
              </w:rPr>
              <w:t>10.24</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550</w:t>
            </w:r>
          </w:p>
        </w:tc>
        <w:tc>
          <w:tcPr>
            <w:tcW w:w="232" w:type="pct"/>
            <w:vAlign w:val="center"/>
          </w:tcPr>
          <w:p>
            <w:pPr>
              <w:jc w:val="center"/>
              <w:rPr>
                <w:sz w:val="18"/>
                <w:szCs w:val="18"/>
              </w:rPr>
            </w:pPr>
            <w:r>
              <w:rPr>
                <w:rFonts w:hint="eastAsia"/>
                <w:sz w:val="18"/>
                <w:szCs w:val="18"/>
              </w:rPr>
              <w:t>20</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289" w:type="pct"/>
            <w:vAlign w:val="center"/>
          </w:tcPr>
          <w:p>
            <w:pPr>
              <w:pStyle w:val="33"/>
              <w:rPr>
                <w:sz w:val="18"/>
                <w:szCs w:val="18"/>
              </w:rPr>
            </w:pPr>
            <w:r>
              <w:rPr>
                <w:rFonts w:hint="eastAsia"/>
                <w:sz w:val="18"/>
                <w:szCs w:val="18"/>
              </w:rPr>
              <w:t>39.06</w:t>
            </w:r>
          </w:p>
        </w:tc>
        <w:tc>
          <w:tcPr>
            <w:tcW w:w="280" w:type="pct"/>
            <w:vAlign w:val="center"/>
          </w:tcPr>
          <w:p>
            <w:pPr>
              <w:pStyle w:val="32"/>
              <w:rPr>
                <w:sz w:val="18"/>
                <w:szCs w:val="18"/>
              </w:rPr>
            </w:pPr>
            <w:r>
              <w:rPr>
                <w:rFonts w:hint="eastAsia"/>
                <w:sz w:val="18"/>
                <w:szCs w:val="18"/>
              </w:rPr>
              <w:t>5.08</w:t>
            </w:r>
          </w:p>
        </w:tc>
        <w:tc>
          <w:tcPr>
            <w:tcW w:w="286" w:type="pct"/>
            <w:vAlign w:val="center"/>
          </w:tcPr>
          <w:p>
            <w:pPr>
              <w:pStyle w:val="32"/>
              <w:rPr>
                <w:sz w:val="18"/>
                <w:szCs w:val="18"/>
              </w:rPr>
            </w:pPr>
            <w:r>
              <w:rPr>
                <w:rFonts w:hint="eastAsia"/>
                <w:sz w:val="18"/>
                <w:szCs w:val="18"/>
              </w:rPr>
              <w:t>40.63</w:t>
            </w:r>
          </w:p>
        </w:tc>
        <w:tc>
          <w:tcPr>
            <w:tcW w:w="263" w:type="pct"/>
            <w:vAlign w:val="center"/>
          </w:tcPr>
          <w:p>
            <w:pPr>
              <w:pStyle w:val="33"/>
              <w:rPr>
                <w:sz w:val="18"/>
                <w:szCs w:val="18"/>
              </w:rPr>
            </w:pPr>
            <w:r>
              <w:rPr>
                <w:rFonts w:hint="eastAsia"/>
                <w:sz w:val="18"/>
                <w:szCs w:val="18"/>
              </w:rPr>
              <w:t>39.06</w:t>
            </w:r>
          </w:p>
        </w:tc>
        <w:tc>
          <w:tcPr>
            <w:tcW w:w="272" w:type="pct"/>
            <w:vAlign w:val="center"/>
          </w:tcPr>
          <w:p>
            <w:pPr>
              <w:pStyle w:val="32"/>
              <w:rPr>
                <w:sz w:val="18"/>
                <w:szCs w:val="18"/>
              </w:rPr>
            </w:pPr>
            <w:r>
              <w:rPr>
                <w:rFonts w:hint="eastAsia"/>
                <w:sz w:val="18"/>
                <w:szCs w:val="18"/>
              </w:rPr>
              <w:t>5.08</w:t>
            </w:r>
          </w:p>
        </w:tc>
        <w:tc>
          <w:tcPr>
            <w:tcW w:w="281" w:type="pct"/>
            <w:vAlign w:val="center"/>
          </w:tcPr>
          <w:p>
            <w:pPr>
              <w:pStyle w:val="32"/>
              <w:rPr>
                <w:sz w:val="18"/>
                <w:szCs w:val="18"/>
              </w:rPr>
            </w:pPr>
            <w:r>
              <w:rPr>
                <w:rFonts w:hint="eastAsia"/>
                <w:sz w:val="18"/>
                <w:szCs w:val="18"/>
              </w:rPr>
              <w:t>40.63</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240</w:t>
            </w:r>
          </w:p>
        </w:tc>
        <w:tc>
          <w:tcPr>
            <w:tcW w:w="232" w:type="pct"/>
            <w:vAlign w:val="center"/>
          </w:tcPr>
          <w:p>
            <w:pPr>
              <w:jc w:val="center"/>
              <w:rPr>
                <w:sz w:val="18"/>
                <w:szCs w:val="18"/>
              </w:rPr>
            </w:pPr>
            <w:r>
              <w:rPr>
                <w:rFonts w:hint="eastAsia"/>
                <w:sz w:val="18"/>
                <w:szCs w:val="18"/>
              </w:rPr>
              <w:t>5.95</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氟化物</w:t>
            </w:r>
          </w:p>
        </w:tc>
        <w:tc>
          <w:tcPr>
            <w:tcW w:w="289" w:type="pct"/>
            <w:vAlign w:val="center"/>
          </w:tcPr>
          <w:p>
            <w:pPr>
              <w:pStyle w:val="33"/>
              <w:rPr>
                <w:sz w:val="18"/>
                <w:szCs w:val="18"/>
              </w:rPr>
            </w:pPr>
            <w:r>
              <w:rPr>
                <w:rFonts w:hint="eastAsia"/>
                <w:sz w:val="18"/>
                <w:szCs w:val="18"/>
              </w:rPr>
              <w:t>3.27</w:t>
            </w:r>
          </w:p>
        </w:tc>
        <w:tc>
          <w:tcPr>
            <w:tcW w:w="280" w:type="pct"/>
            <w:vAlign w:val="center"/>
          </w:tcPr>
          <w:p>
            <w:pPr>
              <w:pStyle w:val="32"/>
              <w:rPr>
                <w:sz w:val="18"/>
                <w:szCs w:val="18"/>
              </w:rPr>
            </w:pPr>
            <w:r>
              <w:rPr>
                <w:rFonts w:hint="eastAsia"/>
                <w:sz w:val="18"/>
                <w:szCs w:val="18"/>
              </w:rPr>
              <w:t>0.42</w:t>
            </w:r>
          </w:p>
        </w:tc>
        <w:tc>
          <w:tcPr>
            <w:tcW w:w="286" w:type="pct"/>
            <w:vAlign w:val="center"/>
          </w:tcPr>
          <w:p>
            <w:pPr>
              <w:pStyle w:val="32"/>
              <w:rPr>
                <w:sz w:val="18"/>
                <w:szCs w:val="18"/>
              </w:rPr>
            </w:pPr>
            <w:r>
              <w:rPr>
                <w:rFonts w:hint="eastAsia"/>
                <w:sz w:val="18"/>
                <w:szCs w:val="18"/>
              </w:rPr>
              <w:t>2.10</w:t>
            </w:r>
          </w:p>
        </w:tc>
        <w:tc>
          <w:tcPr>
            <w:tcW w:w="263" w:type="pct"/>
            <w:vAlign w:val="center"/>
          </w:tcPr>
          <w:p>
            <w:pPr>
              <w:pStyle w:val="33"/>
              <w:rPr>
                <w:sz w:val="18"/>
                <w:szCs w:val="18"/>
              </w:rPr>
            </w:pPr>
            <w:r>
              <w:rPr>
                <w:rFonts w:hint="eastAsia"/>
                <w:sz w:val="18"/>
                <w:szCs w:val="18"/>
              </w:rPr>
              <w:t>0.033</w:t>
            </w:r>
          </w:p>
        </w:tc>
        <w:tc>
          <w:tcPr>
            <w:tcW w:w="272" w:type="pct"/>
            <w:vAlign w:val="center"/>
          </w:tcPr>
          <w:p>
            <w:pPr>
              <w:pStyle w:val="32"/>
              <w:rPr>
                <w:sz w:val="18"/>
                <w:szCs w:val="18"/>
              </w:rPr>
            </w:pPr>
            <w:r>
              <w:rPr>
                <w:rFonts w:hint="eastAsia"/>
                <w:sz w:val="18"/>
                <w:szCs w:val="18"/>
              </w:rPr>
              <w:t>0.0042</w:t>
            </w:r>
          </w:p>
        </w:tc>
        <w:tc>
          <w:tcPr>
            <w:tcW w:w="281" w:type="pct"/>
            <w:vAlign w:val="center"/>
          </w:tcPr>
          <w:p>
            <w:pPr>
              <w:pStyle w:val="32"/>
              <w:rPr>
                <w:sz w:val="18"/>
                <w:szCs w:val="18"/>
              </w:rPr>
            </w:pPr>
            <w:r>
              <w:rPr>
                <w:rFonts w:hint="eastAsia"/>
                <w:sz w:val="18"/>
                <w:szCs w:val="18"/>
              </w:rPr>
              <w:t>0.021</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6</w:t>
            </w:r>
          </w:p>
        </w:tc>
        <w:tc>
          <w:tcPr>
            <w:tcW w:w="232" w:type="pct"/>
            <w:vAlign w:val="center"/>
          </w:tcPr>
          <w:p>
            <w:pPr>
              <w:jc w:val="center"/>
              <w:rPr>
                <w:sz w:val="18"/>
                <w:szCs w:val="18"/>
              </w:rPr>
            </w:pPr>
            <w:r>
              <w:rPr>
                <w:rFonts w:hint="eastAsia"/>
                <w:sz w:val="18"/>
                <w:szCs w:val="18"/>
              </w:rPr>
              <w:t>0.795</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H</w:t>
            </w:r>
            <w:r>
              <w:rPr>
                <w:sz w:val="18"/>
                <w:szCs w:val="18"/>
              </w:rPr>
              <w:t>C</w:t>
            </w:r>
            <w:r>
              <w:rPr>
                <w:rFonts w:hint="eastAsia"/>
                <w:sz w:val="18"/>
                <w:szCs w:val="18"/>
              </w:rPr>
              <w:t>l</w:t>
            </w:r>
          </w:p>
        </w:tc>
        <w:tc>
          <w:tcPr>
            <w:tcW w:w="289" w:type="pct"/>
            <w:vAlign w:val="center"/>
          </w:tcPr>
          <w:p>
            <w:pPr>
              <w:pStyle w:val="32"/>
              <w:rPr>
                <w:sz w:val="18"/>
                <w:szCs w:val="18"/>
              </w:rPr>
            </w:pPr>
            <w:r>
              <w:rPr>
                <w:rFonts w:hint="eastAsia"/>
                <w:sz w:val="18"/>
                <w:szCs w:val="18"/>
              </w:rPr>
              <w:t>8.22</w:t>
            </w:r>
          </w:p>
        </w:tc>
        <w:tc>
          <w:tcPr>
            <w:tcW w:w="280" w:type="pct"/>
            <w:vAlign w:val="center"/>
          </w:tcPr>
          <w:p>
            <w:pPr>
              <w:pStyle w:val="32"/>
              <w:rPr>
                <w:sz w:val="18"/>
                <w:szCs w:val="18"/>
              </w:rPr>
            </w:pPr>
            <w:r>
              <w:rPr>
                <w:rFonts w:hint="eastAsia"/>
                <w:sz w:val="18"/>
                <w:szCs w:val="18"/>
              </w:rPr>
              <w:t>1.07</w:t>
            </w:r>
          </w:p>
        </w:tc>
        <w:tc>
          <w:tcPr>
            <w:tcW w:w="286" w:type="pct"/>
            <w:vAlign w:val="center"/>
          </w:tcPr>
          <w:p>
            <w:pPr>
              <w:pStyle w:val="32"/>
              <w:rPr>
                <w:sz w:val="18"/>
                <w:szCs w:val="18"/>
              </w:rPr>
            </w:pPr>
            <w:r>
              <w:rPr>
                <w:rFonts w:hint="eastAsia"/>
                <w:sz w:val="18"/>
                <w:szCs w:val="18"/>
              </w:rPr>
              <w:t>5.29</w:t>
            </w:r>
          </w:p>
        </w:tc>
        <w:tc>
          <w:tcPr>
            <w:tcW w:w="263" w:type="pct"/>
            <w:vAlign w:val="center"/>
          </w:tcPr>
          <w:p>
            <w:pPr>
              <w:pStyle w:val="32"/>
              <w:rPr>
                <w:sz w:val="18"/>
                <w:szCs w:val="18"/>
              </w:rPr>
            </w:pPr>
            <w:r>
              <w:rPr>
                <w:rFonts w:hint="eastAsia"/>
                <w:sz w:val="18"/>
                <w:szCs w:val="18"/>
              </w:rPr>
              <w:t>1.64</w:t>
            </w:r>
          </w:p>
        </w:tc>
        <w:tc>
          <w:tcPr>
            <w:tcW w:w="272" w:type="pct"/>
            <w:vAlign w:val="center"/>
          </w:tcPr>
          <w:p>
            <w:pPr>
              <w:pStyle w:val="32"/>
              <w:rPr>
                <w:sz w:val="18"/>
                <w:szCs w:val="18"/>
              </w:rPr>
            </w:pPr>
            <w:r>
              <w:rPr>
                <w:rFonts w:hint="eastAsia"/>
                <w:sz w:val="18"/>
                <w:szCs w:val="18"/>
              </w:rPr>
              <w:t>0.21</w:t>
            </w:r>
          </w:p>
        </w:tc>
        <w:tc>
          <w:tcPr>
            <w:tcW w:w="281" w:type="pct"/>
            <w:vAlign w:val="center"/>
          </w:tcPr>
          <w:p>
            <w:pPr>
              <w:pStyle w:val="32"/>
              <w:rPr>
                <w:sz w:val="18"/>
                <w:szCs w:val="18"/>
              </w:rPr>
            </w:pPr>
            <w:r>
              <w:rPr>
                <w:rFonts w:hint="eastAsia"/>
                <w:sz w:val="18"/>
                <w:szCs w:val="18"/>
              </w:rPr>
              <w:t>1.06</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100</w:t>
            </w:r>
          </w:p>
        </w:tc>
        <w:tc>
          <w:tcPr>
            <w:tcW w:w="232" w:type="pct"/>
            <w:vAlign w:val="center"/>
          </w:tcPr>
          <w:p>
            <w:pPr>
              <w:jc w:val="center"/>
              <w:rPr>
                <w:sz w:val="18"/>
                <w:szCs w:val="18"/>
              </w:rPr>
            </w:pPr>
            <w:r>
              <w:rPr>
                <w:rFonts w:hint="eastAsia"/>
                <w:sz w:val="18"/>
                <w:szCs w:val="18"/>
              </w:rPr>
              <w:t>2</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sz w:val="18"/>
                <w:szCs w:val="18"/>
              </w:rPr>
              <w:t>C</w:t>
            </w:r>
            <w:r>
              <w:rPr>
                <w:rFonts w:hint="eastAsia"/>
                <w:sz w:val="18"/>
                <w:szCs w:val="18"/>
              </w:rPr>
              <w:t>l</w:t>
            </w:r>
            <w:r>
              <w:rPr>
                <w:rFonts w:hint="eastAsia"/>
                <w:sz w:val="18"/>
                <w:szCs w:val="18"/>
                <w:vertAlign w:val="subscript"/>
              </w:rPr>
              <w:t>2</w:t>
            </w:r>
          </w:p>
        </w:tc>
        <w:tc>
          <w:tcPr>
            <w:tcW w:w="289" w:type="pct"/>
            <w:vAlign w:val="center"/>
          </w:tcPr>
          <w:p>
            <w:pPr>
              <w:pStyle w:val="32"/>
              <w:rPr>
                <w:sz w:val="18"/>
                <w:szCs w:val="18"/>
              </w:rPr>
            </w:pPr>
            <w:r>
              <w:rPr>
                <w:rFonts w:hint="eastAsia"/>
                <w:sz w:val="18"/>
                <w:szCs w:val="18"/>
              </w:rPr>
              <w:t>4.43</w:t>
            </w:r>
          </w:p>
        </w:tc>
        <w:tc>
          <w:tcPr>
            <w:tcW w:w="280" w:type="pct"/>
            <w:vAlign w:val="center"/>
          </w:tcPr>
          <w:p>
            <w:pPr>
              <w:pStyle w:val="32"/>
              <w:rPr>
                <w:sz w:val="18"/>
                <w:szCs w:val="18"/>
              </w:rPr>
            </w:pPr>
            <w:r>
              <w:rPr>
                <w:rFonts w:hint="eastAsia"/>
                <w:sz w:val="18"/>
                <w:szCs w:val="18"/>
              </w:rPr>
              <w:t>0.58</w:t>
            </w:r>
          </w:p>
        </w:tc>
        <w:tc>
          <w:tcPr>
            <w:tcW w:w="286" w:type="pct"/>
            <w:vAlign w:val="center"/>
          </w:tcPr>
          <w:p>
            <w:pPr>
              <w:pStyle w:val="32"/>
              <w:rPr>
                <w:sz w:val="18"/>
                <w:szCs w:val="18"/>
              </w:rPr>
            </w:pPr>
            <w:r>
              <w:rPr>
                <w:rFonts w:hint="eastAsia"/>
                <w:sz w:val="18"/>
                <w:szCs w:val="18"/>
              </w:rPr>
              <w:t>2.85</w:t>
            </w:r>
          </w:p>
        </w:tc>
        <w:tc>
          <w:tcPr>
            <w:tcW w:w="263" w:type="pct"/>
            <w:vAlign w:val="center"/>
          </w:tcPr>
          <w:p>
            <w:pPr>
              <w:pStyle w:val="32"/>
              <w:rPr>
                <w:sz w:val="18"/>
                <w:szCs w:val="18"/>
              </w:rPr>
            </w:pPr>
            <w:r>
              <w:rPr>
                <w:rFonts w:hint="eastAsia"/>
                <w:sz w:val="18"/>
                <w:szCs w:val="18"/>
              </w:rPr>
              <w:t>0.89</w:t>
            </w:r>
          </w:p>
        </w:tc>
        <w:tc>
          <w:tcPr>
            <w:tcW w:w="272" w:type="pct"/>
            <w:vAlign w:val="center"/>
          </w:tcPr>
          <w:p>
            <w:pPr>
              <w:pStyle w:val="32"/>
              <w:rPr>
                <w:sz w:val="18"/>
                <w:szCs w:val="18"/>
              </w:rPr>
            </w:pPr>
            <w:r>
              <w:rPr>
                <w:rFonts w:hint="eastAsia"/>
                <w:sz w:val="18"/>
                <w:szCs w:val="18"/>
              </w:rPr>
              <w:t>0.12</w:t>
            </w:r>
          </w:p>
        </w:tc>
        <w:tc>
          <w:tcPr>
            <w:tcW w:w="281" w:type="pct"/>
            <w:vAlign w:val="center"/>
          </w:tcPr>
          <w:p>
            <w:pPr>
              <w:pStyle w:val="32"/>
              <w:rPr>
                <w:sz w:val="18"/>
                <w:szCs w:val="18"/>
              </w:rPr>
            </w:pPr>
            <w:r>
              <w:rPr>
                <w:rFonts w:hint="eastAsia"/>
                <w:sz w:val="18"/>
                <w:szCs w:val="18"/>
              </w:rPr>
              <w:t>0.57</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65</w:t>
            </w:r>
          </w:p>
        </w:tc>
        <w:tc>
          <w:tcPr>
            <w:tcW w:w="232" w:type="pct"/>
            <w:vAlign w:val="center"/>
          </w:tcPr>
          <w:p>
            <w:pPr>
              <w:jc w:val="center"/>
              <w:rPr>
                <w:sz w:val="18"/>
                <w:szCs w:val="18"/>
              </w:rPr>
            </w:pPr>
            <w:r>
              <w:rPr>
                <w:rFonts w:hint="eastAsia"/>
                <w:sz w:val="18"/>
                <w:szCs w:val="18"/>
              </w:rPr>
              <w:t>1.885</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Align w:val="center"/>
          </w:tcPr>
          <w:p>
            <w:pPr>
              <w:widowControl/>
              <w:jc w:val="center"/>
              <w:rPr>
                <w:sz w:val="18"/>
                <w:szCs w:val="18"/>
              </w:rPr>
            </w:pPr>
            <w:r>
              <w:rPr>
                <w:rFonts w:hint="eastAsia"/>
                <w:sz w:val="18"/>
                <w:szCs w:val="18"/>
              </w:rPr>
              <w:t>P1-2</w:t>
            </w:r>
          </w:p>
        </w:tc>
        <w:tc>
          <w:tcPr>
            <w:tcW w:w="448" w:type="pct"/>
            <w:vAlign w:val="center"/>
          </w:tcPr>
          <w:p>
            <w:pPr>
              <w:pStyle w:val="32"/>
              <w:rPr>
                <w:sz w:val="18"/>
                <w:szCs w:val="18"/>
              </w:rPr>
            </w:pPr>
            <w:r>
              <w:rPr>
                <w:rFonts w:hint="eastAsia"/>
                <w:sz w:val="18"/>
                <w:szCs w:val="18"/>
              </w:rPr>
              <w:t>铝灰分离废气G1-4</w:t>
            </w:r>
          </w:p>
        </w:tc>
        <w:tc>
          <w:tcPr>
            <w:tcW w:w="274" w:type="pct"/>
            <w:vAlign w:val="center"/>
          </w:tcPr>
          <w:p>
            <w:pPr>
              <w:pStyle w:val="32"/>
              <w:rPr>
                <w:sz w:val="18"/>
                <w:szCs w:val="18"/>
              </w:rPr>
            </w:pPr>
            <w:r>
              <w:rPr>
                <w:sz w:val="18"/>
                <w:szCs w:val="18"/>
              </w:rPr>
              <w:t>1</w:t>
            </w:r>
            <w:r>
              <w:rPr>
                <w:rFonts w:hint="eastAsia"/>
                <w:sz w:val="18"/>
                <w:szCs w:val="18"/>
              </w:rPr>
              <w:t>0000</w:t>
            </w:r>
          </w:p>
        </w:tc>
        <w:tc>
          <w:tcPr>
            <w:tcW w:w="267" w:type="pct"/>
            <w:vAlign w:val="center"/>
          </w:tcPr>
          <w:p>
            <w:pPr>
              <w:pStyle w:val="32"/>
              <w:rPr>
                <w:sz w:val="18"/>
                <w:szCs w:val="18"/>
              </w:rPr>
            </w:pPr>
            <w:r>
              <w:rPr>
                <w:rFonts w:hint="eastAsia"/>
                <w:sz w:val="18"/>
                <w:szCs w:val="18"/>
              </w:rPr>
              <w:t>颗粒物</w:t>
            </w:r>
          </w:p>
        </w:tc>
        <w:tc>
          <w:tcPr>
            <w:tcW w:w="289" w:type="pct"/>
            <w:vAlign w:val="center"/>
          </w:tcPr>
          <w:p>
            <w:pPr>
              <w:pStyle w:val="32"/>
              <w:rPr>
                <w:sz w:val="18"/>
                <w:szCs w:val="18"/>
              </w:rPr>
            </w:pPr>
            <w:r>
              <w:rPr>
                <w:rFonts w:hint="eastAsia"/>
                <w:sz w:val="18"/>
                <w:szCs w:val="18"/>
              </w:rPr>
              <w:t>1068</w:t>
            </w:r>
          </w:p>
        </w:tc>
        <w:tc>
          <w:tcPr>
            <w:tcW w:w="280" w:type="pct"/>
            <w:vAlign w:val="center"/>
          </w:tcPr>
          <w:p>
            <w:pPr>
              <w:pStyle w:val="32"/>
              <w:rPr>
                <w:sz w:val="18"/>
                <w:szCs w:val="18"/>
              </w:rPr>
            </w:pPr>
            <w:r>
              <w:rPr>
                <w:rFonts w:hint="eastAsia"/>
                <w:sz w:val="18"/>
                <w:szCs w:val="18"/>
              </w:rPr>
              <w:t>10.68</w:t>
            </w:r>
          </w:p>
        </w:tc>
        <w:tc>
          <w:tcPr>
            <w:tcW w:w="286" w:type="pct"/>
            <w:vAlign w:val="center"/>
          </w:tcPr>
          <w:p>
            <w:pPr>
              <w:pStyle w:val="32"/>
              <w:rPr>
                <w:sz w:val="18"/>
                <w:szCs w:val="18"/>
              </w:rPr>
            </w:pPr>
            <w:r>
              <w:rPr>
                <w:rFonts w:hint="eastAsia"/>
                <w:sz w:val="18"/>
                <w:szCs w:val="18"/>
              </w:rPr>
              <w:t>28.2</w:t>
            </w:r>
          </w:p>
        </w:tc>
        <w:tc>
          <w:tcPr>
            <w:tcW w:w="263" w:type="pct"/>
            <w:vAlign w:val="center"/>
          </w:tcPr>
          <w:p>
            <w:pPr>
              <w:pStyle w:val="32"/>
              <w:rPr>
                <w:sz w:val="18"/>
                <w:szCs w:val="18"/>
              </w:rPr>
            </w:pPr>
            <w:r>
              <w:rPr>
                <w:rFonts w:hint="eastAsia"/>
                <w:sz w:val="18"/>
                <w:szCs w:val="18"/>
              </w:rPr>
              <w:t>21.36</w:t>
            </w:r>
          </w:p>
        </w:tc>
        <w:tc>
          <w:tcPr>
            <w:tcW w:w="272" w:type="pct"/>
            <w:vAlign w:val="center"/>
          </w:tcPr>
          <w:p>
            <w:pPr>
              <w:pStyle w:val="32"/>
              <w:rPr>
                <w:sz w:val="18"/>
                <w:szCs w:val="18"/>
              </w:rPr>
            </w:pPr>
            <w:r>
              <w:rPr>
                <w:rFonts w:hint="eastAsia"/>
                <w:sz w:val="18"/>
                <w:szCs w:val="18"/>
              </w:rPr>
              <w:t>0.21</w:t>
            </w:r>
          </w:p>
        </w:tc>
        <w:tc>
          <w:tcPr>
            <w:tcW w:w="281" w:type="pct"/>
            <w:vAlign w:val="center"/>
          </w:tcPr>
          <w:p>
            <w:pPr>
              <w:pStyle w:val="32"/>
              <w:rPr>
                <w:sz w:val="18"/>
                <w:szCs w:val="18"/>
              </w:rPr>
            </w:pPr>
            <w:r>
              <w:rPr>
                <w:rFonts w:hint="eastAsia"/>
                <w:sz w:val="18"/>
                <w:szCs w:val="18"/>
              </w:rPr>
              <w:t>0.56</w:t>
            </w:r>
          </w:p>
        </w:tc>
        <w:tc>
          <w:tcPr>
            <w:tcW w:w="255" w:type="pct"/>
            <w:vAlign w:val="center"/>
          </w:tcPr>
          <w:p>
            <w:pPr>
              <w:pStyle w:val="32"/>
              <w:rPr>
                <w:sz w:val="18"/>
                <w:szCs w:val="18"/>
              </w:rPr>
            </w:pPr>
            <w:r>
              <w:rPr>
                <w:rFonts w:hint="eastAsia"/>
                <w:sz w:val="18"/>
                <w:szCs w:val="18"/>
              </w:rPr>
              <w:t>20</w:t>
            </w:r>
          </w:p>
        </w:tc>
        <w:tc>
          <w:tcPr>
            <w:tcW w:w="211" w:type="pct"/>
            <w:vAlign w:val="center"/>
          </w:tcPr>
          <w:p>
            <w:pPr>
              <w:pStyle w:val="32"/>
              <w:rPr>
                <w:sz w:val="18"/>
                <w:szCs w:val="18"/>
              </w:rPr>
            </w:pPr>
            <w:r>
              <w:rPr>
                <w:rFonts w:hint="eastAsia"/>
                <w:sz w:val="18"/>
                <w:szCs w:val="18"/>
              </w:rPr>
              <w:t>1.6</w:t>
            </w:r>
          </w:p>
        </w:tc>
        <w:tc>
          <w:tcPr>
            <w:tcW w:w="207" w:type="pct"/>
            <w:vAlign w:val="center"/>
          </w:tcPr>
          <w:p>
            <w:pPr>
              <w:pStyle w:val="32"/>
              <w:rPr>
                <w:sz w:val="18"/>
                <w:szCs w:val="18"/>
              </w:rPr>
            </w:pPr>
            <w:r>
              <w:rPr>
                <w:rFonts w:hint="eastAsia"/>
                <w:sz w:val="18"/>
                <w:szCs w:val="18"/>
              </w:rPr>
              <w:t>25</w:t>
            </w:r>
          </w:p>
        </w:tc>
        <w:tc>
          <w:tcPr>
            <w:tcW w:w="551" w:type="pct"/>
            <w:vAlign w:val="center"/>
          </w:tcPr>
          <w:p>
            <w:pPr>
              <w:pStyle w:val="32"/>
              <w:rPr>
                <w:sz w:val="18"/>
                <w:szCs w:val="18"/>
              </w:rPr>
            </w:pPr>
            <w:r>
              <w:rPr>
                <w:rFonts w:hint="eastAsia"/>
                <w:sz w:val="18"/>
                <w:szCs w:val="18"/>
              </w:rPr>
              <w:t>布袋除尘器，颗粒物去除效率98%</w:t>
            </w:r>
          </w:p>
        </w:tc>
        <w:tc>
          <w:tcPr>
            <w:tcW w:w="265" w:type="pct"/>
            <w:vAlign w:val="center"/>
          </w:tcPr>
          <w:p>
            <w:pPr>
              <w:pStyle w:val="32"/>
              <w:rPr>
                <w:sz w:val="18"/>
                <w:szCs w:val="18"/>
              </w:rPr>
            </w:pPr>
            <w:r>
              <w:rPr>
                <w:rFonts w:hint="eastAsia"/>
                <w:sz w:val="18"/>
                <w:szCs w:val="18"/>
              </w:rPr>
              <w:t>120</w:t>
            </w:r>
          </w:p>
        </w:tc>
        <w:tc>
          <w:tcPr>
            <w:tcW w:w="232" w:type="pct"/>
            <w:vAlign w:val="center"/>
          </w:tcPr>
          <w:p>
            <w:pPr>
              <w:pStyle w:val="32"/>
              <w:rPr>
                <w:sz w:val="18"/>
                <w:szCs w:val="18"/>
              </w:rPr>
            </w:pPr>
            <w:r>
              <w:rPr>
                <w:rFonts w:hint="eastAsia"/>
                <w:sz w:val="18"/>
                <w:szCs w:val="18"/>
              </w:rPr>
              <w:t>5.9</w:t>
            </w:r>
          </w:p>
        </w:tc>
        <w:tc>
          <w:tcPr>
            <w:tcW w:w="211" w:type="pct"/>
            <w:vAlign w:val="center"/>
          </w:tcPr>
          <w:p>
            <w:pPr>
              <w:pStyle w:val="32"/>
              <w:rPr>
                <w:sz w:val="18"/>
                <w:szCs w:val="18"/>
              </w:rPr>
            </w:pPr>
            <w:r>
              <w:rPr>
                <w:rFonts w:hint="eastAsia"/>
                <w:sz w:val="18"/>
                <w:szCs w:val="18"/>
              </w:rPr>
              <w:t>连续</w:t>
            </w:r>
          </w:p>
        </w:tc>
        <w:tc>
          <w:tcPr>
            <w:tcW w:w="203" w:type="pct"/>
            <w:vAlign w:val="center"/>
          </w:tcPr>
          <w:p>
            <w:pPr>
              <w:pStyle w:val="32"/>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restart"/>
            <w:tcBorders>
              <w:bottom w:val="single" w:color="auto" w:sz="4" w:space="0"/>
            </w:tcBorders>
            <w:vAlign w:val="center"/>
          </w:tcPr>
          <w:p>
            <w:pPr>
              <w:widowControl/>
              <w:jc w:val="center"/>
              <w:rPr>
                <w:sz w:val="18"/>
                <w:szCs w:val="18"/>
              </w:rPr>
            </w:pPr>
            <w:r>
              <w:rPr>
                <w:sz w:val="18"/>
                <w:szCs w:val="18"/>
              </w:rPr>
              <w:t>P</w:t>
            </w:r>
            <w:r>
              <w:rPr>
                <w:rFonts w:hint="eastAsia"/>
                <w:sz w:val="18"/>
                <w:szCs w:val="18"/>
              </w:rPr>
              <w:t>1-3</w:t>
            </w:r>
          </w:p>
        </w:tc>
        <w:tc>
          <w:tcPr>
            <w:tcW w:w="448" w:type="pct"/>
            <w:vMerge w:val="restart"/>
            <w:tcBorders>
              <w:bottom w:val="single" w:color="auto" w:sz="4" w:space="0"/>
            </w:tcBorders>
            <w:vAlign w:val="center"/>
          </w:tcPr>
          <w:p>
            <w:pPr>
              <w:widowControl/>
              <w:jc w:val="center"/>
              <w:rPr>
                <w:sz w:val="18"/>
                <w:szCs w:val="18"/>
              </w:rPr>
            </w:pPr>
            <w:r>
              <w:rPr>
                <w:rFonts w:hint="eastAsia"/>
                <w:sz w:val="18"/>
                <w:szCs w:val="18"/>
              </w:rPr>
              <w:t>圆铸锭批次式均质炉燃烧废气G1-5</w:t>
            </w:r>
          </w:p>
        </w:tc>
        <w:tc>
          <w:tcPr>
            <w:tcW w:w="274" w:type="pct"/>
            <w:vMerge w:val="restart"/>
            <w:tcBorders>
              <w:bottom w:val="single" w:color="auto" w:sz="4" w:space="0"/>
            </w:tcBorders>
            <w:vAlign w:val="center"/>
          </w:tcPr>
          <w:p>
            <w:pPr>
              <w:pStyle w:val="32"/>
              <w:rPr>
                <w:sz w:val="18"/>
                <w:szCs w:val="18"/>
              </w:rPr>
            </w:pPr>
            <w:r>
              <w:rPr>
                <w:rFonts w:hint="eastAsia"/>
                <w:sz w:val="18"/>
                <w:szCs w:val="18"/>
              </w:rPr>
              <w:t>6095.12</w:t>
            </w:r>
          </w:p>
        </w:tc>
        <w:tc>
          <w:tcPr>
            <w:tcW w:w="267" w:type="pct"/>
            <w:tcBorders>
              <w:bottom w:val="single" w:color="auto" w:sz="4" w:space="0"/>
            </w:tcBorders>
            <w:vAlign w:val="center"/>
          </w:tcPr>
          <w:p>
            <w:pPr>
              <w:widowControl/>
              <w:jc w:val="center"/>
              <w:rPr>
                <w:sz w:val="18"/>
                <w:szCs w:val="18"/>
              </w:rPr>
            </w:pPr>
            <w:r>
              <w:rPr>
                <w:rFonts w:hint="eastAsia"/>
                <w:sz w:val="18"/>
                <w:szCs w:val="18"/>
              </w:rPr>
              <w:t>颗粒物</w:t>
            </w:r>
          </w:p>
        </w:tc>
        <w:tc>
          <w:tcPr>
            <w:tcW w:w="289" w:type="pct"/>
            <w:tcBorders>
              <w:bottom w:val="single" w:color="auto" w:sz="4" w:space="0"/>
            </w:tcBorders>
            <w:vAlign w:val="center"/>
          </w:tcPr>
          <w:p>
            <w:pPr>
              <w:pStyle w:val="32"/>
              <w:rPr>
                <w:sz w:val="18"/>
                <w:szCs w:val="18"/>
              </w:rPr>
            </w:pPr>
            <w:r>
              <w:rPr>
                <w:rFonts w:hint="eastAsia"/>
                <w:sz w:val="18"/>
                <w:szCs w:val="18"/>
              </w:rPr>
              <w:t>22.27</w:t>
            </w:r>
          </w:p>
        </w:tc>
        <w:tc>
          <w:tcPr>
            <w:tcW w:w="280" w:type="pct"/>
            <w:tcBorders>
              <w:bottom w:val="single" w:color="auto" w:sz="4" w:space="0"/>
            </w:tcBorders>
            <w:vAlign w:val="center"/>
          </w:tcPr>
          <w:p>
            <w:pPr>
              <w:pStyle w:val="32"/>
              <w:rPr>
                <w:sz w:val="18"/>
                <w:szCs w:val="18"/>
              </w:rPr>
            </w:pPr>
            <w:r>
              <w:rPr>
                <w:rFonts w:hint="eastAsia"/>
                <w:sz w:val="18"/>
                <w:szCs w:val="18"/>
              </w:rPr>
              <w:t>0.14</w:t>
            </w:r>
          </w:p>
        </w:tc>
        <w:tc>
          <w:tcPr>
            <w:tcW w:w="286" w:type="pct"/>
            <w:tcBorders>
              <w:bottom w:val="single" w:color="auto" w:sz="4" w:space="0"/>
            </w:tcBorders>
            <w:vAlign w:val="center"/>
          </w:tcPr>
          <w:p>
            <w:pPr>
              <w:pStyle w:val="32"/>
              <w:rPr>
                <w:sz w:val="18"/>
                <w:szCs w:val="18"/>
              </w:rPr>
            </w:pPr>
            <w:r>
              <w:rPr>
                <w:rFonts w:hint="eastAsia"/>
                <w:sz w:val="18"/>
                <w:szCs w:val="18"/>
              </w:rPr>
              <w:t>0.54</w:t>
            </w:r>
          </w:p>
        </w:tc>
        <w:tc>
          <w:tcPr>
            <w:tcW w:w="263" w:type="pct"/>
            <w:tcBorders>
              <w:bottom w:val="single" w:color="auto" w:sz="4" w:space="0"/>
            </w:tcBorders>
            <w:vAlign w:val="center"/>
          </w:tcPr>
          <w:p>
            <w:pPr>
              <w:pStyle w:val="32"/>
              <w:rPr>
                <w:sz w:val="18"/>
                <w:szCs w:val="18"/>
              </w:rPr>
            </w:pPr>
            <w:r>
              <w:rPr>
                <w:rFonts w:hint="eastAsia"/>
                <w:sz w:val="18"/>
                <w:szCs w:val="18"/>
              </w:rPr>
              <w:t>22.27</w:t>
            </w:r>
          </w:p>
        </w:tc>
        <w:tc>
          <w:tcPr>
            <w:tcW w:w="272" w:type="pct"/>
            <w:tcBorders>
              <w:bottom w:val="single" w:color="auto" w:sz="4" w:space="0"/>
            </w:tcBorders>
            <w:vAlign w:val="center"/>
          </w:tcPr>
          <w:p>
            <w:pPr>
              <w:pStyle w:val="32"/>
              <w:rPr>
                <w:sz w:val="18"/>
                <w:szCs w:val="18"/>
              </w:rPr>
            </w:pPr>
            <w:r>
              <w:rPr>
                <w:rFonts w:hint="eastAsia"/>
                <w:sz w:val="18"/>
                <w:szCs w:val="18"/>
              </w:rPr>
              <w:t>0.14</w:t>
            </w:r>
          </w:p>
        </w:tc>
        <w:tc>
          <w:tcPr>
            <w:tcW w:w="281" w:type="pct"/>
            <w:tcBorders>
              <w:bottom w:val="single" w:color="auto" w:sz="4" w:space="0"/>
            </w:tcBorders>
            <w:vAlign w:val="center"/>
          </w:tcPr>
          <w:p>
            <w:pPr>
              <w:pStyle w:val="32"/>
              <w:rPr>
                <w:sz w:val="18"/>
                <w:szCs w:val="18"/>
              </w:rPr>
            </w:pPr>
            <w:r>
              <w:rPr>
                <w:rFonts w:hint="eastAsia"/>
                <w:sz w:val="18"/>
                <w:szCs w:val="18"/>
              </w:rPr>
              <w:t>0.54</w:t>
            </w:r>
          </w:p>
        </w:tc>
        <w:tc>
          <w:tcPr>
            <w:tcW w:w="255" w:type="pct"/>
            <w:vMerge w:val="restart"/>
            <w:tcBorders>
              <w:bottom w:val="single" w:color="auto" w:sz="4" w:space="0"/>
            </w:tcBorders>
            <w:vAlign w:val="center"/>
          </w:tcPr>
          <w:p>
            <w:pPr>
              <w:jc w:val="center"/>
              <w:rPr>
                <w:sz w:val="18"/>
                <w:szCs w:val="18"/>
              </w:rPr>
            </w:pPr>
            <w:r>
              <w:rPr>
                <w:sz w:val="18"/>
                <w:szCs w:val="18"/>
              </w:rPr>
              <w:t>2</w:t>
            </w:r>
            <w:r>
              <w:rPr>
                <w:rFonts w:hint="eastAsia"/>
                <w:sz w:val="18"/>
                <w:szCs w:val="18"/>
              </w:rPr>
              <w:t>5</w:t>
            </w:r>
          </w:p>
        </w:tc>
        <w:tc>
          <w:tcPr>
            <w:tcW w:w="211" w:type="pct"/>
            <w:vMerge w:val="restart"/>
            <w:tcBorders>
              <w:bottom w:val="single" w:color="auto" w:sz="4" w:space="0"/>
            </w:tcBorders>
            <w:vAlign w:val="center"/>
          </w:tcPr>
          <w:p>
            <w:pPr>
              <w:jc w:val="center"/>
              <w:rPr>
                <w:sz w:val="18"/>
                <w:szCs w:val="18"/>
              </w:rPr>
            </w:pPr>
            <w:r>
              <w:rPr>
                <w:rFonts w:hint="eastAsia"/>
                <w:sz w:val="18"/>
                <w:szCs w:val="18"/>
              </w:rPr>
              <w:t>0.</w:t>
            </w:r>
            <w:r>
              <w:rPr>
                <w:sz w:val="18"/>
                <w:szCs w:val="18"/>
              </w:rPr>
              <w:t>9</w:t>
            </w:r>
          </w:p>
        </w:tc>
        <w:tc>
          <w:tcPr>
            <w:tcW w:w="207" w:type="pct"/>
            <w:vMerge w:val="restart"/>
            <w:tcBorders>
              <w:bottom w:val="single" w:color="auto" w:sz="4" w:space="0"/>
            </w:tcBorders>
            <w:vAlign w:val="center"/>
          </w:tcPr>
          <w:p>
            <w:pPr>
              <w:jc w:val="center"/>
              <w:rPr>
                <w:sz w:val="18"/>
                <w:szCs w:val="18"/>
              </w:rPr>
            </w:pPr>
            <w:r>
              <w:rPr>
                <w:rFonts w:hint="eastAsia"/>
                <w:sz w:val="18"/>
                <w:szCs w:val="18"/>
              </w:rPr>
              <w:t>125</w:t>
            </w:r>
          </w:p>
        </w:tc>
        <w:tc>
          <w:tcPr>
            <w:tcW w:w="551" w:type="pct"/>
            <w:vMerge w:val="restart"/>
            <w:tcBorders>
              <w:bottom w:val="single" w:color="auto" w:sz="4" w:space="0"/>
            </w:tcBorders>
            <w:vAlign w:val="center"/>
          </w:tcPr>
          <w:p>
            <w:pPr>
              <w:widowControl/>
              <w:jc w:val="center"/>
              <w:rPr>
                <w:sz w:val="18"/>
                <w:szCs w:val="18"/>
              </w:rPr>
            </w:pPr>
            <w:r>
              <w:rPr>
                <w:rFonts w:hint="eastAsia"/>
                <w:sz w:val="18"/>
                <w:szCs w:val="18"/>
              </w:rPr>
              <w:t>25m排气筒排放</w:t>
            </w:r>
          </w:p>
        </w:tc>
        <w:tc>
          <w:tcPr>
            <w:tcW w:w="265" w:type="pct"/>
            <w:tcBorders>
              <w:bottom w:val="single" w:color="auto" w:sz="4" w:space="0"/>
            </w:tcBorders>
          </w:tcPr>
          <w:p>
            <w:pPr>
              <w:widowControl/>
              <w:jc w:val="center"/>
              <w:rPr>
                <w:sz w:val="18"/>
                <w:szCs w:val="18"/>
              </w:rPr>
            </w:pPr>
            <w:r>
              <w:rPr>
                <w:rFonts w:hint="eastAsia"/>
                <w:sz w:val="18"/>
                <w:szCs w:val="18"/>
              </w:rPr>
              <w:t>100</w:t>
            </w:r>
          </w:p>
        </w:tc>
        <w:tc>
          <w:tcPr>
            <w:tcW w:w="232" w:type="pct"/>
            <w:tcBorders>
              <w:bottom w:val="single" w:color="auto" w:sz="4" w:space="0"/>
            </w:tcBorders>
          </w:tcPr>
          <w:p>
            <w:pPr>
              <w:widowControl/>
              <w:jc w:val="center"/>
              <w:rPr>
                <w:sz w:val="18"/>
                <w:szCs w:val="18"/>
              </w:rPr>
            </w:pPr>
            <w:r>
              <w:rPr>
                <w:rFonts w:hint="eastAsia"/>
                <w:sz w:val="18"/>
                <w:szCs w:val="18"/>
              </w:rPr>
              <w:t>14.45</w:t>
            </w:r>
          </w:p>
        </w:tc>
        <w:tc>
          <w:tcPr>
            <w:tcW w:w="211" w:type="pct"/>
            <w:tcBorders>
              <w:bottom w:val="single" w:color="auto" w:sz="4" w:space="0"/>
            </w:tcBorders>
          </w:tcPr>
          <w:p>
            <w:pPr>
              <w:jc w:val="center"/>
              <w:rPr>
                <w:sz w:val="18"/>
                <w:szCs w:val="18"/>
              </w:rPr>
            </w:pPr>
            <w:r>
              <w:rPr>
                <w:rFonts w:hint="eastAsia"/>
                <w:sz w:val="18"/>
                <w:szCs w:val="18"/>
              </w:rPr>
              <w:t>连续</w:t>
            </w:r>
          </w:p>
        </w:tc>
        <w:tc>
          <w:tcPr>
            <w:tcW w:w="203" w:type="pct"/>
            <w:tcBorders>
              <w:bottom w:val="single" w:color="auto" w:sz="4" w:space="0"/>
            </w:tcBorders>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289" w:type="pct"/>
            <w:vAlign w:val="center"/>
          </w:tcPr>
          <w:p>
            <w:pPr>
              <w:pStyle w:val="32"/>
              <w:rPr>
                <w:sz w:val="18"/>
                <w:szCs w:val="18"/>
              </w:rPr>
            </w:pPr>
            <w:r>
              <w:rPr>
                <w:rFonts w:hint="eastAsia"/>
                <w:sz w:val="18"/>
                <w:szCs w:val="18"/>
              </w:rPr>
              <w:t>37.12</w:t>
            </w:r>
          </w:p>
        </w:tc>
        <w:tc>
          <w:tcPr>
            <w:tcW w:w="280" w:type="pct"/>
            <w:vAlign w:val="center"/>
          </w:tcPr>
          <w:p>
            <w:pPr>
              <w:pStyle w:val="32"/>
              <w:rPr>
                <w:sz w:val="18"/>
                <w:szCs w:val="18"/>
              </w:rPr>
            </w:pPr>
            <w:r>
              <w:rPr>
                <w:rFonts w:hint="eastAsia"/>
                <w:sz w:val="18"/>
                <w:szCs w:val="18"/>
              </w:rPr>
              <w:t>0.23</w:t>
            </w:r>
          </w:p>
        </w:tc>
        <w:tc>
          <w:tcPr>
            <w:tcW w:w="286" w:type="pct"/>
            <w:vAlign w:val="center"/>
          </w:tcPr>
          <w:p>
            <w:pPr>
              <w:pStyle w:val="32"/>
              <w:rPr>
                <w:sz w:val="18"/>
                <w:szCs w:val="18"/>
              </w:rPr>
            </w:pPr>
            <w:r>
              <w:rPr>
                <w:rFonts w:hint="eastAsia"/>
                <w:sz w:val="18"/>
                <w:szCs w:val="18"/>
              </w:rPr>
              <w:t>0.90</w:t>
            </w:r>
          </w:p>
        </w:tc>
        <w:tc>
          <w:tcPr>
            <w:tcW w:w="263" w:type="pct"/>
            <w:vAlign w:val="center"/>
          </w:tcPr>
          <w:p>
            <w:pPr>
              <w:pStyle w:val="32"/>
              <w:rPr>
                <w:sz w:val="18"/>
                <w:szCs w:val="18"/>
              </w:rPr>
            </w:pPr>
            <w:r>
              <w:rPr>
                <w:rFonts w:hint="eastAsia"/>
                <w:sz w:val="18"/>
                <w:szCs w:val="18"/>
              </w:rPr>
              <w:t>37.12</w:t>
            </w:r>
          </w:p>
        </w:tc>
        <w:tc>
          <w:tcPr>
            <w:tcW w:w="272" w:type="pct"/>
            <w:vAlign w:val="center"/>
          </w:tcPr>
          <w:p>
            <w:pPr>
              <w:pStyle w:val="32"/>
              <w:rPr>
                <w:sz w:val="18"/>
                <w:szCs w:val="18"/>
              </w:rPr>
            </w:pPr>
            <w:r>
              <w:rPr>
                <w:rFonts w:hint="eastAsia"/>
                <w:sz w:val="18"/>
                <w:szCs w:val="18"/>
              </w:rPr>
              <w:t>0.23</w:t>
            </w:r>
          </w:p>
        </w:tc>
        <w:tc>
          <w:tcPr>
            <w:tcW w:w="281" w:type="pct"/>
            <w:vAlign w:val="center"/>
          </w:tcPr>
          <w:p>
            <w:pPr>
              <w:pStyle w:val="32"/>
              <w:rPr>
                <w:sz w:val="18"/>
                <w:szCs w:val="18"/>
              </w:rPr>
            </w:pPr>
            <w:r>
              <w:rPr>
                <w:rFonts w:hint="eastAsia"/>
                <w:sz w:val="18"/>
                <w:szCs w:val="18"/>
              </w:rPr>
              <w:t>0.90</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widowControl/>
              <w:jc w:val="center"/>
              <w:rPr>
                <w:sz w:val="18"/>
                <w:szCs w:val="18"/>
              </w:rPr>
            </w:pPr>
          </w:p>
        </w:tc>
        <w:tc>
          <w:tcPr>
            <w:tcW w:w="265" w:type="pct"/>
          </w:tcPr>
          <w:p>
            <w:pPr>
              <w:widowControl/>
              <w:jc w:val="center"/>
              <w:rPr>
                <w:sz w:val="18"/>
                <w:szCs w:val="18"/>
              </w:rPr>
            </w:pPr>
            <w:r>
              <w:rPr>
                <w:rFonts w:hint="eastAsia"/>
                <w:sz w:val="18"/>
                <w:szCs w:val="18"/>
              </w:rPr>
              <w:t>550</w:t>
            </w:r>
          </w:p>
        </w:tc>
        <w:tc>
          <w:tcPr>
            <w:tcW w:w="232" w:type="pct"/>
          </w:tcPr>
          <w:p>
            <w:pPr>
              <w:widowControl/>
              <w:jc w:val="center"/>
              <w:rPr>
                <w:sz w:val="18"/>
                <w:szCs w:val="18"/>
              </w:rPr>
            </w:pPr>
            <w:r>
              <w:rPr>
                <w:rFonts w:hint="eastAsia"/>
                <w:sz w:val="18"/>
                <w:szCs w:val="18"/>
              </w:rPr>
              <w:t>9.65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289" w:type="pct"/>
            <w:vAlign w:val="center"/>
          </w:tcPr>
          <w:p>
            <w:pPr>
              <w:pStyle w:val="32"/>
              <w:rPr>
                <w:sz w:val="18"/>
                <w:szCs w:val="18"/>
              </w:rPr>
            </w:pPr>
            <w:r>
              <w:rPr>
                <w:rFonts w:hint="eastAsia"/>
                <w:sz w:val="18"/>
                <w:szCs w:val="18"/>
              </w:rPr>
              <w:t>147.28</w:t>
            </w:r>
          </w:p>
        </w:tc>
        <w:tc>
          <w:tcPr>
            <w:tcW w:w="280" w:type="pct"/>
            <w:vAlign w:val="center"/>
          </w:tcPr>
          <w:p>
            <w:pPr>
              <w:pStyle w:val="32"/>
              <w:rPr>
                <w:sz w:val="18"/>
                <w:szCs w:val="18"/>
              </w:rPr>
            </w:pPr>
            <w:r>
              <w:rPr>
                <w:rFonts w:hint="eastAsia"/>
                <w:sz w:val="18"/>
                <w:szCs w:val="18"/>
              </w:rPr>
              <w:t>0.90</w:t>
            </w:r>
          </w:p>
        </w:tc>
        <w:tc>
          <w:tcPr>
            <w:tcW w:w="286" w:type="pct"/>
            <w:vAlign w:val="center"/>
          </w:tcPr>
          <w:p>
            <w:pPr>
              <w:pStyle w:val="32"/>
              <w:rPr>
                <w:sz w:val="18"/>
                <w:szCs w:val="18"/>
              </w:rPr>
            </w:pPr>
            <w:r>
              <w:rPr>
                <w:rFonts w:hint="eastAsia"/>
                <w:sz w:val="18"/>
                <w:szCs w:val="18"/>
              </w:rPr>
              <w:t>3.55</w:t>
            </w:r>
          </w:p>
        </w:tc>
        <w:tc>
          <w:tcPr>
            <w:tcW w:w="263" w:type="pct"/>
            <w:vAlign w:val="center"/>
          </w:tcPr>
          <w:p>
            <w:pPr>
              <w:pStyle w:val="32"/>
              <w:rPr>
                <w:sz w:val="18"/>
                <w:szCs w:val="18"/>
              </w:rPr>
            </w:pPr>
            <w:r>
              <w:rPr>
                <w:rFonts w:hint="eastAsia"/>
                <w:sz w:val="18"/>
                <w:szCs w:val="18"/>
              </w:rPr>
              <w:t>147.28</w:t>
            </w:r>
          </w:p>
        </w:tc>
        <w:tc>
          <w:tcPr>
            <w:tcW w:w="272" w:type="pct"/>
            <w:vAlign w:val="center"/>
          </w:tcPr>
          <w:p>
            <w:pPr>
              <w:pStyle w:val="32"/>
              <w:rPr>
                <w:sz w:val="18"/>
                <w:szCs w:val="18"/>
              </w:rPr>
            </w:pPr>
            <w:r>
              <w:rPr>
                <w:rFonts w:hint="eastAsia"/>
                <w:sz w:val="18"/>
                <w:szCs w:val="18"/>
              </w:rPr>
              <w:t>0.90</w:t>
            </w:r>
          </w:p>
        </w:tc>
        <w:tc>
          <w:tcPr>
            <w:tcW w:w="281" w:type="pct"/>
            <w:vAlign w:val="center"/>
          </w:tcPr>
          <w:p>
            <w:pPr>
              <w:pStyle w:val="32"/>
              <w:rPr>
                <w:sz w:val="18"/>
                <w:szCs w:val="18"/>
              </w:rPr>
            </w:pPr>
            <w:r>
              <w:rPr>
                <w:rFonts w:hint="eastAsia"/>
                <w:sz w:val="18"/>
                <w:szCs w:val="18"/>
              </w:rPr>
              <w:t>3.55</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widowControl/>
              <w:jc w:val="center"/>
              <w:rPr>
                <w:sz w:val="18"/>
                <w:szCs w:val="18"/>
              </w:rPr>
            </w:pPr>
          </w:p>
        </w:tc>
        <w:tc>
          <w:tcPr>
            <w:tcW w:w="265" w:type="pct"/>
          </w:tcPr>
          <w:p>
            <w:pPr>
              <w:widowControl/>
              <w:jc w:val="center"/>
              <w:rPr>
                <w:sz w:val="18"/>
                <w:szCs w:val="18"/>
              </w:rPr>
            </w:pPr>
            <w:r>
              <w:rPr>
                <w:rFonts w:hint="eastAsia"/>
                <w:sz w:val="18"/>
                <w:szCs w:val="18"/>
              </w:rPr>
              <w:t>240</w:t>
            </w:r>
          </w:p>
        </w:tc>
        <w:tc>
          <w:tcPr>
            <w:tcW w:w="232" w:type="pct"/>
          </w:tcPr>
          <w:p>
            <w:pPr>
              <w:widowControl/>
              <w:jc w:val="center"/>
              <w:rPr>
                <w:sz w:val="18"/>
                <w:szCs w:val="18"/>
              </w:rPr>
            </w:pPr>
            <w:r>
              <w:rPr>
                <w:rFonts w:hint="eastAsia"/>
                <w:sz w:val="18"/>
                <w:szCs w:val="18"/>
              </w:rPr>
              <w:t>2.85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197" w:type="pct"/>
            <w:vMerge w:val="restart"/>
            <w:vAlign w:val="center"/>
          </w:tcPr>
          <w:p>
            <w:pPr>
              <w:widowControl/>
              <w:jc w:val="center"/>
              <w:rPr>
                <w:sz w:val="18"/>
                <w:szCs w:val="18"/>
              </w:rPr>
            </w:pPr>
            <w:r>
              <w:rPr>
                <w:sz w:val="18"/>
                <w:szCs w:val="18"/>
              </w:rPr>
              <w:t>P</w:t>
            </w:r>
            <w:r>
              <w:rPr>
                <w:rFonts w:hint="eastAsia"/>
                <w:sz w:val="18"/>
                <w:szCs w:val="18"/>
              </w:rPr>
              <w:t>1-4</w:t>
            </w:r>
          </w:p>
        </w:tc>
        <w:tc>
          <w:tcPr>
            <w:tcW w:w="448" w:type="pct"/>
            <w:vMerge w:val="restart"/>
            <w:vAlign w:val="center"/>
          </w:tcPr>
          <w:p>
            <w:pPr>
              <w:widowControl/>
              <w:jc w:val="center"/>
              <w:rPr>
                <w:sz w:val="18"/>
                <w:szCs w:val="18"/>
              </w:rPr>
            </w:pPr>
            <w:r>
              <w:rPr>
                <w:rFonts w:hint="eastAsia"/>
                <w:sz w:val="18"/>
                <w:szCs w:val="18"/>
              </w:rPr>
              <w:t>圆铸锭连续式均质炉燃烧废气G1-5</w:t>
            </w:r>
          </w:p>
        </w:tc>
        <w:tc>
          <w:tcPr>
            <w:tcW w:w="274" w:type="pct"/>
            <w:vMerge w:val="restart"/>
            <w:vAlign w:val="center"/>
          </w:tcPr>
          <w:p>
            <w:pPr>
              <w:widowControl/>
              <w:jc w:val="center"/>
              <w:rPr>
                <w:sz w:val="18"/>
                <w:szCs w:val="18"/>
              </w:rPr>
            </w:pPr>
            <w:r>
              <w:rPr>
                <w:rFonts w:hint="eastAsia"/>
                <w:sz w:val="18"/>
                <w:szCs w:val="18"/>
              </w:rPr>
              <w:t>3047.56</w:t>
            </w:r>
          </w:p>
        </w:tc>
        <w:tc>
          <w:tcPr>
            <w:tcW w:w="267" w:type="pct"/>
            <w:vAlign w:val="center"/>
          </w:tcPr>
          <w:p>
            <w:pPr>
              <w:widowControl/>
              <w:jc w:val="center"/>
              <w:rPr>
                <w:sz w:val="18"/>
                <w:szCs w:val="18"/>
              </w:rPr>
            </w:pPr>
            <w:r>
              <w:rPr>
                <w:rFonts w:hint="eastAsia"/>
                <w:sz w:val="18"/>
                <w:szCs w:val="18"/>
              </w:rPr>
              <w:t>颗粒物</w:t>
            </w:r>
          </w:p>
        </w:tc>
        <w:tc>
          <w:tcPr>
            <w:tcW w:w="289" w:type="pct"/>
            <w:vAlign w:val="center"/>
          </w:tcPr>
          <w:p>
            <w:pPr>
              <w:pStyle w:val="32"/>
              <w:rPr>
                <w:sz w:val="18"/>
                <w:szCs w:val="18"/>
              </w:rPr>
            </w:pPr>
            <w:r>
              <w:rPr>
                <w:rFonts w:hint="eastAsia"/>
                <w:sz w:val="18"/>
                <w:szCs w:val="18"/>
              </w:rPr>
              <w:t>22.27</w:t>
            </w:r>
          </w:p>
        </w:tc>
        <w:tc>
          <w:tcPr>
            <w:tcW w:w="280" w:type="pct"/>
            <w:vAlign w:val="center"/>
          </w:tcPr>
          <w:p>
            <w:pPr>
              <w:pStyle w:val="32"/>
              <w:rPr>
                <w:sz w:val="18"/>
                <w:szCs w:val="18"/>
              </w:rPr>
            </w:pPr>
            <w:r>
              <w:rPr>
                <w:rFonts w:hint="eastAsia"/>
                <w:sz w:val="18"/>
                <w:szCs w:val="18"/>
              </w:rPr>
              <w:t>0.068</w:t>
            </w:r>
          </w:p>
        </w:tc>
        <w:tc>
          <w:tcPr>
            <w:tcW w:w="286" w:type="pct"/>
            <w:vAlign w:val="center"/>
          </w:tcPr>
          <w:p>
            <w:pPr>
              <w:pStyle w:val="32"/>
              <w:rPr>
                <w:sz w:val="18"/>
                <w:szCs w:val="18"/>
              </w:rPr>
            </w:pPr>
            <w:r>
              <w:rPr>
                <w:rFonts w:hint="eastAsia"/>
                <w:sz w:val="18"/>
                <w:szCs w:val="18"/>
              </w:rPr>
              <w:t>0.27</w:t>
            </w:r>
          </w:p>
        </w:tc>
        <w:tc>
          <w:tcPr>
            <w:tcW w:w="263" w:type="pct"/>
            <w:vAlign w:val="center"/>
          </w:tcPr>
          <w:p>
            <w:pPr>
              <w:pStyle w:val="32"/>
              <w:rPr>
                <w:sz w:val="18"/>
                <w:szCs w:val="18"/>
              </w:rPr>
            </w:pPr>
            <w:r>
              <w:rPr>
                <w:rFonts w:hint="eastAsia"/>
                <w:sz w:val="18"/>
                <w:szCs w:val="18"/>
              </w:rPr>
              <w:t>22.27</w:t>
            </w:r>
          </w:p>
        </w:tc>
        <w:tc>
          <w:tcPr>
            <w:tcW w:w="272" w:type="pct"/>
            <w:vAlign w:val="center"/>
          </w:tcPr>
          <w:p>
            <w:pPr>
              <w:pStyle w:val="32"/>
              <w:rPr>
                <w:sz w:val="18"/>
                <w:szCs w:val="18"/>
              </w:rPr>
            </w:pPr>
            <w:r>
              <w:rPr>
                <w:rFonts w:hint="eastAsia"/>
                <w:sz w:val="18"/>
                <w:szCs w:val="18"/>
              </w:rPr>
              <w:t>0.068</w:t>
            </w:r>
          </w:p>
        </w:tc>
        <w:tc>
          <w:tcPr>
            <w:tcW w:w="281" w:type="pct"/>
            <w:vAlign w:val="center"/>
          </w:tcPr>
          <w:p>
            <w:pPr>
              <w:pStyle w:val="32"/>
              <w:rPr>
                <w:sz w:val="18"/>
                <w:szCs w:val="18"/>
              </w:rPr>
            </w:pPr>
            <w:r>
              <w:rPr>
                <w:rFonts w:hint="eastAsia"/>
                <w:sz w:val="18"/>
                <w:szCs w:val="18"/>
              </w:rPr>
              <w:t>0.27</w:t>
            </w:r>
          </w:p>
        </w:tc>
        <w:tc>
          <w:tcPr>
            <w:tcW w:w="255" w:type="pct"/>
            <w:vMerge w:val="restart"/>
            <w:vAlign w:val="center"/>
          </w:tcPr>
          <w:p>
            <w:pPr>
              <w:jc w:val="center"/>
              <w:rPr>
                <w:sz w:val="18"/>
                <w:szCs w:val="18"/>
              </w:rPr>
            </w:pPr>
            <w:r>
              <w:rPr>
                <w:sz w:val="18"/>
                <w:szCs w:val="18"/>
              </w:rPr>
              <w:t>2</w:t>
            </w:r>
            <w:r>
              <w:rPr>
                <w:rFonts w:hint="eastAsia"/>
                <w:sz w:val="18"/>
                <w:szCs w:val="18"/>
              </w:rPr>
              <w:t>5</w:t>
            </w:r>
          </w:p>
        </w:tc>
        <w:tc>
          <w:tcPr>
            <w:tcW w:w="211" w:type="pct"/>
            <w:vMerge w:val="restart"/>
            <w:vAlign w:val="center"/>
          </w:tcPr>
          <w:p>
            <w:pPr>
              <w:jc w:val="center"/>
              <w:rPr>
                <w:sz w:val="18"/>
                <w:szCs w:val="18"/>
              </w:rPr>
            </w:pPr>
            <w:r>
              <w:rPr>
                <w:rFonts w:hint="eastAsia"/>
                <w:sz w:val="18"/>
                <w:szCs w:val="18"/>
              </w:rPr>
              <w:t>0.</w:t>
            </w:r>
            <w:r>
              <w:rPr>
                <w:sz w:val="18"/>
                <w:szCs w:val="18"/>
              </w:rPr>
              <w:t>9</w:t>
            </w:r>
          </w:p>
        </w:tc>
        <w:tc>
          <w:tcPr>
            <w:tcW w:w="207" w:type="pct"/>
            <w:vMerge w:val="restart"/>
            <w:vAlign w:val="center"/>
          </w:tcPr>
          <w:p>
            <w:pPr>
              <w:jc w:val="center"/>
              <w:rPr>
                <w:sz w:val="18"/>
                <w:szCs w:val="18"/>
              </w:rPr>
            </w:pPr>
            <w:r>
              <w:rPr>
                <w:rFonts w:hint="eastAsia"/>
                <w:sz w:val="18"/>
                <w:szCs w:val="18"/>
              </w:rPr>
              <w:t>125</w:t>
            </w:r>
          </w:p>
        </w:tc>
        <w:tc>
          <w:tcPr>
            <w:tcW w:w="551" w:type="pct"/>
            <w:vMerge w:val="restart"/>
            <w:vAlign w:val="center"/>
          </w:tcPr>
          <w:p>
            <w:pPr>
              <w:widowControl/>
              <w:jc w:val="center"/>
              <w:rPr>
                <w:sz w:val="18"/>
                <w:szCs w:val="18"/>
              </w:rPr>
            </w:pPr>
            <w:r>
              <w:rPr>
                <w:rFonts w:hint="eastAsia"/>
                <w:sz w:val="18"/>
                <w:szCs w:val="18"/>
              </w:rPr>
              <w:t>25m排气筒排放</w:t>
            </w:r>
          </w:p>
        </w:tc>
        <w:tc>
          <w:tcPr>
            <w:tcW w:w="265" w:type="pct"/>
          </w:tcPr>
          <w:p>
            <w:pPr>
              <w:widowControl/>
              <w:jc w:val="center"/>
              <w:rPr>
                <w:sz w:val="18"/>
                <w:szCs w:val="18"/>
              </w:rPr>
            </w:pPr>
            <w:r>
              <w:rPr>
                <w:rFonts w:hint="eastAsia"/>
                <w:sz w:val="18"/>
                <w:szCs w:val="18"/>
              </w:rPr>
              <w:t>100</w:t>
            </w:r>
          </w:p>
        </w:tc>
        <w:tc>
          <w:tcPr>
            <w:tcW w:w="232" w:type="pct"/>
          </w:tcPr>
          <w:p>
            <w:pPr>
              <w:widowControl/>
              <w:jc w:val="center"/>
              <w:rPr>
                <w:sz w:val="18"/>
                <w:szCs w:val="18"/>
              </w:rPr>
            </w:pPr>
            <w:r>
              <w:rPr>
                <w:rFonts w:hint="eastAsia"/>
                <w:sz w:val="18"/>
                <w:szCs w:val="18"/>
              </w:rPr>
              <w:t>14.45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289" w:type="pct"/>
            <w:vAlign w:val="center"/>
          </w:tcPr>
          <w:p>
            <w:pPr>
              <w:pStyle w:val="32"/>
              <w:rPr>
                <w:sz w:val="18"/>
                <w:szCs w:val="18"/>
              </w:rPr>
            </w:pPr>
            <w:r>
              <w:rPr>
                <w:rFonts w:hint="eastAsia"/>
                <w:sz w:val="18"/>
                <w:szCs w:val="18"/>
              </w:rPr>
              <w:t>37.12</w:t>
            </w:r>
          </w:p>
        </w:tc>
        <w:tc>
          <w:tcPr>
            <w:tcW w:w="280" w:type="pct"/>
            <w:vAlign w:val="center"/>
          </w:tcPr>
          <w:p>
            <w:pPr>
              <w:pStyle w:val="32"/>
              <w:rPr>
                <w:sz w:val="18"/>
                <w:szCs w:val="18"/>
              </w:rPr>
            </w:pPr>
            <w:r>
              <w:rPr>
                <w:rFonts w:hint="eastAsia"/>
                <w:sz w:val="18"/>
                <w:szCs w:val="18"/>
              </w:rPr>
              <w:t>0.11</w:t>
            </w:r>
          </w:p>
        </w:tc>
        <w:tc>
          <w:tcPr>
            <w:tcW w:w="286" w:type="pct"/>
            <w:vAlign w:val="center"/>
          </w:tcPr>
          <w:p>
            <w:pPr>
              <w:pStyle w:val="32"/>
              <w:rPr>
                <w:sz w:val="18"/>
                <w:szCs w:val="18"/>
              </w:rPr>
            </w:pPr>
            <w:r>
              <w:rPr>
                <w:rFonts w:hint="eastAsia"/>
                <w:sz w:val="18"/>
                <w:szCs w:val="18"/>
              </w:rPr>
              <w:t>0.45</w:t>
            </w:r>
          </w:p>
        </w:tc>
        <w:tc>
          <w:tcPr>
            <w:tcW w:w="263" w:type="pct"/>
            <w:vAlign w:val="center"/>
          </w:tcPr>
          <w:p>
            <w:pPr>
              <w:pStyle w:val="32"/>
              <w:rPr>
                <w:sz w:val="18"/>
                <w:szCs w:val="18"/>
              </w:rPr>
            </w:pPr>
            <w:r>
              <w:rPr>
                <w:rFonts w:hint="eastAsia"/>
                <w:sz w:val="18"/>
                <w:szCs w:val="18"/>
              </w:rPr>
              <w:t>37.12</w:t>
            </w:r>
          </w:p>
        </w:tc>
        <w:tc>
          <w:tcPr>
            <w:tcW w:w="272" w:type="pct"/>
            <w:vAlign w:val="center"/>
          </w:tcPr>
          <w:p>
            <w:pPr>
              <w:pStyle w:val="32"/>
              <w:rPr>
                <w:sz w:val="18"/>
                <w:szCs w:val="18"/>
              </w:rPr>
            </w:pPr>
            <w:r>
              <w:rPr>
                <w:rFonts w:hint="eastAsia"/>
                <w:sz w:val="18"/>
                <w:szCs w:val="18"/>
              </w:rPr>
              <w:t>0.11</w:t>
            </w:r>
          </w:p>
        </w:tc>
        <w:tc>
          <w:tcPr>
            <w:tcW w:w="281" w:type="pct"/>
            <w:vAlign w:val="center"/>
          </w:tcPr>
          <w:p>
            <w:pPr>
              <w:pStyle w:val="32"/>
              <w:rPr>
                <w:sz w:val="18"/>
                <w:szCs w:val="18"/>
              </w:rPr>
            </w:pPr>
            <w:r>
              <w:rPr>
                <w:rFonts w:hint="eastAsia"/>
                <w:sz w:val="18"/>
                <w:szCs w:val="18"/>
              </w:rPr>
              <w:t>0.45</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widowControl/>
              <w:jc w:val="center"/>
              <w:rPr>
                <w:sz w:val="18"/>
                <w:szCs w:val="18"/>
              </w:rPr>
            </w:pPr>
          </w:p>
        </w:tc>
        <w:tc>
          <w:tcPr>
            <w:tcW w:w="265" w:type="pct"/>
          </w:tcPr>
          <w:p>
            <w:pPr>
              <w:widowControl/>
              <w:jc w:val="center"/>
              <w:rPr>
                <w:sz w:val="18"/>
                <w:szCs w:val="18"/>
              </w:rPr>
            </w:pPr>
            <w:r>
              <w:rPr>
                <w:rFonts w:hint="eastAsia"/>
                <w:sz w:val="18"/>
                <w:szCs w:val="18"/>
              </w:rPr>
              <w:t>550</w:t>
            </w:r>
          </w:p>
        </w:tc>
        <w:tc>
          <w:tcPr>
            <w:tcW w:w="232" w:type="pct"/>
          </w:tcPr>
          <w:p>
            <w:pPr>
              <w:widowControl/>
              <w:jc w:val="center"/>
              <w:rPr>
                <w:sz w:val="18"/>
                <w:szCs w:val="18"/>
              </w:rPr>
            </w:pPr>
            <w:r>
              <w:rPr>
                <w:rFonts w:hint="eastAsia"/>
                <w:sz w:val="18"/>
                <w:szCs w:val="18"/>
              </w:rPr>
              <w:t>9.65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289" w:type="pct"/>
            <w:vAlign w:val="center"/>
          </w:tcPr>
          <w:p>
            <w:pPr>
              <w:pStyle w:val="32"/>
              <w:rPr>
                <w:sz w:val="18"/>
                <w:szCs w:val="18"/>
              </w:rPr>
            </w:pPr>
            <w:r>
              <w:rPr>
                <w:rFonts w:hint="eastAsia"/>
                <w:sz w:val="18"/>
                <w:szCs w:val="18"/>
              </w:rPr>
              <w:t>147.28</w:t>
            </w:r>
          </w:p>
        </w:tc>
        <w:tc>
          <w:tcPr>
            <w:tcW w:w="280" w:type="pct"/>
            <w:vAlign w:val="center"/>
          </w:tcPr>
          <w:p>
            <w:pPr>
              <w:pStyle w:val="32"/>
              <w:rPr>
                <w:sz w:val="18"/>
                <w:szCs w:val="18"/>
              </w:rPr>
            </w:pPr>
            <w:r>
              <w:rPr>
                <w:rFonts w:hint="eastAsia"/>
                <w:sz w:val="18"/>
                <w:szCs w:val="18"/>
              </w:rPr>
              <w:t>0.45</w:t>
            </w:r>
          </w:p>
        </w:tc>
        <w:tc>
          <w:tcPr>
            <w:tcW w:w="286" w:type="pct"/>
            <w:vAlign w:val="center"/>
          </w:tcPr>
          <w:p>
            <w:pPr>
              <w:pStyle w:val="32"/>
              <w:rPr>
                <w:sz w:val="18"/>
                <w:szCs w:val="18"/>
              </w:rPr>
            </w:pPr>
            <w:r>
              <w:rPr>
                <w:rFonts w:hint="eastAsia"/>
                <w:sz w:val="18"/>
                <w:szCs w:val="18"/>
              </w:rPr>
              <w:t>1.78</w:t>
            </w:r>
          </w:p>
        </w:tc>
        <w:tc>
          <w:tcPr>
            <w:tcW w:w="263" w:type="pct"/>
            <w:vAlign w:val="center"/>
          </w:tcPr>
          <w:p>
            <w:pPr>
              <w:pStyle w:val="32"/>
              <w:rPr>
                <w:sz w:val="18"/>
                <w:szCs w:val="18"/>
              </w:rPr>
            </w:pPr>
            <w:r>
              <w:rPr>
                <w:rFonts w:hint="eastAsia"/>
                <w:sz w:val="18"/>
                <w:szCs w:val="18"/>
              </w:rPr>
              <w:t>147.28</w:t>
            </w:r>
          </w:p>
        </w:tc>
        <w:tc>
          <w:tcPr>
            <w:tcW w:w="272" w:type="pct"/>
            <w:vAlign w:val="center"/>
          </w:tcPr>
          <w:p>
            <w:pPr>
              <w:pStyle w:val="32"/>
              <w:rPr>
                <w:sz w:val="18"/>
                <w:szCs w:val="18"/>
              </w:rPr>
            </w:pPr>
            <w:r>
              <w:rPr>
                <w:rFonts w:hint="eastAsia"/>
                <w:sz w:val="18"/>
                <w:szCs w:val="18"/>
              </w:rPr>
              <w:t>0.45</w:t>
            </w:r>
          </w:p>
        </w:tc>
        <w:tc>
          <w:tcPr>
            <w:tcW w:w="281" w:type="pct"/>
            <w:vAlign w:val="center"/>
          </w:tcPr>
          <w:p>
            <w:pPr>
              <w:pStyle w:val="32"/>
              <w:rPr>
                <w:sz w:val="18"/>
                <w:szCs w:val="18"/>
              </w:rPr>
            </w:pPr>
            <w:r>
              <w:rPr>
                <w:rFonts w:hint="eastAsia"/>
                <w:sz w:val="18"/>
                <w:szCs w:val="18"/>
              </w:rPr>
              <w:t>1.78</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widowControl/>
              <w:jc w:val="center"/>
              <w:rPr>
                <w:sz w:val="18"/>
                <w:szCs w:val="18"/>
              </w:rPr>
            </w:pPr>
          </w:p>
        </w:tc>
        <w:tc>
          <w:tcPr>
            <w:tcW w:w="265" w:type="pct"/>
          </w:tcPr>
          <w:p>
            <w:pPr>
              <w:widowControl/>
              <w:jc w:val="center"/>
              <w:rPr>
                <w:sz w:val="18"/>
                <w:szCs w:val="18"/>
              </w:rPr>
            </w:pPr>
            <w:r>
              <w:rPr>
                <w:rFonts w:hint="eastAsia"/>
                <w:sz w:val="18"/>
                <w:szCs w:val="18"/>
              </w:rPr>
              <w:t>240</w:t>
            </w:r>
          </w:p>
        </w:tc>
        <w:tc>
          <w:tcPr>
            <w:tcW w:w="232" w:type="pct"/>
          </w:tcPr>
          <w:p>
            <w:pPr>
              <w:widowControl/>
              <w:jc w:val="center"/>
              <w:rPr>
                <w:sz w:val="18"/>
                <w:szCs w:val="18"/>
              </w:rPr>
            </w:pPr>
            <w:r>
              <w:rPr>
                <w:rFonts w:hint="eastAsia"/>
                <w:sz w:val="18"/>
                <w:szCs w:val="18"/>
              </w:rPr>
              <w:t>2.85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restart"/>
            <w:vAlign w:val="center"/>
          </w:tcPr>
          <w:p>
            <w:pPr>
              <w:widowControl/>
              <w:jc w:val="center"/>
              <w:rPr>
                <w:sz w:val="18"/>
                <w:szCs w:val="18"/>
              </w:rPr>
            </w:pPr>
            <w:r>
              <w:rPr>
                <w:sz w:val="18"/>
                <w:szCs w:val="18"/>
              </w:rPr>
              <w:t>P</w:t>
            </w:r>
            <w:r>
              <w:rPr>
                <w:rFonts w:hint="eastAsia"/>
                <w:sz w:val="18"/>
                <w:szCs w:val="18"/>
              </w:rPr>
              <w:t>1-5</w:t>
            </w:r>
          </w:p>
        </w:tc>
        <w:tc>
          <w:tcPr>
            <w:tcW w:w="448" w:type="pct"/>
            <w:vMerge w:val="restart"/>
            <w:vAlign w:val="center"/>
          </w:tcPr>
          <w:p>
            <w:pPr>
              <w:widowControl/>
              <w:jc w:val="center"/>
              <w:rPr>
                <w:sz w:val="18"/>
                <w:szCs w:val="18"/>
              </w:rPr>
            </w:pPr>
            <w:r>
              <w:rPr>
                <w:rFonts w:hint="eastAsia"/>
                <w:sz w:val="18"/>
                <w:szCs w:val="18"/>
              </w:rPr>
              <w:t>板锭均质炉燃烧废气G1-5</w:t>
            </w:r>
          </w:p>
        </w:tc>
        <w:tc>
          <w:tcPr>
            <w:tcW w:w="274" w:type="pct"/>
            <w:vMerge w:val="restart"/>
            <w:vAlign w:val="center"/>
          </w:tcPr>
          <w:p>
            <w:pPr>
              <w:widowControl/>
              <w:jc w:val="center"/>
              <w:rPr>
                <w:sz w:val="18"/>
                <w:szCs w:val="18"/>
              </w:rPr>
            </w:pPr>
            <w:r>
              <w:rPr>
                <w:rFonts w:hint="eastAsia"/>
                <w:sz w:val="18"/>
                <w:szCs w:val="18"/>
              </w:rPr>
              <w:t>9142.68</w:t>
            </w:r>
          </w:p>
        </w:tc>
        <w:tc>
          <w:tcPr>
            <w:tcW w:w="267" w:type="pct"/>
            <w:vAlign w:val="center"/>
          </w:tcPr>
          <w:p>
            <w:pPr>
              <w:widowControl/>
              <w:jc w:val="center"/>
              <w:rPr>
                <w:sz w:val="18"/>
                <w:szCs w:val="18"/>
              </w:rPr>
            </w:pPr>
            <w:r>
              <w:rPr>
                <w:rFonts w:hint="eastAsia"/>
                <w:sz w:val="18"/>
                <w:szCs w:val="18"/>
              </w:rPr>
              <w:t>颗粒物</w:t>
            </w:r>
          </w:p>
        </w:tc>
        <w:tc>
          <w:tcPr>
            <w:tcW w:w="289" w:type="pct"/>
            <w:vAlign w:val="center"/>
          </w:tcPr>
          <w:p>
            <w:pPr>
              <w:pStyle w:val="32"/>
              <w:rPr>
                <w:sz w:val="18"/>
                <w:szCs w:val="18"/>
              </w:rPr>
            </w:pPr>
            <w:r>
              <w:rPr>
                <w:rFonts w:hint="eastAsia"/>
                <w:sz w:val="18"/>
                <w:szCs w:val="18"/>
              </w:rPr>
              <w:t>22.27</w:t>
            </w:r>
          </w:p>
        </w:tc>
        <w:tc>
          <w:tcPr>
            <w:tcW w:w="280" w:type="pct"/>
            <w:vAlign w:val="center"/>
          </w:tcPr>
          <w:p>
            <w:pPr>
              <w:pStyle w:val="32"/>
              <w:rPr>
                <w:sz w:val="18"/>
                <w:szCs w:val="18"/>
              </w:rPr>
            </w:pPr>
            <w:r>
              <w:rPr>
                <w:rFonts w:hint="eastAsia"/>
                <w:sz w:val="18"/>
                <w:szCs w:val="18"/>
              </w:rPr>
              <w:t>0.20</w:t>
            </w:r>
          </w:p>
        </w:tc>
        <w:tc>
          <w:tcPr>
            <w:tcW w:w="286" w:type="pct"/>
            <w:vAlign w:val="center"/>
          </w:tcPr>
          <w:p>
            <w:pPr>
              <w:pStyle w:val="32"/>
              <w:rPr>
                <w:sz w:val="18"/>
                <w:szCs w:val="18"/>
              </w:rPr>
            </w:pPr>
            <w:r>
              <w:rPr>
                <w:rFonts w:hint="eastAsia"/>
                <w:sz w:val="18"/>
                <w:szCs w:val="18"/>
              </w:rPr>
              <w:t>0.81</w:t>
            </w:r>
          </w:p>
        </w:tc>
        <w:tc>
          <w:tcPr>
            <w:tcW w:w="263" w:type="pct"/>
            <w:vAlign w:val="center"/>
          </w:tcPr>
          <w:p>
            <w:pPr>
              <w:pStyle w:val="32"/>
              <w:rPr>
                <w:sz w:val="18"/>
                <w:szCs w:val="18"/>
              </w:rPr>
            </w:pPr>
            <w:r>
              <w:rPr>
                <w:rFonts w:hint="eastAsia"/>
                <w:sz w:val="18"/>
                <w:szCs w:val="18"/>
              </w:rPr>
              <w:t>22.27</w:t>
            </w:r>
          </w:p>
        </w:tc>
        <w:tc>
          <w:tcPr>
            <w:tcW w:w="272" w:type="pct"/>
            <w:vAlign w:val="center"/>
          </w:tcPr>
          <w:p>
            <w:pPr>
              <w:pStyle w:val="32"/>
              <w:rPr>
                <w:sz w:val="18"/>
                <w:szCs w:val="18"/>
              </w:rPr>
            </w:pPr>
            <w:r>
              <w:rPr>
                <w:rFonts w:hint="eastAsia"/>
                <w:sz w:val="18"/>
                <w:szCs w:val="18"/>
              </w:rPr>
              <w:t>0.20</w:t>
            </w:r>
          </w:p>
        </w:tc>
        <w:tc>
          <w:tcPr>
            <w:tcW w:w="281" w:type="pct"/>
            <w:vAlign w:val="center"/>
          </w:tcPr>
          <w:p>
            <w:pPr>
              <w:pStyle w:val="32"/>
              <w:rPr>
                <w:sz w:val="18"/>
                <w:szCs w:val="18"/>
              </w:rPr>
            </w:pPr>
            <w:r>
              <w:rPr>
                <w:rFonts w:hint="eastAsia"/>
                <w:sz w:val="18"/>
                <w:szCs w:val="18"/>
              </w:rPr>
              <w:t>0.81</w:t>
            </w:r>
          </w:p>
        </w:tc>
        <w:tc>
          <w:tcPr>
            <w:tcW w:w="255" w:type="pct"/>
            <w:vMerge w:val="restart"/>
            <w:vAlign w:val="center"/>
          </w:tcPr>
          <w:p>
            <w:pPr>
              <w:jc w:val="center"/>
              <w:rPr>
                <w:sz w:val="18"/>
                <w:szCs w:val="18"/>
              </w:rPr>
            </w:pPr>
            <w:r>
              <w:rPr>
                <w:sz w:val="18"/>
                <w:szCs w:val="18"/>
              </w:rPr>
              <w:t>2</w:t>
            </w:r>
            <w:r>
              <w:rPr>
                <w:rFonts w:hint="eastAsia"/>
                <w:sz w:val="18"/>
                <w:szCs w:val="18"/>
              </w:rPr>
              <w:t>5</w:t>
            </w:r>
          </w:p>
        </w:tc>
        <w:tc>
          <w:tcPr>
            <w:tcW w:w="211" w:type="pct"/>
            <w:vMerge w:val="restart"/>
            <w:vAlign w:val="center"/>
          </w:tcPr>
          <w:p>
            <w:pPr>
              <w:jc w:val="center"/>
              <w:rPr>
                <w:sz w:val="18"/>
                <w:szCs w:val="18"/>
              </w:rPr>
            </w:pPr>
            <w:r>
              <w:rPr>
                <w:rFonts w:hint="eastAsia"/>
                <w:sz w:val="18"/>
                <w:szCs w:val="18"/>
              </w:rPr>
              <w:t>0.</w:t>
            </w:r>
            <w:r>
              <w:rPr>
                <w:sz w:val="18"/>
                <w:szCs w:val="18"/>
              </w:rPr>
              <w:t>9</w:t>
            </w:r>
          </w:p>
        </w:tc>
        <w:tc>
          <w:tcPr>
            <w:tcW w:w="207" w:type="pct"/>
            <w:vMerge w:val="restart"/>
            <w:vAlign w:val="center"/>
          </w:tcPr>
          <w:p>
            <w:pPr>
              <w:jc w:val="center"/>
              <w:rPr>
                <w:sz w:val="18"/>
                <w:szCs w:val="18"/>
              </w:rPr>
            </w:pPr>
            <w:r>
              <w:rPr>
                <w:rFonts w:hint="eastAsia"/>
                <w:sz w:val="18"/>
                <w:szCs w:val="18"/>
              </w:rPr>
              <w:t>125</w:t>
            </w:r>
          </w:p>
        </w:tc>
        <w:tc>
          <w:tcPr>
            <w:tcW w:w="551" w:type="pct"/>
            <w:vMerge w:val="restart"/>
            <w:vAlign w:val="center"/>
          </w:tcPr>
          <w:p>
            <w:pPr>
              <w:widowControl/>
              <w:jc w:val="center"/>
              <w:rPr>
                <w:sz w:val="18"/>
                <w:szCs w:val="18"/>
              </w:rPr>
            </w:pPr>
            <w:r>
              <w:rPr>
                <w:rFonts w:hint="eastAsia"/>
                <w:sz w:val="18"/>
                <w:szCs w:val="18"/>
              </w:rPr>
              <w:t>25m排气筒排放</w:t>
            </w:r>
          </w:p>
        </w:tc>
        <w:tc>
          <w:tcPr>
            <w:tcW w:w="265" w:type="pct"/>
          </w:tcPr>
          <w:p>
            <w:pPr>
              <w:widowControl/>
              <w:jc w:val="center"/>
              <w:rPr>
                <w:sz w:val="18"/>
                <w:szCs w:val="18"/>
              </w:rPr>
            </w:pPr>
            <w:r>
              <w:rPr>
                <w:rFonts w:hint="eastAsia"/>
                <w:sz w:val="18"/>
                <w:szCs w:val="18"/>
              </w:rPr>
              <w:t>100</w:t>
            </w:r>
          </w:p>
        </w:tc>
        <w:tc>
          <w:tcPr>
            <w:tcW w:w="232" w:type="pct"/>
          </w:tcPr>
          <w:p>
            <w:pPr>
              <w:widowControl/>
              <w:jc w:val="center"/>
              <w:rPr>
                <w:sz w:val="18"/>
                <w:szCs w:val="18"/>
              </w:rPr>
            </w:pPr>
            <w:r>
              <w:rPr>
                <w:rFonts w:hint="eastAsia"/>
                <w:sz w:val="18"/>
                <w:szCs w:val="18"/>
              </w:rPr>
              <w:t>14.45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289" w:type="pct"/>
            <w:vAlign w:val="center"/>
          </w:tcPr>
          <w:p>
            <w:pPr>
              <w:pStyle w:val="32"/>
              <w:rPr>
                <w:sz w:val="18"/>
                <w:szCs w:val="18"/>
              </w:rPr>
            </w:pPr>
            <w:r>
              <w:rPr>
                <w:rFonts w:hint="eastAsia"/>
                <w:sz w:val="18"/>
                <w:szCs w:val="18"/>
              </w:rPr>
              <w:t>37.12</w:t>
            </w:r>
          </w:p>
        </w:tc>
        <w:tc>
          <w:tcPr>
            <w:tcW w:w="280" w:type="pct"/>
            <w:vAlign w:val="center"/>
          </w:tcPr>
          <w:p>
            <w:pPr>
              <w:pStyle w:val="32"/>
              <w:rPr>
                <w:sz w:val="18"/>
                <w:szCs w:val="18"/>
              </w:rPr>
            </w:pPr>
            <w:r>
              <w:rPr>
                <w:rFonts w:hint="eastAsia"/>
                <w:sz w:val="18"/>
                <w:szCs w:val="18"/>
              </w:rPr>
              <w:t>0.34</w:t>
            </w:r>
          </w:p>
        </w:tc>
        <w:tc>
          <w:tcPr>
            <w:tcW w:w="286" w:type="pct"/>
            <w:vAlign w:val="center"/>
          </w:tcPr>
          <w:p>
            <w:pPr>
              <w:pStyle w:val="32"/>
              <w:rPr>
                <w:sz w:val="18"/>
                <w:szCs w:val="18"/>
              </w:rPr>
            </w:pPr>
            <w:r>
              <w:rPr>
                <w:rFonts w:hint="eastAsia"/>
                <w:sz w:val="18"/>
                <w:szCs w:val="18"/>
              </w:rPr>
              <w:t>1.34</w:t>
            </w:r>
          </w:p>
        </w:tc>
        <w:tc>
          <w:tcPr>
            <w:tcW w:w="263" w:type="pct"/>
            <w:vAlign w:val="center"/>
          </w:tcPr>
          <w:p>
            <w:pPr>
              <w:pStyle w:val="32"/>
              <w:rPr>
                <w:sz w:val="18"/>
                <w:szCs w:val="18"/>
              </w:rPr>
            </w:pPr>
            <w:r>
              <w:rPr>
                <w:rFonts w:hint="eastAsia"/>
                <w:sz w:val="18"/>
                <w:szCs w:val="18"/>
              </w:rPr>
              <w:t>37.12</w:t>
            </w:r>
          </w:p>
        </w:tc>
        <w:tc>
          <w:tcPr>
            <w:tcW w:w="272" w:type="pct"/>
            <w:vAlign w:val="center"/>
          </w:tcPr>
          <w:p>
            <w:pPr>
              <w:pStyle w:val="32"/>
              <w:rPr>
                <w:sz w:val="18"/>
                <w:szCs w:val="18"/>
              </w:rPr>
            </w:pPr>
            <w:r>
              <w:rPr>
                <w:rFonts w:hint="eastAsia"/>
                <w:sz w:val="18"/>
                <w:szCs w:val="18"/>
              </w:rPr>
              <w:t>0.34</w:t>
            </w:r>
          </w:p>
        </w:tc>
        <w:tc>
          <w:tcPr>
            <w:tcW w:w="281" w:type="pct"/>
            <w:vAlign w:val="center"/>
          </w:tcPr>
          <w:p>
            <w:pPr>
              <w:pStyle w:val="32"/>
              <w:rPr>
                <w:sz w:val="18"/>
                <w:szCs w:val="18"/>
              </w:rPr>
            </w:pPr>
            <w:r>
              <w:rPr>
                <w:rFonts w:hint="eastAsia"/>
                <w:sz w:val="18"/>
                <w:szCs w:val="18"/>
              </w:rPr>
              <w:t>1.34</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widowControl/>
              <w:jc w:val="center"/>
              <w:rPr>
                <w:sz w:val="18"/>
                <w:szCs w:val="18"/>
              </w:rPr>
            </w:pPr>
          </w:p>
        </w:tc>
        <w:tc>
          <w:tcPr>
            <w:tcW w:w="265" w:type="pct"/>
          </w:tcPr>
          <w:p>
            <w:pPr>
              <w:widowControl/>
              <w:jc w:val="center"/>
              <w:rPr>
                <w:sz w:val="18"/>
                <w:szCs w:val="18"/>
              </w:rPr>
            </w:pPr>
            <w:r>
              <w:rPr>
                <w:rFonts w:hint="eastAsia"/>
                <w:sz w:val="18"/>
                <w:szCs w:val="18"/>
              </w:rPr>
              <w:t>550</w:t>
            </w:r>
          </w:p>
        </w:tc>
        <w:tc>
          <w:tcPr>
            <w:tcW w:w="232" w:type="pct"/>
          </w:tcPr>
          <w:p>
            <w:pPr>
              <w:widowControl/>
              <w:jc w:val="center"/>
              <w:rPr>
                <w:sz w:val="18"/>
                <w:szCs w:val="18"/>
              </w:rPr>
            </w:pPr>
            <w:r>
              <w:rPr>
                <w:rFonts w:hint="eastAsia"/>
                <w:sz w:val="18"/>
                <w:szCs w:val="18"/>
              </w:rPr>
              <w:t>9.65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289" w:type="pct"/>
            <w:vAlign w:val="center"/>
          </w:tcPr>
          <w:p>
            <w:pPr>
              <w:pStyle w:val="32"/>
              <w:rPr>
                <w:sz w:val="18"/>
                <w:szCs w:val="18"/>
              </w:rPr>
            </w:pPr>
            <w:r>
              <w:rPr>
                <w:rFonts w:hint="eastAsia"/>
                <w:sz w:val="18"/>
                <w:szCs w:val="18"/>
              </w:rPr>
              <w:t>147.28</w:t>
            </w:r>
          </w:p>
        </w:tc>
        <w:tc>
          <w:tcPr>
            <w:tcW w:w="280" w:type="pct"/>
            <w:vAlign w:val="center"/>
          </w:tcPr>
          <w:p>
            <w:pPr>
              <w:pStyle w:val="32"/>
              <w:rPr>
                <w:sz w:val="18"/>
                <w:szCs w:val="18"/>
              </w:rPr>
            </w:pPr>
            <w:r>
              <w:rPr>
                <w:rFonts w:hint="eastAsia"/>
                <w:sz w:val="18"/>
                <w:szCs w:val="18"/>
              </w:rPr>
              <w:t>1.35</w:t>
            </w:r>
          </w:p>
        </w:tc>
        <w:tc>
          <w:tcPr>
            <w:tcW w:w="286" w:type="pct"/>
            <w:vAlign w:val="center"/>
          </w:tcPr>
          <w:p>
            <w:pPr>
              <w:pStyle w:val="32"/>
              <w:rPr>
                <w:sz w:val="18"/>
                <w:szCs w:val="18"/>
              </w:rPr>
            </w:pPr>
            <w:r>
              <w:rPr>
                <w:rFonts w:hint="eastAsia"/>
                <w:sz w:val="18"/>
                <w:szCs w:val="18"/>
              </w:rPr>
              <w:t>5.33</w:t>
            </w:r>
          </w:p>
        </w:tc>
        <w:tc>
          <w:tcPr>
            <w:tcW w:w="263" w:type="pct"/>
            <w:vAlign w:val="center"/>
          </w:tcPr>
          <w:p>
            <w:pPr>
              <w:pStyle w:val="32"/>
              <w:rPr>
                <w:sz w:val="18"/>
                <w:szCs w:val="18"/>
              </w:rPr>
            </w:pPr>
            <w:r>
              <w:rPr>
                <w:rFonts w:hint="eastAsia"/>
                <w:sz w:val="18"/>
                <w:szCs w:val="18"/>
              </w:rPr>
              <w:t>147.28</w:t>
            </w:r>
          </w:p>
        </w:tc>
        <w:tc>
          <w:tcPr>
            <w:tcW w:w="272" w:type="pct"/>
            <w:vAlign w:val="center"/>
          </w:tcPr>
          <w:p>
            <w:pPr>
              <w:pStyle w:val="32"/>
              <w:rPr>
                <w:sz w:val="18"/>
                <w:szCs w:val="18"/>
              </w:rPr>
            </w:pPr>
            <w:r>
              <w:rPr>
                <w:rFonts w:hint="eastAsia"/>
                <w:sz w:val="18"/>
                <w:szCs w:val="18"/>
              </w:rPr>
              <w:t>1.35</w:t>
            </w:r>
          </w:p>
        </w:tc>
        <w:tc>
          <w:tcPr>
            <w:tcW w:w="281" w:type="pct"/>
            <w:vAlign w:val="center"/>
          </w:tcPr>
          <w:p>
            <w:pPr>
              <w:pStyle w:val="32"/>
              <w:rPr>
                <w:sz w:val="18"/>
                <w:szCs w:val="18"/>
              </w:rPr>
            </w:pPr>
            <w:r>
              <w:rPr>
                <w:rFonts w:hint="eastAsia"/>
                <w:sz w:val="18"/>
                <w:szCs w:val="18"/>
              </w:rPr>
              <w:t>5.33</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widowControl/>
              <w:jc w:val="center"/>
              <w:rPr>
                <w:sz w:val="18"/>
                <w:szCs w:val="18"/>
              </w:rPr>
            </w:pPr>
          </w:p>
        </w:tc>
        <w:tc>
          <w:tcPr>
            <w:tcW w:w="265" w:type="pct"/>
          </w:tcPr>
          <w:p>
            <w:pPr>
              <w:widowControl/>
              <w:jc w:val="center"/>
              <w:rPr>
                <w:sz w:val="18"/>
                <w:szCs w:val="18"/>
              </w:rPr>
            </w:pPr>
            <w:r>
              <w:rPr>
                <w:rFonts w:hint="eastAsia"/>
                <w:sz w:val="18"/>
                <w:szCs w:val="18"/>
              </w:rPr>
              <w:t>240</w:t>
            </w:r>
          </w:p>
        </w:tc>
        <w:tc>
          <w:tcPr>
            <w:tcW w:w="232" w:type="pct"/>
          </w:tcPr>
          <w:p>
            <w:pPr>
              <w:widowControl/>
              <w:jc w:val="center"/>
              <w:rPr>
                <w:sz w:val="18"/>
                <w:szCs w:val="18"/>
              </w:rPr>
            </w:pPr>
            <w:r>
              <w:rPr>
                <w:rFonts w:hint="eastAsia"/>
                <w:sz w:val="18"/>
                <w:szCs w:val="18"/>
              </w:rPr>
              <w:t>2.85</w:t>
            </w:r>
          </w:p>
        </w:tc>
        <w:tc>
          <w:tcPr>
            <w:tcW w:w="211" w:type="pct"/>
          </w:tcPr>
          <w:p>
            <w:pPr>
              <w:jc w:val="center"/>
              <w:rPr>
                <w:sz w:val="18"/>
                <w:szCs w:val="18"/>
              </w:rPr>
            </w:pPr>
            <w:r>
              <w:rPr>
                <w:rFonts w:hint="eastAsia"/>
                <w:sz w:val="18"/>
                <w:szCs w:val="18"/>
              </w:rPr>
              <w:t>连续</w:t>
            </w:r>
          </w:p>
        </w:tc>
        <w:tc>
          <w:tcPr>
            <w:tcW w:w="203" w:type="pct"/>
          </w:tcPr>
          <w:p>
            <w:pP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shd w:val="clear" w:color="auto" w:fill="auto"/>
            <w:vAlign w:val="center"/>
          </w:tcPr>
          <w:p>
            <w:pPr>
              <w:jc w:val="center"/>
              <w:rPr>
                <w:sz w:val="18"/>
                <w:szCs w:val="18"/>
              </w:rPr>
            </w:pPr>
            <w:r>
              <w:rPr>
                <w:sz w:val="18"/>
                <w:szCs w:val="18"/>
              </w:rPr>
              <w:t>P</w:t>
            </w:r>
            <w:r>
              <w:rPr>
                <w:rFonts w:hint="eastAsia"/>
                <w:sz w:val="18"/>
                <w:szCs w:val="18"/>
              </w:rPr>
              <w:t>1-6</w:t>
            </w:r>
          </w:p>
        </w:tc>
        <w:tc>
          <w:tcPr>
            <w:tcW w:w="448" w:type="pct"/>
            <w:shd w:val="clear" w:color="auto" w:fill="auto"/>
            <w:vAlign w:val="center"/>
          </w:tcPr>
          <w:p>
            <w:pPr>
              <w:widowControl/>
              <w:jc w:val="center"/>
              <w:rPr>
                <w:sz w:val="18"/>
                <w:szCs w:val="18"/>
              </w:rPr>
            </w:pPr>
            <w:r>
              <w:rPr>
                <w:rFonts w:hint="eastAsia"/>
                <w:sz w:val="18"/>
                <w:szCs w:val="18"/>
              </w:rPr>
              <w:t>食堂</w:t>
            </w:r>
            <w:r>
              <w:rPr>
                <w:sz w:val="18"/>
                <w:szCs w:val="18"/>
              </w:rPr>
              <w:t>油烟</w:t>
            </w:r>
            <w:r>
              <w:rPr>
                <w:rFonts w:hint="eastAsia"/>
                <w:sz w:val="18"/>
                <w:szCs w:val="18"/>
              </w:rPr>
              <w:t>G6</w:t>
            </w:r>
          </w:p>
        </w:tc>
        <w:tc>
          <w:tcPr>
            <w:tcW w:w="274" w:type="pct"/>
            <w:shd w:val="clear" w:color="auto" w:fill="auto"/>
            <w:vAlign w:val="center"/>
          </w:tcPr>
          <w:p>
            <w:pPr>
              <w:jc w:val="center"/>
              <w:rPr>
                <w:sz w:val="18"/>
                <w:szCs w:val="18"/>
              </w:rPr>
            </w:pPr>
            <w:r>
              <w:rPr>
                <w:rFonts w:hint="eastAsia"/>
                <w:sz w:val="18"/>
                <w:szCs w:val="18"/>
              </w:rPr>
              <w:t>6000</w:t>
            </w:r>
          </w:p>
        </w:tc>
        <w:tc>
          <w:tcPr>
            <w:tcW w:w="267" w:type="pct"/>
            <w:tcBorders>
              <w:top w:val="single" w:color="auto" w:sz="4" w:space="0"/>
              <w:left w:val="single" w:color="auto" w:sz="4" w:space="0"/>
              <w:bottom w:val="single" w:color="auto" w:sz="4" w:space="0"/>
              <w:right w:val="single" w:color="auto" w:sz="4" w:space="0"/>
            </w:tcBorders>
            <w:vAlign w:val="center"/>
          </w:tcPr>
          <w:p>
            <w:pPr>
              <w:jc w:val="center"/>
              <w:rPr>
                <w:bCs/>
                <w:sz w:val="18"/>
                <w:szCs w:val="18"/>
              </w:rPr>
            </w:pPr>
            <w:r>
              <w:rPr>
                <w:rFonts w:hint="eastAsia"/>
                <w:bCs/>
                <w:sz w:val="18"/>
                <w:szCs w:val="18"/>
              </w:rPr>
              <w:t>油烟</w:t>
            </w:r>
          </w:p>
        </w:tc>
        <w:tc>
          <w:tcPr>
            <w:tcW w:w="289" w:type="pct"/>
            <w:tcBorders>
              <w:top w:val="single" w:color="auto" w:sz="4" w:space="0"/>
              <w:left w:val="single" w:color="auto" w:sz="4" w:space="0"/>
              <w:bottom w:val="single" w:color="auto" w:sz="4" w:space="0"/>
              <w:right w:val="single" w:color="auto" w:sz="4" w:space="0"/>
            </w:tcBorders>
            <w:vAlign w:val="center"/>
          </w:tcPr>
          <w:p>
            <w:pPr>
              <w:jc w:val="center"/>
              <w:rPr>
                <w:sz w:val="18"/>
                <w:szCs w:val="18"/>
              </w:rPr>
            </w:pPr>
            <w:r>
              <w:rPr>
                <w:rFonts w:hint="eastAsia"/>
                <w:sz w:val="18"/>
                <w:szCs w:val="18"/>
              </w:rPr>
              <w:t>5.63</w:t>
            </w:r>
          </w:p>
        </w:tc>
        <w:tc>
          <w:tcPr>
            <w:tcW w:w="280" w:type="pct"/>
            <w:tcBorders>
              <w:top w:val="single" w:color="auto" w:sz="4" w:space="0"/>
              <w:left w:val="single" w:color="auto" w:sz="4" w:space="0"/>
              <w:bottom w:val="single" w:color="auto" w:sz="4" w:space="0"/>
              <w:right w:val="single" w:color="auto" w:sz="4" w:space="0"/>
            </w:tcBorders>
            <w:vAlign w:val="center"/>
          </w:tcPr>
          <w:p>
            <w:pPr>
              <w:widowControl/>
              <w:jc w:val="center"/>
              <w:rPr>
                <w:sz w:val="18"/>
                <w:szCs w:val="18"/>
              </w:rPr>
            </w:pPr>
            <w:r>
              <w:rPr>
                <w:rFonts w:hint="eastAsia"/>
                <w:sz w:val="18"/>
                <w:szCs w:val="18"/>
              </w:rPr>
              <w:t>0.034</w:t>
            </w:r>
          </w:p>
        </w:tc>
        <w:tc>
          <w:tcPr>
            <w:tcW w:w="286" w:type="pct"/>
            <w:tcBorders>
              <w:top w:val="single" w:color="auto" w:sz="4" w:space="0"/>
              <w:left w:val="single" w:color="auto" w:sz="4" w:space="0"/>
              <w:bottom w:val="single" w:color="auto" w:sz="4" w:space="0"/>
              <w:right w:val="single" w:color="auto" w:sz="4" w:space="0"/>
            </w:tcBorders>
            <w:vAlign w:val="center"/>
          </w:tcPr>
          <w:p>
            <w:pPr>
              <w:jc w:val="center"/>
              <w:rPr>
                <w:sz w:val="18"/>
                <w:szCs w:val="18"/>
              </w:rPr>
            </w:pPr>
            <w:r>
              <w:rPr>
                <w:rFonts w:hint="eastAsia"/>
                <w:sz w:val="18"/>
                <w:szCs w:val="18"/>
              </w:rPr>
              <w:t>0.045</w:t>
            </w:r>
          </w:p>
        </w:tc>
        <w:tc>
          <w:tcPr>
            <w:tcW w:w="263" w:type="pct"/>
            <w:tcBorders>
              <w:top w:val="single" w:color="auto" w:sz="4" w:space="0"/>
              <w:left w:val="single" w:color="auto" w:sz="4" w:space="0"/>
              <w:bottom w:val="single" w:color="auto" w:sz="4" w:space="0"/>
              <w:right w:val="single" w:color="auto" w:sz="4" w:space="0"/>
            </w:tcBorders>
            <w:vAlign w:val="center"/>
          </w:tcPr>
          <w:p>
            <w:pPr>
              <w:jc w:val="center"/>
              <w:rPr>
                <w:sz w:val="18"/>
                <w:szCs w:val="18"/>
              </w:rPr>
            </w:pPr>
            <w:r>
              <w:rPr>
                <w:rFonts w:hint="eastAsia"/>
                <w:sz w:val="18"/>
                <w:szCs w:val="18"/>
              </w:rPr>
              <w:t>1.4</w:t>
            </w:r>
          </w:p>
        </w:tc>
        <w:tc>
          <w:tcPr>
            <w:tcW w:w="272" w:type="pct"/>
            <w:tcBorders>
              <w:top w:val="single" w:color="auto" w:sz="4" w:space="0"/>
              <w:left w:val="single" w:color="auto" w:sz="4" w:space="0"/>
              <w:bottom w:val="single" w:color="auto" w:sz="4" w:space="0"/>
              <w:right w:val="single" w:color="auto" w:sz="4" w:space="0"/>
            </w:tcBorders>
            <w:vAlign w:val="center"/>
          </w:tcPr>
          <w:p>
            <w:pPr>
              <w:widowControl/>
              <w:jc w:val="center"/>
              <w:rPr>
                <w:sz w:val="18"/>
                <w:szCs w:val="18"/>
              </w:rPr>
            </w:pPr>
            <w:r>
              <w:rPr>
                <w:rFonts w:hint="eastAsia"/>
                <w:sz w:val="18"/>
                <w:szCs w:val="18"/>
              </w:rPr>
              <w:t>0.0084</w:t>
            </w:r>
          </w:p>
        </w:tc>
        <w:tc>
          <w:tcPr>
            <w:tcW w:w="281" w:type="pct"/>
            <w:tcBorders>
              <w:top w:val="single" w:color="auto" w:sz="4" w:space="0"/>
              <w:left w:val="single" w:color="auto" w:sz="4" w:space="0"/>
              <w:bottom w:val="single" w:color="auto" w:sz="4" w:space="0"/>
              <w:right w:val="single" w:color="auto" w:sz="4" w:space="0"/>
            </w:tcBorders>
            <w:vAlign w:val="center"/>
          </w:tcPr>
          <w:p>
            <w:pPr>
              <w:jc w:val="center"/>
              <w:rPr>
                <w:sz w:val="18"/>
                <w:szCs w:val="18"/>
              </w:rPr>
            </w:pPr>
            <w:r>
              <w:rPr>
                <w:rFonts w:hint="eastAsia"/>
                <w:sz w:val="18"/>
                <w:szCs w:val="18"/>
              </w:rPr>
              <w:t>0.011</w:t>
            </w:r>
          </w:p>
        </w:tc>
        <w:tc>
          <w:tcPr>
            <w:tcW w:w="674" w:type="pct"/>
            <w:gridSpan w:val="3"/>
            <w:shd w:val="clear" w:color="auto" w:fill="auto"/>
            <w:vAlign w:val="center"/>
          </w:tcPr>
          <w:p>
            <w:pPr>
              <w:widowControl/>
              <w:jc w:val="center"/>
              <w:rPr>
                <w:sz w:val="18"/>
                <w:szCs w:val="18"/>
              </w:rPr>
            </w:pPr>
            <w:r>
              <w:rPr>
                <w:rFonts w:hint="eastAsia"/>
                <w:sz w:val="18"/>
                <w:szCs w:val="18"/>
              </w:rPr>
              <w:t>8</w:t>
            </w:r>
            <w:r>
              <w:rPr>
                <w:sz w:val="18"/>
                <w:szCs w:val="18"/>
              </w:rPr>
              <w:t>m排气筒排放</w:t>
            </w:r>
          </w:p>
        </w:tc>
        <w:tc>
          <w:tcPr>
            <w:tcW w:w="551" w:type="pct"/>
            <w:shd w:val="clear" w:color="auto" w:fill="auto"/>
            <w:vAlign w:val="center"/>
          </w:tcPr>
          <w:p>
            <w:pPr>
              <w:widowControl/>
              <w:jc w:val="center"/>
              <w:rPr>
                <w:sz w:val="18"/>
                <w:szCs w:val="18"/>
              </w:rPr>
            </w:pPr>
            <w:r>
              <w:rPr>
                <w:rFonts w:hint="eastAsia"/>
                <w:sz w:val="18"/>
                <w:szCs w:val="18"/>
              </w:rPr>
              <w:t>净化效率为75%</w:t>
            </w:r>
          </w:p>
        </w:tc>
        <w:tc>
          <w:tcPr>
            <w:tcW w:w="265" w:type="pct"/>
            <w:vAlign w:val="center"/>
          </w:tcPr>
          <w:p>
            <w:pPr>
              <w:jc w:val="center"/>
              <w:rPr>
                <w:sz w:val="18"/>
                <w:szCs w:val="18"/>
              </w:rPr>
            </w:pPr>
            <w:r>
              <w:rPr>
                <w:rFonts w:hint="eastAsia"/>
                <w:sz w:val="18"/>
                <w:szCs w:val="18"/>
              </w:rPr>
              <w:t>2</w:t>
            </w:r>
          </w:p>
        </w:tc>
        <w:tc>
          <w:tcPr>
            <w:tcW w:w="232" w:type="pct"/>
            <w:vAlign w:val="center"/>
          </w:tcPr>
          <w:p>
            <w:pPr>
              <w:jc w:val="center"/>
              <w:rPr>
                <w:sz w:val="18"/>
                <w:szCs w:val="18"/>
              </w:rPr>
            </w:pPr>
            <w:r>
              <w:rPr>
                <w:rFonts w:hint="eastAsia"/>
                <w:sz w:val="18"/>
                <w:szCs w:val="18"/>
              </w:rPr>
              <w:t>/</w:t>
            </w:r>
          </w:p>
        </w:tc>
        <w:tc>
          <w:tcPr>
            <w:tcW w:w="211" w:type="pct"/>
            <w:vAlign w:val="center"/>
          </w:tcPr>
          <w:p>
            <w:pPr>
              <w:jc w:val="center"/>
              <w:rPr>
                <w:sz w:val="18"/>
                <w:szCs w:val="18"/>
              </w:rPr>
            </w:pPr>
            <w:r>
              <w:rPr>
                <w:rFonts w:hint="eastAsia"/>
                <w:sz w:val="18"/>
                <w:szCs w:val="18"/>
              </w:rPr>
              <w:t>间断</w:t>
            </w:r>
          </w:p>
        </w:tc>
        <w:tc>
          <w:tcPr>
            <w:tcW w:w="203" w:type="pct"/>
            <w:vAlign w:val="center"/>
          </w:tcPr>
          <w:p>
            <w:pPr>
              <w:jc w:val="center"/>
              <w:rPr>
                <w:sz w:val="18"/>
                <w:szCs w:val="18"/>
              </w:rPr>
            </w:pPr>
            <w:r>
              <w:rPr>
                <w:rFonts w:hint="eastAsia"/>
                <w:sz w:val="18"/>
                <w:szCs w:val="18"/>
              </w:rPr>
              <w:t>达标</w:t>
            </w:r>
          </w:p>
        </w:tc>
      </w:tr>
    </w:tbl>
    <w:p>
      <w:pPr>
        <w:pStyle w:val="31"/>
      </w:pPr>
    </w:p>
    <w:p>
      <w:pPr>
        <w:pStyle w:val="31"/>
      </w:pPr>
      <w:r>
        <w:rPr>
          <w:rFonts w:hint="eastAsia"/>
        </w:rPr>
        <w:t>表4.4-3  一期工程无组织排放废气源强</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1514"/>
        <w:gridCol w:w="2075"/>
        <w:gridCol w:w="1485"/>
        <w:gridCol w:w="1414"/>
        <w:gridCol w:w="2429"/>
        <w:gridCol w:w="1241"/>
        <w:gridCol w:w="1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1" w:type="pct"/>
            <w:vMerge w:val="restart"/>
            <w:vAlign w:val="center"/>
          </w:tcPr>
          <w:p>
            <w:pPr>
              <w:jc w:val="center"/>
              <w:rPr>
                <w:sz w:val="21"/>
                <w:szCs w:val="21"/>
              </w:rPr>
            </w:pPr>
            <w:r>
              <w:rPr>
                <w:rFonts w:hint="eastAsia"/>
                <w:sz w:val="21"/>
                <w:szCs w:val="21"/>
              </w:rPr>
              <w:t>编号</w:t>
            </w:r>
          </w:p>
        </w:tc>
        <w:tc>
          <w:tcPr>
            <w:tcW w:w="534" w:type="pct"/>
            <w:vMerge w:val="restart"/>
            <w:vAlign w:val="center"/>
          </w:tcPr>
          <w:p>
            <w:pPr>
              <w:jc w:val="center"/>
              <w:rPr>
                <w:sz w:val="21"/>
                <w:szCs w:val="21"/>
              </w:rPr>
            </w:pPr>
            <w:r>
              <w:rPr>
                <w:rFonts w:hint="eastAsia"/>
                <w:sz w:val="21"/>
                <w:szCs w:val="21"/>
              </w:rPr>
              <w:t>污染源</w:t>
            </w:r>
          </w:p>
        </w:tc>
        <w:tc>
          <w:tcPr>
            <w:tcW w:w="732" w:type="pct"/>
            <w:vMerge w:val="restart"/>
            <w:vAlign w:val="center"/>
          </w:tcPr>
          <w:p>
            <w:pPr>
              <w:pStyle w:val="33"/>
              <w:rPr>
                <w:szCs w:val="21"/>
              </w:rPr>
            </w:pPr>
            <w:r>
              <w:rPr>
                <w:rFonts w:hint="eastAsia"/>
              </w:rPr>
              <w:t>面源面积m</w:t>
            </w:r>
            <w:r>
              <w:rPr>
                <w:rFonts w:hint="eastAsia"/>
                <w:vertAlign w:val="superscript"/>
              </w:rPr>
              <w:t>2</w:t>
            </w:r>
          </w:p>
        </w:tc>
        <w:tc>
          <w:tcPr>
            <w:tcW w:w="524" w:type="pct"/>
            <w:vMerge w:val="restart"/>
            <w:vAlign w:val="center"/>
          </w:tcPr>
          <w:p>
            <w:pPr>
              <w:jc w:val="center"/>
              <w:rPr>
                <w:sz w:val="21"/>
                <w:szCs w:val="21"/>
              </w:rPr>
            </w:pPr>
            <w:r>
              <w:rPr>
                <w:rFonts w:hint="eastAsia"/>
                <w:sz w:val="21"/>
                <w:szCs w:val="21"/>
              </w:rPr>
              <w:t>污染物</w:t>
            </w:r>
          </w:p>
        </w:tc>
        <w:tc>
          <w:tcPr>
            <w:tcW w:w="499" w:type="pct"/>
            <w:vMerge w:val="restart"/>
            <w:vAlign w:val="center"/>
          </w:tcPr>
          <w:p>
            <w:pPr>
              <w:jc w:val="center"/>
              <w:rPr>
                <w:sz w:val="21"/>
                <w:szCs w:val="21"/>
              </w:rPr>
            </w:pPr>
            <w:r>
              <w:rPr>
                <w:rFonts w:hint="eastAsia"/>
                <w:sz w:val="21"/>
                <w:szCs w:val="21"/>
              </w:rPr>
              <w:t>产生</w:t>
            </w:r>
            <w:r>
              <w:rPr>
                <w:sz w:val="21"/>
                <w:szCs w:val="21"/>
              </w:rPr>
              <w:t>量（</w:t>
            </w:r>
            <w:r>
              <w:rPr>
                <w:rFonts w:hint="eastAsia"/>
                <w:sz w:val="21"/>
                <w:szCs w:val="21"/>
              </w:rPr>
              <w:t>t/a</w:t>
            </w:r>
            <w:r>
              <w:rPr>
                <w:sz w:val="21"/>
                <w:szCs w:val="21"/>
              </w:rPr>
              <w:t>）</w:t>
            </w:r>
          </w:p>
        </w:tc>
        <w:tc>
          <w:tcPr>
            <w:tcW w:w="857" w:type="pct"/>
            <w:vMerge w:val="restart"/>
            <w:vAlign w:val="center"/>
          </w:tcPr>
          <w:p>
            <w:pPr>
              <w:jc w:val="center"/>
              <w:rPr>
                <w:sz w:val="21"/>
                <w:szCs w:val="21"/>
              </w:rPr>
            </w:pPr>
            <w:r>
              <w:rPr>
                <w:rFonts w:hint="eastAsia"/>
                <w:sz w:val="21"/>
                <w:szCs w:val="21"/>
              </w:rPr>
              <w:t>治理</w:t>
            </w:r>
            <w:r>
              <w:rPr>
                <w:sz w:val="21"/>
                <w:szCs w:val="21"/>
              </w:rPr>
              <w:t>措施</w:t>
            </w:r>
          </w:p>
        </w:tc>
        <w:tc>
          <w:tcPr>
            <w:tcW w:w="970" w:type="pct"/>
            <w:gridSpan w:val="2"/>
            <w:vAlign w:val="center"/>
          </w:tcPr>
          <w:p>
            <w:pPr>
              <w:jc w:val="center"/>
              <w:rPr>
                <w:sz w:val="21"/>
                <w:szCs w:val="21"/>
              </w:rPr>
            </w:pPr>
            <w:r>
              <w:rPr>
                <w:rFonts w:hint="eastAsia"/>
                <w:sz w:val="21"/>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1" w:type="pct"/>
            <w:vMerge w:val="continue"/>
            <w:vAlign w:val="center"/>
          </w:tcPr>
          <w:p>
            <w:pPr>
              <w:jc w:val="center"/>
              <w:rPr>
                <w:sz w:val="21"/>
                <w:szCs w:val="21"/>
              </w:rPr>
            </w:pPr>
          </w:p>
        </w:tc>
        <w:tc>
          <w:tcPr>
            <w:tcW w:w="534" w:type="pct"/>
            <w:vMerge w:val="continue"/>
            <w:vAlign w:val="center"/>
          </w:tcPr>
          <w:p>
            <w:pPr>
              <w:jc w:val="center"/>
              <w:rPr>
                <w:sz w:val="21"/>
                <w:szCs w:val="21"/>
              </w:rPr>
            </w:pPr>
          </w:p>
        </w:tc>
        <w:tc>
          <w:tcPr>
            <w:tcW w:w="732" w:type="pct"/>
            <w:vMerge w:val="continue"/>
            <w:vAlign w:val="center"/>
          </w:tcPr>
          <w:p>
            <w:pPr>
              <w:jc w:val="center"/>
              <w:rPr>
                <w:sz w:val="21"/>
                <w:szCs w:val="21"/>
              </w:rPr>
            </w:pPr>
          </w:p>
        </w:tc>
        <w:tc>
          <w:tcPr>
            <w:tcW w:w="524" w:type="pct"/>
            <w:vMerge w:val="continue"/>
            <w:vAlign w:val="center"/>
          </w:tcPr>
          <w:p>
            <w:pPr>
              <w:jc w:val="center"/>
              <w:rPr>
                <w:sz w:val="21"/>
                <w:szCs w:val="21"/>
              </w:rPr>
            </w:pPr>
          </w:p>
        </w:tc>
        <w:tc>
          <w:tcPr>
            <w:tcW w:w="499" w:type="pct"/>
            <w:vMerge w:val="continue"/>
            <w:vAlign w:val="center"/>
          </w:tcPr>
          <w:p>
            <w:pPr>
              <w:jc w:val="center"/>
              <w:rPr>
                <w:sz w:val="21"/>
                <w:szCs w:val="21"/>
              </w:rPr>
            </w:pPr>
          </w:p>
        </w:tc>
        <w:tc>
          <w:tcPr>
            <w:tcW w:w="857" w:type="pct"/>
            <w:vMerge w:val="continue"/>
            <w:vAlign w:val="center"/>
          </w:tcPr>
          <w:p>
            <w:pPr>
              <w:jc w:val="center"/>
              <w:rPr>
                <w:sz w:val="21"/>
                <w:szCs w:val="21"/>
              </w:rPr>
            </w:pPr>
          </w:p>
        </w:tc>
        <w:tc>
          <w:tcPr>
            <w:tcW w:w="438" w:type="pct"/>
            <w:vAlign w:val="center"/>
          </w:tcPr>
          <w:p>
            <w:pPr>
              <w:jc w:val="center"/>
              <w:rPr>
                <w:sz w:val="21"/>
                <w:szCs w:val="21"/>
              </w:rPr>
            </w:pPr>
            <w:r>
              <w:rPr>
                <w:sz w:val="21"/>
                <w:szCs w:val="21"/>
              </w:rPr>
              <w:t>k</w:t>
            </w:r>
            <w:r>
              <w:rPr>
                <w:rFonts w:hint="eastAsia"/>
                <w:sz w:val="21"/>
                <w:szCs w:val="21"/>
              </w:rPr>
              <w:t>g/h</w:t>
            </w:r>
          </w:p>
        </w:tc>
        <w:tc>
          <w:tcPr>
            <w:tcW w:w="531" w:type="pct"/>
            <w:vAlign w:val="center"/>
          </w:tcPr>
          <w:p>
            <w:pPr>
              <w:jc w:val="center"/>
              <w:rPr>
                <w:sz w:val="21"/>
                <w:szCs w:val="21"/>
              </w:rPr>
            </w:pPr>
            <w:r>
              <w:rPr>
                <w:rFonts w:hint="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1" w:type="pct"/>
            <w:vAlign w:val="center"/>
          </w:tcPr>
          <w:p>
            <w:pPr>
              <w:pStyle w:val="33"/>
            </w:pPr>
            <w:r>
              <w:rPr>
                <w:rFonts w:hint="eastAsia"/>
                <w:kern w:val="0"/>
                <w:szCs w:val="21"/>
                <w:lang w:bidi="ar"/>
              </w:rPr>
              <w:t>一期工程</w:t>
            </w:r>
            <w:r>
              <w:rPr>
                <w:kern w:val="0"/>
                <w:szCs w:val="21"/>
                <w:lang w:bidi="ar"/>
              </w:rPr>
              <w:t>熔保炉系统</w:t>
            </w:r>
          </w:p>
        </w:tc>
        <w:tc>
          <w:tcPr>
            <w:tcW w:w="534" w:type="pct"/>
            <w:vAlign w:val="center"/>
          </w:tcPr>
          <w:p>
            <w:pPr>
              <w:pStyle w:val="33"/>
            </w:pPr>
            <w:r>
              <w:rPr>
                <w:rFonts w:hint="eastAsia"/>
              </w:rPr>
              <w:t>扒渣废气</w:t>
            </w:r>
          </w:p>
        </w:tc>
        <w:tc>
          <w:tcPr>
            <w:tcW w:w="732" w:type="pct"/>
            <w:vAlign w:val="center"/>
          </w:tcPr>
          <w:p>
            <w:pPr>
              <w:pStyle w:val="33"/>
              <w:rPr>
                <w:szCs w:val="21"/>
                <w:highlight w:val="yellow"/>
              </w:rPr>
            </w:pPr>
            <w:r>
              <w:rPr>
                <w:rFonts w:hint="eastAsia"/>
              </w:rPr>
              <w:t>205x50=10250</w:t>
            </w:r>
          </w:p>
        </w:tc>
        <w:tc>
          <w:tcPr>
            <w:tcW w:w="524" w:type="pct"/>
            <w:vAlign w:val="center"/>
          </w:tcPr>
          <w:p>
            <w:pPr>
              <w:pStyle w:val="33"/>
              <w:rPr>
                <w:szCs w:val="21"/>
              </w:rPr>
            </w:pPr>
            <w:r>
              <w:rPr>
                <w:rFonts w:hint="eastAsia"/>
              </w:rPr>
              <w:t>颗粒物</w:t>
            </w:r>
          </w:p>
        </w:tc>
        <w:tc>
          <w:tcPr>
            <w:tcW w:w="499" w:type="pct"/>
            <w:vAlign w:val="center"/>
          </w:tcPr>
          <w:p>
            <w:pPr>
              <w:pStyle w:val="33"/>
              <w:rPr>
                <w:szCs w:val="21"/>
              </w:rPr>
            </w:pPr>
            <w:r>
              <w:rPr>
                <w:rFonts w:hint="eastAsia"/>
              </w:rPr>
              <w:t>4.27</w:t>
            </w:r>
          </w:p>
        </w:tc>
        <w:tc>
          <w:tcPr>
            <w:tcW w:w="857" w:type="pct"/>
            <w:vAlign w:val="center"/>
          </w:tcPr>
          <w:p>
            <w:pPr>
              <w:pStyle w:val="32"/>
              <w:rPr>
                <w:szCs w:val="21"/>
              </w:rPr>
            </w:pPr>
            <w:r>
              <w:rPr>
                <w:rFonts w:hint="eastAsia"/>
                <w:szCs w:val="21"/>
              </w:rPr>
              <w:t>半密闭厂房、自然沉降</w:t>
            </w:r>
          </w:p>
        </w:tc>
        <w:tc>
          <w:tcPr>
            <w:tcW w:w="438" w:type="pct"/>
            <w:vAlign w:val="center"/>
          </w:tcPr>
          <w:p>
            <w:pPr>
              <w:pStyle w:val="32"/>
              <w:rPr>
                <w:szCs w:val="21"/>
              </w:rPr>
            </w:pPr>
            <w:r>
              <w:rPr>
                <w:rFonts w:hint="eastAsia"/>
                <w:szCs w:val="21"/>
              </w:rPr>
              <w:t>0.43</w:t>
            </w:r>
          </w:p>
        </w:tc>
        <w:tc>
          <w:tcPr>
            <w:tcW w:w="531" w:type="pct"/>
            <w:vAlign w:val="center"/>
          </w:tcPr>
          <w:p>
            <w:pPr>
              <w:pStyle w:val="32"/>
              <w:rPr>
                <w:szCs w:val="21"/>
              </w:rPr>
            </w:pPr>
            <w:r>
              <w:rPr>
                <w:rFonts w:hint="eastAsia"/>
                <w:szCs w:val="21"/>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1" w:type="pct"/>
            <w:vAlign w:val="center"/>
          </w:tcPr>
          <w:p>
            <w:pPr>
              <w:pStyle w:val="33"/>
              <w:rPr>
                <w:rFonts w:hint="eastAsia" w:eastAsia="宋体"/>
                <w:lang w:eastAsia="zh-CN"/>
              </w:rPr>
            </w:pPr>
            <w:r>
              <w:rPr>
                <w:rFonts w:hint="eastAsia"/>
                <w:kern w:val="0"/>
                <w:szCs w:val="21"/>
                <w:lang w:bidi="ar"/>
              </w:rPr>
              <w:t>一期工程</w:t>
            </w:r>
            <w:r>
              <w:rPr>
                <w:kern w:val="0"/>
                <w:szCs w:val="21"/>
                <w:lang w:bidi="ar"/>
              </w:rPr>
              <w:t>铝灰分离</w:t>
            </w:r>
            <w:r>
              <w:rPr>
                <w:rFonts w:hint="eastAsia"/>
                <w:kern w:val="0"/>
                <w:szCs w:val="21"/>
                <w:lang w:val="en-US" w:eastAsia="zh-CN" w:bidi="ar"/>
              </w:rPr>
              <w:t>车间</w:t>
            </w:r>
          </w:p>
        </w:tc>
        <w:tc>
          <w:tcPr>
            <w:tcW w:w="534" w:type="pct"/>
            <w:vAlign w:val="center"/>
          </w:tcPr>
          <w:p>
            <w:pPr>
              <w:pStyle w:val="33"/>
            </w:pPr>
            <w:r>
              <w:rPr>
                <w:rFonts w:hint="eastAsia"/>
              </w:rPr>
              <w:t>铝灰分离废气</w:t>
            </w:r>
          </w:p>
        </w:tc>
        <w:tc>
          <w:tcPr>
            <w:tcW w:w="732" w:type="pct"/>
            <w:vAlign w:val="center"/>
          </w:tcPr>
          <w:p>
            <w:pPr>
              <w:pStyle w:val="33"/>
              <w:rPr>
                <w:szCs w:val="21"/>
              </w:rPr>
            </w:pPr>
            <w:r>
              <w:rPr>
                <w:rFonts w:hint="eastAsia"/>
              </w:rPr>
              <w:t>67.5x15.5=1046.25</w:t>
            </w:r>
          </w:p>
        </w:tc>
        <w:tc>
          <w:tcPr>
            <w:tcW w:w="524" w:type="pct"/>
            <w:vAlign w:val="center"/>
          </w:tcPr>
          <w:p>
            <w:pPr>
              <w:pStyle w:val="33"/>
              <w:rPr>
                <w:szCs w:val="21"/>
              </w:rPr>
            </w:pPr>
            <w:r>
              <w:rPr>
                <w:rFonts w:hint="eastAsia"/>
              </w:rPr>
              <w:t>颗粒物</w:t>
            </w:r>
          </w:p>
        </w:tc>
        <w:tc>
          <w:tcPr>
            <w:tcW w:w="499" w:type="pct"/>
            <w:vAlign w:val="center"/>
          </w:tcPr>
          <w:p>
            <w:pPr>
              <w:pStyle w:val="33"/>
              <w:rPr>
                <w:szCs w:val="21"/>
              </w:rPr>
            </w:pPr>
            <w:r>
              <w:rPr>
                <w:rFonts w:hint="eastAsia"/>
              </w:rPr>
              <w:t>0.28</w:t>
            </w:r>
          </w:p>
        </w:tc>
        <w:tc>
          <w:tcPr>
            <w:tcW w:w="857" w:type="pct"/>
            <w:vAlign w:val="center"/>
          </w:tcPr>
          <w:p>
            <w:pPr>
              <w:pStyle w:val="32"/>
              <w:rPr>
                <w:szCs w:val="21"/>
              </w:rPr>
            </w:pPr>
            <w:r>
              <w:rPr>
                <w:rFonts w:hint="eastAsia"/>
                <w:szCs w:val="21"/>
              </w:rPr>
              <w:t>半密闭厂房、自然沉降</w:t>
            </w:r>
          </w:p>
        </w:tc>
        <w:tc>
          <w:tcPr>
            <w:tcW w:w="438" w:type="pct"/>
            <w:vAlign w:val="center"/>
          </w:tcPr>
          <w:p>
            <w:pPr>
              <w:pStyle w:val="32"/>
              <w:rPr>
                <w:szCs w:val="21"/>
              </w:rPr>
            </w:pPr>
            <w:r>
              <w:rPr>
                <w:rFonts w:hint="eastAsia"/>
                <w:szCs w:val="21"/>
              </w:rPr>
              <w:t>0.054</w:t>
            </w:r>
          </w:p>
        </w:tc>
        <w:tc>
          <w:tcPr>
            <w:tcW w:w="531" w:type="pct"/>
            <w:vAlign w:val="center"/>
          </w:tcPr>
          <w:p>
            <w:pPr>
              <w:pStyle w:val="32"/>
              <w:rPr>
                <w:szCs w:val="21"/>
              </w:rPr>
            </w:pPr>
            <w:r>
              <w:rPr>
                <w:rFonts w:hint="eastAsia"/>
                <w:szCs w:val="21"/>
              </w:rPr>
              <w:t>0.14</w:t>
            </w:r>
          </w:p>
        </w:tc>
      </w:tr>
    </w:tbl>
    <w:p>
      <w:pPr>
        <w:pStyle w:val="7"/>
        <w:ind w:firstLine="480"/>
        <w:sectPr>
          <w:pgSz w:w="16838" w:h="11906" w:orient="landscape"/>
          <w:pgMar w:top="1440" w:right="1440" w:bottom="1440" w:left="1440" w:header="851" w:footer="992" w:gutter="0"/>
          <w:cols w:space="425" w:num="1"/>
          <w:docGrid w:type="lines" w:linePitch="312" w:charSpace="0"/>
        </w:sectPr>
      </w:pPr>
    </w:p>
    <w:p>
      <w:pPr>
        <w:pStyle w:val="9"/>
      </w:pPr>
      <w:r>
        <w:rPr>
          <w:rFonts w:hint="eastAsia"/>
        </w:rPr>
        <w:t>4.4.1.2废水</w:t>
      </w:r>
    </w:p>
    <w:p>
      <w:pPr>
        <w:pStyle w:val="7"/>
        <w:ind w:firstLine="482"/>
        <w:rPr>
          <w:b/>
          <w:bCs/>
        </w:rPr>
      </w:pPr>
      <w:r>
        <w:rPr>
          <w:rFonts w:hint="eastAsia"/>
          <w:b/>
          <w:bCs/>
        </w:rPr>
        <w:t>1、废水产排情况</w:t>
      </w:r>
    </w:p>
    <w:p>
      <w:pPr>
        <w:pStyle w:val="7"/>
        <w:ind w:firstLine="480"/>
      </w:pPr>
      <w:r>
        <w:rPr>
          <w:rFonts w:hint="eastAsia"/>
        </w:rPr>
        <w:t>一期工程生产过程中用水主要为冷却循环用水，各循环系统水循环使用，定期外排废水。项目废水主要为循环冷却系统定期外排废水、初期雨水及员工生活污水。</w:t>
      </w:r>
    </w:p>
    <w:p>
      <w:pPr>
        <w:pStyle w:val="7"/>
        <w:ind w:firstLine="482"/>
        <w:rPr>
          <w:b/>
          <w:bCs/>
        </w:rPr>
      </w:pPr>
      <w:r>
        <w:rPr>
          <w:rFonts w:hint="eastAsia"/>
          <w:b/>
          <w:bCs/>
        </w:rPr>
        <w:t>（1）圆铸锭生产线循环冷却系统定期排水W1-1</w:t>
      </w:r>
    </w:p>
    <w:p>
      <w:pPr>
        <w:pStyle w:val="7"/>
        <w:ind w:firstLine="480"/>
      </w:pPr>
      <w:r>
        <w:rPr>
          <w:rFonts w:hint="eastAsia"/>
        </w:rPr>
        <w:t>项目铝合金圆铸锭生产过程中不需要对设备进行冷却，主要的冷却对象为圆铸锭，故只涉及浊循环。根据水平衡以及建设单位提供资料，项目营运期间循环冷却系统定期排水量为800m</w:t>
      </w:r>
      <w:r>
        <w:rPr>
          <w:rFonts w:hint="eastAsia"/>
          <w:vertAlign w:val="superscript"/>
        </w:rPr>
        <w:t>3</w:t>
      </w:r>
      <w:r>
        <w:rPr>
          <w:rFonts w:hint="eastAsia"/>
        </w:rPr>
        <w:t>/a，排放频次为每年一次。项目循环冷却用水循环过程中为防止水垢附着、设备腐蚀及微生物滋生等问题，需定期往里加入杀菌剂、阻垢剂、杀藻剂等药剂，因此此部分废水主要污染物为COD、SS等。为了了解循环冷却系统定期排水的水质，评价类比“山东创新金属科技有限公司年产80万吨高强高韧铝合金材料项目”中废水水质。</w:t>
      </w:r>
    </w:p>
    <w:p>
      <w:pPr>
        <w:pStyle w:val="7"/>
        <w:ind w:firstLine="480"/>
      </w:pPr>
      <w:r>
        <w:rPr>
          <w:rFonts w:hint="eastAsia"/>
        </w:rPr>
        <w:t>“山东创新金属科技有限公司年产80万吨高强高韧铝合金材料项目”与本项目生产产品一致，生产工艺一致，并且产生的冷却循环水同样为一年排放一次，故具有一定的类比性。山东创新金属科技有限公司于2020年8月11日委托山东安和安全技术研究所有限公司对厂内的冷却循环废水进行了监测，根据监测报告主要污染物浓度为pH：7.8，COD：10mg/L，SS：5mg/L，BOD</w:t>
      </w:r>
      <w:r>
        <w:rPr>
          <w:rFonts w:hint="eastAsia"/>
          <w:vertAlign w:val="subscript"/>
        </w:rPr>
        <w:t>5</w:t>
      </w:r>
      <w:r>
        <w:rPr>
          <w:rFonts w:hint="eastAsia"/>
        </w:rPr>
        <w:t>：1.7mg/L，氟化物：0.86mg/L，硫化物：0.056mg/L，监测报告见附件。</w:t>
      </w:r>
    </w:p>
    <w:p>
      <w:pPr>
        <w:pStyle w:val="7"/>
        <w:ind w:firstLine="480"/>
      </w:pPr>
      <w:r>
        <w:rPr>
          <w:rFonts w:hint="eastAsia"/>
        </w:rPr>
        <w:t>根据类比分析，项目循环冷却系统定期排水的水质污染程度较轻，能够满足相应的排放标准和砚山县第一污水处理厂进水水质要求，经收集后通过市政污水管网进入砚山县第一污水处理厂进行处理。</w:t>
      </w:r>
    </w:p>
    <w:p>
      <w:pPr>
        <w:pStyle w:val="7"/>
        <w:ind w:firstLine="482"/>
        <w:rPr>
          <w:b/>
          <w:bCs/>
        </w:rPr>
      </w:pPr>
      <w:r>
        <w:rPr>
          <w:rFonts w:hint="eastAsia"/>
          <w:b/>
          <w:bCs/>
        </w:rPr>
        <w:t>（2）板锭生产线循环冷却系统定期排水W1-2</w:t>
      </w:r>
    </w:p>
    <w:p>
      <w:pPr>
        <w:pStyle w:val="7"/>
        <w:ind w:firstLine="480"/>
        <w:rPr>
          <w:rFonts w:hint="eastAsia" w:ascii="FZSSK--GBK1-0" w:hAnsi="FZSSK--GBK1-0" w:cs="FZSSK--GBK1-0"/>
          <w:sz w:val="22"/>
          <w:szCs w:val="22"/>
          <w:highlight w:val="none"/>
        </w:rPr>
      </w:pPr>
      <w:r>
        <w:rPr>
          <w:rFonts w:hint="eastAsia"/>
        </w:rPr>
        <w:t>项目铝合金板锭生产过程中不需要对设备进行冷却，主要的冷却对象为板锭，故只涉及浊循环。本项目板锭铸造方式选用铝制油润滑结晶器，为了防止铸锭与铝制结晶器粘连导致板锭表面有划痕或者裂纹，需要在结晶器表面涂抹润滑油，冷却水冲刷板锭表面时，润滑油混入冷却水</w:t>
      </w:r>
      <w:r>
        <w:rPr>
          <w:rStyle w:val="53"/>
          <w:rFonts w:hint="eastAsia"/>
        </w:rPr>
        <w:t>中，会导致</w:t>
      </w:r>
      <w:r>
        <w:rPr>
          <w:rStyle w:val="53"/>
        </w:rPr>
        <w:t>冷却水含油量持续增加</w:t>
      </w:r>
      <w:r>
        <w:rPr>
          <w:rStyle w:val="53"/>
          <w:rFonts w:hint="eastAsia"/>
        </w:rPr>
        <w:t>；故本项目圆铸锭生产线、板锭生产线分别设置循环水系统。</w:t>
      </w:r>
      <w:r>
        <w:rPr>
          <w:rFonts w:hint="eastAsia"/>
        </w:rPr>
        <w:t>根据水平衡以及建设单位提供资料，一期工程板锭生产线营运期间循环冷却系统定期排水量为800m</w:t>
      </w:r>
      <w:r>
        <w:rPr>
          <w:rFonts w:hint="eastAsia"/>
          <w:vertAlign w:val="superscript"/>
        </w:rPr>
        <w:t>3</w:t>
      </w:r>
      <w:r>
        <w:rPr>
          <w:rFonts w:hint="eastAsia"/>
        </w:rPr>
        <w:t>/a，排放频次为每年一次。废水中主要污染物浓度为pH：7.8，COD：10mg/L，SS：5mg/L，BOD</w:t>
      </w:r>
      <w:r>
        <w:rPr>
          <w:rFonts w:hint="eastAsia"/>
          <w:vertAlign w:val="subscript"/>
        </w:rPr>
        <w:t>5</w:t>
      </w:r>
      <w:r>
        <w:rPr>
          <w:rFonts w:hint="eastAsia"/>
        </w:rPr>
        <w:t>：1.7mg/L，氟化物：0.86mg/L，硫化物：0.056mg/L</w:t>
      </w:r>
      <w:r>
        <w:rPr>
          <w:rFonts w:hint="eastAsia"/>
          <w:highlight w:val="none"/>
        </w:rPr>
        <w:t>，石油类：200mg/L。</w:t>
      </w:r>
    </w:p>
    <w:p>
      <w:pPr>
        <w:pStyle w:val="7"/>
        <w:ind w:firstLine="480"/>
      </w:pPr>
      <w:r>
        <w:rPr>
          <w:rFonts w:hint="eastAsia"/>
        </w:rPr>
        <w:t>因板锭生产线循环冷却系统定期排水中石油类含量较高，故该部分废水先经过项目自建污水处理站处理达《污水综合排放标准》（G</w:t>
      </w:r>
      <w:r>
        <w:t>B</w:t>
      </w:r>
      <w:r>
        <w:rPr>
          <w:rFonts w:hint="eastAsia"/>
        </w:rPr>
        <w:t>8978-1996）中的一级排放标准后通过市政污水管网进入砚山县第一污水处理厂进行处理。</w:t>
      </w:r>
    </w:p>
    <w:p>
      <w:pPr>
        <w:pStyle w:val="7"/>
        <w:ind w:firstLine="482"/>
        <w:rPr>
          <w:b/>
          <w:bCs/>
        </w:rPr>
      </w:pPr>
      <w:r>
        <w:rPr>
          <w:rFonts w:hint="eastAsia"/>
          <w:b/>
          <w:bCs/>
        </w:rPr>
        <w:t>（3）</w:t>
      </w:r>
      <w:r>
        <w:rPr>
          <w:b/>
          <w:bCs/>
        </w:rPr>
        <w:t>生活污水</w:t>
      </w:r>
      <w:r>
        <w:rPr>
          <w:rFonts w:hint="eastAsia"/>
          <w:b/>
          <w:bCs/>
        </w:rPr>
        <w:t>W1-3</w:t>
      </w:r>
    </w:p>
    <w:p>
      <w:pPr>
        <w:pStyle w:val="7"/>
        <w:ind w:firstLine="480"/>
      </w:pPr>
      <w:r>
        <w:t>项目</w:t>
      </w:r>
      <w:r>
        <w:rPr>
          <w:rFonts w:hint="eastAsia"/>
        </w:rPr>
        <w:t>一期工程</w:t>
      </w:r>
      <w:r>
        <w:t>职工</w:t>
      </w:r>
      <w:r>
        <w:rPr>
          <w:rFonts w:hint="eastAsia"/>
        </w:rPr>
        <w:t>100</w:t>
      </w:r>
      <w:r>
        <w:t>人，厂区生活用水主要为冲厕及盥洗用水、员工洗浴用水等，厂前区生活用水主要是食堂用水、倒班宿舍员工冲厕及盥洗、洗浴用水等生活用水。</w:t>
      </w:r>
    </w:p>
    <w:p>
      <w:pPr>
        <w:pStyle w:val="7"/>
        <w:ind w:firstLine="480"/>
        <w:rPr>
          <w:kern w:val="0"/>
        </w:rPr>
      </w:pPr>
      <w:r>
        <w:rPr>
          <w:kern w:val="0"/>
        </w:rPr>
        <w:t>厂区盥洗用水、洗浴用水等生活用水量</w:t>
      </w:r>
      <w:r>
        <w:rPr>
          <w:rFonts w:hint="eastAsia"/>
          <w:kern w:val="0"/>
        </w:rPr>
        <w:t>参照《云南省地方标准用水定额》（DB53/T168-2019），在项目内住宿员工用水量按100L/人·d计，则用水量为10m</w:t>
      </w:r>
      <w:r>
        <w:rPr>
          <w:rFonts w:hint="eastAsia"/>
          <w:kern w:val="0"/>
          <w:vertAlign w:val="superscript"/>
        </w:rPr>
        <w:t>3</w:t>
      </w:r>
      <w:r>
        <w:rPr>
          <w:rFonts w:hint="eastAsia"/>
          <w:kern w:val="0"/>
        </w:rPr>
        <w:t>/d，排水系数按0.8计，排水量8m</w:t>
      </w:r>
      <w:r>
        <w:rPr>
          <w:rFonts w:hint="eastAsia"/>
          <w:kern w:val="0"/>
          <w:vertAlign w:val="superscript"/>
        </w:rPr>
        <w:t>3</w:t>
      </w:r>
      <w:r>
        <w:rPr>
          <w:rFonts w:hint="eastAsia"/>
          <w:kern w:val="0"/>
        </w:rPr>
        <w:t>/d。餐饮用水参照《云南省地方标准用水定额》（DB53/T168-2019），按20L/人·d，则用水量为2m</w:t>
      </w:r>
      <w:r>
        <w:rPr>
          <w:rFonts w:hint="eastAsia"/>
          <w:kern w:val="0"/>
          <w:vertAlign w:val="superscript"/>
        </w:rPr>
        <w:t>3</w:t>
      </w:r>
      <w:r>
        <w:rPr>
          <w:rFonts w:hint="eastAsia"/>
          <w:kern w:val="0"/>
        </w:rPr>
        <w:t>/d，排水系数按0.8计，排水量为1.6m</w:t>
      </w:r>
      <w:r>
        <w:rPr>
          <w:rFonts w:hint="eastAsia"/>
          <w:kern w:val="0"/>
          <w:vertAlign w:val="superscript"/>
        </w:rPr>
        <w:t>3</w:t>
      </w:r>
      <w:r>
        <w:rPr>
          <w:rFonts w:hint="eastAsia"/>
          <w:kern w:val="0"/>
        </w:rPr>
        <w:t>/d。生活污水总产生量为9.6</w:t>
      </w:r>
      <w:r>
        <w:rPr>
          <w:kern w:val="0"/>
        </w:rPr>
        <w:t>m</w:t>
      </w:r>
      <w:r>
        <w:rPr>
          <w:kern w:val="0"/>
          <w:vertAlign w:val="superscript"/>
        </w:rPr>
        <w:t>3</w:t>
      </w:r>
      <w:r>
        <w:rPr>
          <w:kern w:val="0"/>
        </w:rPr>
        <w:t>/d</w:t>
      </w:r>
      <w:r>
        <w:rPr>
          <w:rFonts w:hint="eastAsia"/>
          <w:kern w:val="0"/>
        </w:rPr>
        <w:t>。</w:t>
      </w:r>
    </w:p>
    <w:p>
      <w:pPr>
        <w:pStyle w:val="7"/>
        <w:ind w:firstLine="480"/>
        <w:rPr>
          <w:kern w:val="0"/>
        </w:rPr>
      </w:pPr>
      <w:r>
        <w:t>由于</w:t>
      </w:r>
      <w:r>
        <w:rPr>
          <w:rFonts w:hint="eastAsia"/>
        </w:rPr>
        <w:t>一期工程</w:t>
      </w:r>
      <w:r>
        <w:t>与</w:t>
      </w:r>
      <w:r>
        <w:rPr>
          <w:rFonts w:hint="eastAsia"/>
        </w:rPr>
        <w:t>二期工程</w:t>
      </w:r>
      <w:r>
        <w:t>共用宿舍楼和食堂，故</w:t>
      </w:r>
      <w:r>
        <w:rPr>
          <w:rFonts w:hint="eastAsia"/>
        </w:rPr>
        <w:t>二期工程</w:t>
      </w:r>
      <w:r>
        <w:t>产生的生活污水也进入</w:t>
      </w:r>
      <w:r>
        <w:rPr>
          <w:rFonts w:hint="eastAsia"/>
        </w:rPr>
        <w:t>化粪池、隔油池</w:t>
      </w:r>
      <w:r>
        <w:t>处理，</w:t>
      </w:r>
      <w:r>
        <w:rPr>
          <w:rFonts w:hint="eastAsia"/>
        </w:rPr>
        <w:t>二期工程</w:t>
      </w:r>
      <w:r>
        <w:t>员工人数50人，则生活污水产生量为</w:t>
      </w:r>
      <w:r>
        <w:rPr>
          <w:rFonts w:hint="eastAsia"/>
        </w:rPr>
        <w:t>4</w:t>
      </w:r>
      <w:r>
        <w:rPr>
          <w:kern w:val="0"/>
        </w:rPr>
        <w:t>m</w:t>
      </w:r>
      <w:r>
        <w:rPr>
          <w:kern w:val="0"/>
          <w:vertAlign w:val="superscript"/>
        </w:rPr>
        <w:t>3</w:t>
      </w:r>
      <w:r>
        <w:rPr>
          <w:kern w:val="0"/>
        </w:rPr>
        <w:t>/d，食堂废水产生量为</w:t>
      </w:r>
      <w:r>
        <w:rPr>
          <w:rFonts w:hint="eastAsia"/>
          <w:kern w:val="0"/>
        </w:rPr>
        <w:t>0.8</w:t>
      </w:r>
      <w:r>
        <w:rPr>
          <w:kern w:val="0"/>
        </w:rPr>
        <w:t>m</w:t>
      </w:r>
      <w:r>
        <w:rPr>
          <w:kern w:val="0"/>
          <w:vertAlign w:val="superscript"/>
        </w:rPr>
        <w:t>3</w:t>
      </w:r>
      <w:r>
        <w:rPr>
          <w:kern w:val="0"/>
        </w:rPr>
        <w:t>/d。为满足处理要求，生活污水经过化粪池收集预处理、食堂废水经过隔油池处理</w:t>
      </w:r>
      <w:r>
        <w:rPr>
          <w:rFonts w:hint="eastAsia"/>
          <w:kern w:val="0"/>
        </w:rPr>
        <w:t>达到</w:t>
      </w:r>
      <w:r>
        <w:rPr>
          <w:rFonts w:hint="eastAsia"/>
        </w:rPr>
        <w:t>《污水排入城镇下水道水质标准》（GB/T31962-2015）表1、A等级标准</w:t>
      </w:r>
      <w:r>
        <w:rPr>
          <w:rFonts w:hint="eastAsia"/>
          <w:kern w:val="0"/>
        </w:rPr>
        <w:t>后</w:t>
      </w:r>
      <w:r>
        <w:rPr>
          <w:rFonts w:hint="eastAsia"/>
        </w:rPr>
        <w:t>通过市政污水管网进入砚山县第一污水处理厂进行处理</w:t>
      </w:r>
      <w:r>
        <w:rPr>
          <w:rFonts w:hint="eastAsia"/>
          <w:bCs/>
          <w:kern w:val="0"/>
        </w:rPr>
        <w:t>。</w:t>
      </w:r>
      <w:r>
        <w:rPr>
          <w:bCs/>
          <w:kern w:val="0"/>
        </w:rPr>
        <w:t>为满足要求，项目</w:t>
      </w:r>
      <w:r>
        <w:rPr>
          <w:rFonts w:hint="eastAsia"/>
          <w:bCs/>
          <w:kern w:val="0"/>
        </w:rPr>
        <w:t>设置2座化粪池，每座</w:t>
      </w:r>
      <w:r>
        <w:rPr>
          <w:bCs/>
          <w:kern w:val="0"/>
        </w:rPr>
        <w:t>容积为</w:t>
      </w:r>
      <w:r>
        <w:rPr>
          <w:rFonts w:hint="eastAsia"/>
          <w:bCs/>
          <w:kern w:val="0"/>
        </w:rPr>
        <w:t>15</w:t>
      </w:r>
      <w:r>
        <w:rPr>
          <w:bCs/>
          <w:kern w:val="0"/>
        </w:rPr>
        <w:t>m</w:t>
      </w:r>
      <w:r>
        <w:rPr>
          <w:bCs/>
          <w:kern w:val="0"/>
          <w:vertAlign w:val="superscript"/>
        </w:rPr>
        <w:t>3</w:t>
      </w:r>
      <w:r>
        <w:rPr>
          <w:rFonts w:hint="eastAsia"/>
          <w:bCs/>
          <w:kern w:val="0"/>
        </w:rPr>
        <w:t>；</w:t>
      </w:r>
      <w:r>
        <w:rPr>
          <w:bCs/>
          <w:kern w:val="0"/>
        </w:rPr>
        <w:t>隔油池</w:t>
      </w:r>
      <w:r>
        <w:rPr>
          <w:rFonts w:hint="eastAsia"/>
          <w:bCs/>
          <w:kern w:val="0"/>
        </w:rPr>
        <w:t>1座</w:t>
      </w:r>
      <w:r>
        <w:rPr>
          <w:bCs/>
          <w:kern w:val="0"/>
        </w:rPr>
        <w:t>容积为</w:t>
      </w:r>
      <w:r>
        <w:rPr>
          <w:rFonts w:hint="eastAsia"/>
          <w:bCs/>
          <w:kern w:val="0"/>
        </w:rPr>
        <w:t>3</w:t>
      </w:r>
      <w:r>
        <w:rPr>
          <w:bCs/>
          <w:kern w:val="0"/>
        </w:rPr>
        <w:t>m</w:t>
      </w:r>
      <w:r>
        <w:rPr>
          <w:bCs/>
          <w:kern w:val="0"/>
          <w:vertAlign w:val="superscript"/>
        </w:rPr>
        <w:t>3</w:t>
      </w:r>
      <w:r>
        <w:rPr>
          <w:bCs/>
          <w:kern w:val="0"/>
        </w:rPr>
        <w:t>。</w:t>
      </w:r>
    </w:p>
    <w:p>
      <w:pPr>
        <w:pStyle w:val="7"/>
        <w:ind w:firstLine="482"/>
        <w:rPr>
          <w:b/>
          <w:bCs/>
        </w:rPr>
      </w:pPr>
      <w:r>
        <w:rPr>
          <w:rFonts w:hint="eastAsia"/>
          <w:b/>
          <w:bCs/>
        </w:rPr>
        <w:t>（4）</w:t>
      </w:r>
      <w:r>
        <w:rPr>
          <w:b/>
          <w:bCs/>
        </w:rPr>
        <w:t>初期雨水</w:t>
      </w:r>
      <w:r>
        <w:rPr>
          <w:rFonts w:hint="eastAsia"/>
          <w:b/>
          <w:bCs/>
        </w:rPr>
        <w:t>W1-4</w:t>
      </w:r>
    </w:p>
    <w:p>
      <w:pPr>
        <w:pStyle w:val="7"/>
        <w:ind w:firstLine="480"/>
      </w:pPr>
      <w:r>
        <w:t>按照《有色金属工业环境保护设计技术规范》（GB50988-2014），厂区初期雨水应收集处理，初期雨水收集池容积按以下公式计算</w:t>
      </w:r>
      <w:r>
        <w:rPr>
          <w:rFonts w:hint="eastAsia"/>
          <w:lang w:eastAsia="zh-CN"/>
        </w:rPr>
        <w:t>：</w:t>
      </w:r>
    </w:p>
    <w:p>
      <w:pPr>
        <w:pStyle w:val="7"/>
        <w:ind w:firstLine="480"/>
        <w:rPr>
          <w:vertAlign w:val="superscript"/>
        </w:rPr>
      </w:pPr>
      <w:r>
        <w:t>V＝1.2F.Ix10</w:t>
      </w:r>
      <w:r>
        <w:rPr>
          <w:vertAlign w:val="superscript"/>
        </w:rPr>
        <w:t>-3</w:t>
      </w:r>
    </w:p>
    <w:p>
      <w:pPr>
        <w:pStyle w:val="7"/>
        <w:ind w:firstLine="480"/>
      </w:pPr>
      <w:r>
        <w:t>V</w:t>
      </w:r>
      <w:r>
        <w:rPr>
          <w:rFonts w:hint="eastAsia"/>
        </w:rPr>
        <w:t>：</w:t>
      </w:r>
      <w:r>
        <w:t>初期雨水收集池容积（m</w:t>
      </w:r>
      <w:r>
        <w:rPr>
          <w:vertAlign w:val="superscript"/>
        </w:rPr>
        <w:t>3</w:t>
      </w:r>
      <w:r>
        <w:t>）</w:t>
      </w:r>
    </w:p>
    <w:p>
      <w:pPr>
        <w:pStyle w:val="7"/>
        <w:ind w:firstLine="480"/>
      </w:pPr>
      <w:r>
        <w:t>F</w:t>
      </w:r>
      <w:r>
        <w:rPr>
          <w:rFonts w:hint="eastAsia"/>
        </w:rPr>
        <w:t>：</w:t>
      </w:r>
      <w:r>
        <w:t>受污染的场地面积</w:t>
      </w:r>
    </w:p>
    <w:p>
      <w:pPr>
        <w:pStyle w:val="7"/>
        <w:ind w:firstLine="480"/>
      </w:pPr>
      <w:r>
        <w:t>I</w:t>
      </w:r>
      <w:r>
        <w:rPr>
          <w:rFonts w:hint="eastAsia"/>
        </w:rPr>
        <w:t>：</w:t>
      </w:r>
      <w:r>
        <w:t>初期雨水量（轻金属冶炼或加工按10mm 计）</w:t>
      </w:r>
    </w:p>
    <w:p>
      <w:pPr>
        <w:pStyle w:val="7"/>
        <w:ind w:firstLine="480"/>
      </w:pPr>
      <w:r>
        <w:t>受污染场地面积按照</w:t>
      </w:r>
      <w:r>
        <w:rPr>
          <w:rFonts w:hint="eastAsia"/>
        </w:rPr>
        <w:t>生产厂房面积考虑，取为52899</w:t>
      </w:r>
      <w:r>
        <w:t>m</w:t>
      </w:r>
      <w:r>
        <w:rPr>
          <w:vertAlign w:val="superscript"/>
        </w:rPr>
        <w:t>2</w:t>
      </w:r>
      <w:r>
        <w:t>，根据计算，</w:t>
      </w:r>
      <w:r>
        <w:rPr>
          <w:rFonts w:hint="eastAsia"/>
        </w:rPr>
        <w:t>项目</w:t>
      </w:r>
      <w:r>
        <w:t>初期雨水量为</w:t>
      </w:r>
      <w:r>
        <w:rPr>
          <w:rFonts w:hint="eastAsia"/>
        </w:rPr>
        <w:t>528.99</w:t>
      </w:r>
      <w:r>
        <w:t>m</w:t>
      </w:r>
      <w:r>
        <w:rPr>
          <w:vertAlign w:val="superscript"/>
        </w:rPr>
        <w:t>3</w:t>
      </w:r>
      <w:r>
        <w:rPr>
          <w:rFonts w:hint="eastAsia"/>
        </w:rPr>
        <w:t>/次，根据砚山县气候特征，每年5-10月为雨季，降雨量较为集中，占全年降水量的82.6%，11月至翌年4月为旱季，降水量只占全年降水量的17.4%，故本次评价按照每年下雨天数150天，每次连续下雨3天计，则项目初期雨水产生量为26449.5m</w:t>
      </w:r>
      <w:r>
        <w:rPr>
          <w:rFonts w:hint="eastAsia"/>
          <w:vertAlign w:val="superscript"/>
        </w:rPr>
        <w:t>3</w:t>
      </w:r>
      <w:r>
        <w:rPr>
          <w:rFonts w:hint="eastAsia"/>
        </w:rPr>
        <w:t>/a，</w:t>
      </w:r>
      <w:r>
        <w:t>收集的初期雨水进入厂区初期雨水收集池</w:t>
      </w:r>
      <w:r>
        <w:rPr>
          <w:rFonts w:hint="eastAsia"/>
        </w:rPr>
        <w:t>，</w:t>
      </w:r>
      <w:r>
        <w:t>初期雨水收集池容积为</w:t>
      </w:r>
      <w:r>
        <w:rPr>
          <w:rFonts w:hint="eastAsia"/>
        </w:rPr>
        <w:t>640</w:t>
      </w:r>
      <w:r>
        <w:t>m</w:t>
      </w:r>
      <w:r>
        <w:rPr>
          <w:vertAlign w:val="superscript"/>
        </w:rPr>
        <w:t>3</w:t>
      </w:r>
      <w:r>
        <w:t>，</w:t>
      </w:r>
      <w:r>
        <w:rPr>
          <w:rFonts w:hint="eastAsia"/>
        </w:rPr>
        <w:t>经过沉淀</w:t>
      </w:r>
      <w:r>
        <w:t>处理</w:t>
      </w:r>
      <w:r>
        <w:rPr>
          <w:rFonts w:hint="eastAsia"/>
        </w:rPr>
        <w:t>后用于厂区绿化及道路清扫，剩余部分用于冷却循环系统补充水</w:t>
      </w:r>
      <w:r>
        <w:t>。</w:t>
      </w:r>
    </w:p>
    <w:p>
      <w:pPr>
        <w:pStyle w:val="7"/>
        <w:ind w:firstLine="480"/>
      </w:pPr>
      <w:r>
        <w:rPr>
          <w:rFonts w:hint="eastAsia"/>
        </w:rPr>
        <w:t>初期雨水污染的主要原因为项目废气中的污染物沉降到地面上、厂区路面灰尘、油污等，初期雨水污染物浓度受空气质量、前期降雨情况、下垫面类型和清洁程度等因素影响，变化范围大，存在着不确定性，本次评价参考“山东创新金属科技有限公司年产80万吨高强高韧铝合金材料项目”中初期雨水水质（山东安和安全技术研究所有限公司于2019年4月27日进行的监测），确定项目初期雨水水质为：C</w:t>
      </w:r>
      <w:r>
        <w:t>OD</w:t>
      </w:r>
      <w:r>
        <w:rPr>
          <w:rFonts w:hint="eastAsia"/>
        </w:rPr>
        <w:t>：10mg/</w:t>
      </w:r>
      <w:r>
        <w:t>L</w:t>
      </w:r>
      <w:r>
        <w:rPr>
          <w:rFonts w:hint="eastAsia"/>
        </w:rPr>
        <w:t>、B</w:t>
      </w:r>
      <w:r>
        <w:t>OD</w:t>
      </w:r>
      <w:r>
        <w:rPr>
          <w:rFonts w:hint="eastAsia"/>
          <w:vertAlign w:val="subscript"/>
        </w:rPr>
        <w:t>5</w:t>
      </w:r>
      <w:r>
        <w:rPr>
          <w:rFonts w:hint="eastAsia"/>
        </w:rPr>
        <w:t>：2.5mg/</w:t>
      </w:r>
      <w:r>
        <w:t>L</w:t>
      </w:r>
      <w:r>
        <w:rPr>
          <w:rFonts w:hint="eastAsia"/>
        </w:rPr>
        <w:t>，S</w:t>
      </w:r>
      <w:r>
        <w:t>S</w:t>
      </w:r>
      <w:r>
        <w:rPr>
          <w:rFonts w:hint="eastAsia"/>
        </w:rPr>
        <w:t>：7mg/</w:t>
      </w:r>
      <w:r>
        <w:t>L</w:t>
      </w:r>
      <w:r>
        <w:rPr>
          <w:rFonts w:hint="eastAsia"/>
        </w:rPr>
        <w:t>，氨氮：0.568mg/</w:t>
      </w:r>
      <w:r>
        <w:t>L</w:t>
      </w:r>
      <w:r>
        <w:rPr>
          <w:rFonts w:hint="eastAsia"/>
        </w:rPr>
        <w:t>，水质能够满足</w:t>
      </w:r>
      <w:r>
        <w:rPr>
          <w:kern w:val="0"/>
        </w:rPr>
        <w:t xml:space="preserve">《城市污水再生利用 城市杂用水水质标准》(GB/TI8920-2002) </w:t>
      </w:r>
      <w:r>
        <w:rPr>
          <w:rFonts w:hint="eastAsia"/>
          <w:kern w:val="0"/>
        </w:rPr>
        <w:t>中城市绿化及道路清扫以及《城市污水再生利用工业用水水质》（GB/T19923-2005）的相应标准，可直接用于</w:t>
      </w:r>
      <w:r>
        <w:rPr>
          <w:rFonts w:hint="eastAsia"/>
          <w:bCs/>
        </w:rPr>
        <w:t>厂区绿化及道路清扫，剩余部分用于冷却循环补充水。</w:t>
      </w:r>
    </w:p>
    <w:p>
      <w:pPr>
        <w:pStyle w:val="2"/>
        <w:spacing w:line="360" w:lineRule="auto"/>
        <w:ind w:left="0" w:leftChars="0" w:firstLine="480"/>
      </w:pPr>
      <w:r>
        <w:t>收集的初期雨水进入厂区</w:t>
      </w:r>
      <w:r>
        <w:rPr>
          <w:rFonts w:hint="eastAsia"/>
        </w:rPr>
        <w:t>一期工程</w:t>
      </w:r>
      <w:r>
        <w:t>初期雨水收集池，经</w:t>
      </w:r>
      <w:r>
        <w:rPr>
          <w:rFonts w:hint="eastAsia"/>
        </w:rPr>
        <w:t>沉淀</w:t>
      </w:r>
      <w:r>
        <w:t>处理</w:t>
      </w:r>
      <w:r>
        <w:rPr>
          <w:rFonts w:hint="eastAsia"/>
        </w:rPr>
        <w:t>后</w:t>
      </w:r>
      <w:r>
        <w:t>，</w:t>
      </w:r>
      <w:r>
        <w:rPr>
          <w:rFonts w:hint="eastAsia"/>
          <w:bCs/>
        </w:rPr>
        <w:t>用作晴天厂区绿化及道路清扫剩余部分用于冷却循环补充水，不外排</w:t>
      </w:r>
      <w:r>
        <w:t>。</w:t>
      </w:r>
    </w:p>
    <w:p>
      <w:pPr>
        <w:pStyle w:val="7"/>
        <w:ind w:firstLine="482"/>
        <w:rPr>
          <w:b/>
          <w:bCs/>
        </w:rPr>
      </w:pPr>
      <w:r>
        <w:rPr>
          <w:rFonts w:hint="eastAsia"/>
          <w:b/>
          <w:bCs/>
        </w:rPr>
        <w:t>2、一期工程</w:t>
      </w:r>
      <w:r>
        <w:rPr>
          <w:b/>
          <w:bCs/>
        </w:rPr>
        <w:t>废水产排情况</w:t>
      </w:r>
    </w:p>
    <w:p>
      <w:pPr>
        <w:pStyle w:val="7"/>
        <w:ind w:firstLine="480"/>
      </w:pPr>
      <w:r>
        <w:t>项目产生的</w:t>
      </w:r>
      <w:r>
        <w:rPr>
          <w:rFonts w:hint="eastAsia"/>
        </w:rPr>
        <w:t>初期雨水</w:t>
      </w:r>
      <w:r>
        <w:t>进入厂内</w:t>
      </w:r>
      <w:r>
        <w:rPr>
          <w:rFonts w:hint="eastAsia"/>
        </w:rPr>
        <w:t>初期雨水收集池</w:t>
      </w:r>
      <w:r>
        <w:t>，</w:t>
      </w:r>
      <w:r>
        <w:rPr>
          <w:rFonts w:hint="eastAsia"/>
        </w:rPr>
        <w:t>沉淀</w:t>
      </w:r>
      <w:r>
        <w:t>处理达</w:t>
      </w:r>
      <w:r>
        <w:rPr>
          <w:rFonts w:hint="eastAsia"/>
        </w:rPr>
        <w:t>到</w:t>
      </w:r>
      <w:r>
        <w:t xml:space="preserve">《城市污水再生利用 城市杂用水水质标准》(GB/TI8920-2002) </w:t>
      </w:r>
      <w:r>
        <w:rPr>
          <w:rFonts w:hint="eastAsia"/>
        </w:rPr>
        <w:t>中城市绿化及道路清扫以及《城市污水再生利用工业用水水质》（GB/T19923-2005）的相应标准后回用于晴天厂区绿化及道路清扫，剩余部分用于冷却循环补充水，不外排</w:t>
      </w:r>
      <w:r>
        <w:t>。</w:t>
      </w:r>
      <w:r>
        <w:rPr>
          <w:rFonts w:hint="eastAsia"/>
        </w:rPr>
        <w:t>生活污水经过化粪池、隔油池预处理后同冷却循环系统定期排水一起通过市政污水管网进入砚山县第一污水处理厂进行处理，处理达标后排入公革河。项目废水具体产排情况见表4.4-5。</w:t>
      </w:r>
    </w:p>
    <w:p>
      <w:pPr>
        <w:pStyle w:val="7"/>
        <w:ind w:firstLine="480"/>
        <w:sectPr>
          <w:pgSz w:w="11906" w:h="16838"/>
          <w:pgMar w:top="1440" w:right="1800" w:bottom="1440" w:left="1800" w:header="851" w:footer="992" w:gutter="0"/>
          <w:cols w:space="425" w:num="1"/>
          <w:docGrid w:type="lines" w:linePitch="312" w:charSpace="0"/>
        </w:sectPr>
      </w:pPr>
    </w:p>
    <w:p>
      <w:pPr>
        <w:pStyle w:val="31"/>
      </w:pPr>
      <w:r>
        <w:rPr>
          <w:rFonts w:hint="eastAsia"/>
        </w:rPr>
        <w:t>表4.4-5  项目一期工程废水产生情况一览表</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1397"/>
        <w:gridCol w:w="1576"/>
        <w:gridCol w:w="1295"/>
        <w:gridCol w:w="1262"/>
        <w:gridCol w:w="1072"/>
        <w:gridCol w:w="1298"/>
        <w:gridCol w:w="1635"/>
        <w:gridCol w:w="1672"/>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编号</w:t>
            </w:r>
          </w:p>
        </w:tc>
        <w:tc>
          <w:tcPr>
            <w:tcW w:w="493" w:type="pct"/>
            <w:vMerge w:val="restart"/>
            <w:vAlign w:val="center"/>
          </w:tcPr>
          <w:p>
            <w:pPr>
              <w:pStyle w:val="32"/>
            </w:pPr>
            <w:r>
              <w:rPr>
                <w:rFonts w:hint="eastAsia"/>
              </w:rPr>
              <w:t>污染源名称</w:t>
            </w:r>
          </w:p>
        </w:tc>
        <w:tc>
          <w:tcPr>
            <w:tcW w:w="556" w:type="pct"/>
            <w:vMerge w:val="restart"/>
            <w:vAlign w:val="center"/>
          </w:tcPr>
          <w:p>
            <w:pPr>
              <w:pStyle w:val="32"/>
            </w:pPr>
            <w:r>
              <w:rPr>
                <w:rFonts w:hint="eastAsia"/>
              </w:rPr>
              <w:t>废水量</w:t>
            </w:r>
          </w:p>
        </w:tc>
        <w:tc>
          <w:tcPr>
            <w:tcW w:w="457" w:type="pct"/>
            <w:vMerge w:val="restart"/>
            <w:vAlign w:val="center"/>
          </w:tcPr>
          <w:p>
            <w:pPr>
              <w:pStyle w:val="32"/>
            </w:pPr>
            <w:r>
              <w:rPr>
                <w:rFonts w:hint="eastAsia"/>
              </w:rPr>
              <w:t>污染物名称</w:t>
            </w:r>
          </w:p>
        </w:tc>
        <w:tc>
          <w:tcPr>
            <w:tcW w:w="1281" w:type="pct"/>
            <w:gridSpan w:val="3"/>
            <w:vAlign w:val="center"/>
          </w:tcPr>
          <w:p>
            <w:pPr>
              <w:pStyle w:val="32"/>
            </w:pPr>
            <w:r>
              <w:rPr>
                <w:rFonts w:hint="eastAsia"/>
              </w:rPr>
              <w:t>产生情况</w:t>
            </w:r>
          </w:p>
        </w:tc>
        <w:tc>
          <w:tcPr>
            <w:tcW w:w="577" w:type="pct"/>
            <w:vMerge w:val="restart"/>
            <w:vAlign w:val="center"/>
          </w:tcPr>
          <w:p>
            <w:pPr>
              <w:pStyle w:val="32"/>
            </w:pPr>
            <w:r>
              <w:rPr>
                <w:rFonts w:hint="eastAsia"/>
              </w:rPr>
              <w:t>拟采取的</w:t>
            </w:r>
          </w:p>
          <w:p>
            <w:pPr>
              <w:pStyle w:val="32"/>
            </w:pPr>
            <w:r>
              <w:rPr>
                <w:rFonts w:hint="eastAsia"/>
              </w:rPr>
              <w:t>处理方式</w:t>
            </w:r>
          </w:p>
        </w:tc>
        <w:tc>
          <w:tcPr>
            <w:tcW w:w="590" w:type="pct"/>
            <w:vAlign w:val="center"/>
          </w:tcPr>
          <w:p>
            <w:pPr>
              <w:pStyle w:val="32"/>
            </w:pPr>
            <w:r>
              <w:rPr>
                <w:rFonts w:hint="eastAsia"/>
              </w:rPr>
              <w:t>处理后的情况</w:t>
            </w:r>
          </w:p>
        </w:tc>
        <w:tc>
          <w:tcPr>
            <w:tcW w:w="740" w:type="pct"/>
            <w:vMerge w:val="restart"/>
            <w:vAlign w:val="center"/>
          </w:tcPr>
          <w:p>
            <w:pPr>
              <w:pStyle w:val="32"/>
            </w:pPr>
            <w:r>
              <w:rPr>
                <w:rFonts w:hint="eastAsia"/>
              </w:rPr>
              <w:t>排放方式</w:t>
            </w:r>
          </w:p>
          <w:p>
            <w:pPr>
              <w:pStyle w:val="32"/>
            </w:pPr>
            <w:r>
              <w:rPr>
                <w:rFonts w:hint="eastAsia"/>
              </w:rPr>
              <w:t>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Merge w:val="continue"/>
            <w:vAlign w:val="center"/>
          </w:tcPr>
          <w:p>
            <w:pPr>
              <w:pStyle w:val="32"/>
            </w:pPr>
          </w:p>
        </w:tc>
        <w:tc>
          <w:tcPr>
            <w:tcW w:w="445" w:type="pct"/>
            <w:vAlign w:val="center"/>
          </w:tcPr>
          <w:p>
            <w:pPr>
              <w:pStyle w:val="32"/>
            </w:pPr>
            <w:r>
              <w:t>mg/</w:t>
            </w:r>
            <w:r>
              <w:rPr>
                <w:rFonts w:hint="eastAsia"/>
              </w:rPr>
              <w:t>L</w:t>
            </w:r>
          </w:p>
        </w:tc>
        <w:tc>
          <w:tcPr>
            <w:tcW w:w="378" w:type="pct"/>
            <w:vAlign w:val="center"/>
          </w:tcPr>
          <w:p>
            <w:pPr>
              <w:pStyle w:val="32"/>
            </w:pPr>
            <w:r>
              <w:t>kg/d</w:t>
            </w:r>
          </w:p>
        </w:tc>
        <w:tc>
          <w:tcPr>
            <w:tcW w:w="457" w:type="pct"/>
            <w:vAlign w:val="center"/>
          </w:tcPr>
          <w:p>
            <w:pPr>
              <w:pStyle w:val="32"/>
            </w:pPr>
            <w:r>
              <w:rPr>
                <w:rFonts w:hint="eastAsia"/>
              </w:rPr>
              <w:t>t/a</w:t>
            </w:r>
          </w:p>
        </w:tc>
        <w:tc>
          <w:tcPr>
            <w:tcW w:w="577" w:type="pct"/>
            <w:vMerge w:val="continue"/>
            <w:vAlign w:val="center"/>
          </w:tcPr>
          <w:p>
            <w:pPr>
              <w:pStyle w:val="32"/>
            </w:pPr>
          </w:p>
        </w:tc>
        <w:tc>
          <w:tcPr>
            <w:tcW w:w="590" w:type="pct"/>
            <w:vAlign w:val="center"/>
          </w:tcPr>
          <w:p>
            <w:pPr>
              <w:pStyle w:val="32"/>
            </w:pPr>
            <w:r>
              <w:t>mg/</w:t>
            </w:r>
            <w:r>
              <w:rPr>
                <w:rFonts w:hint="eastAsia"/>
              </w:rPr>
              <w:t>L</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W1-1</w:t>
            </w:r>
          </w:p>
        </w:tc>
        <w:tc>
          <w:tcPr>
            <w:tcW w:w="493" w:type="pct"/>
            <w:vMerge w:val="restart"/>
            <w:vAlign w:val="center"/>
          </w:tcPr>
          <w:p>
            <w:pPr>
              <w:pStyle w:val="32"/>
            </w:pPr>
            <w:r>
              <w:rPr>
                <w:rFonts w:hint="eastAsia"/>
              </w:rPr>
              <w:t>圆铸锭生产线冷却循环系统定期排水</w:t>
            </w:r>
          </w:p>
        </w:tc>
        <w:tc>
          <w:tcPr>
            <w:tcW w:w="556" w:type="pct"/>
            <w:vMerge w:val="restart"/>
            <w:vAlign w:val="center"/>
          </w:tcPr>
          <w:p>
            <w:pPr>
              <w:pStyle w:val="32"/>
            </w:pPr>
            <w:r>
              <w:rPr>
                <w:rFonts w:hint="eastAsia"/>
              </w:rPr>
              <w:t>800</w:t>
            </w:r>
            <w:r>
              <w:t>m</w:t>
            </w:r>
            <w:r>
              <w:rPr>
                <w:vertAlign w:val="superscript"/>
              </w:rPr>
              <w:t>3</w:t>
            </w:r>
            <w:r>
              <w:t>/</w:t>
            </w:r>
            <w:r>
              <w:rPr>
                <w:rFonts w:hint="eastAsia"/>
              </w:rPr>
              <w:t>a</w:t>
            </w:r>
          </w:p>
        </w:tc>
        <w:tc>
          <w:tcPr>
            <w:tcW w:w="457" w:type="pct"/>
            <w:vAlign w:val="center"/>
          </w:tcPr>
          <w:p>
            <w:pPr>
              <w:pStyle w:val="32"/>
            </w:pPr>
            <w:r>
              <w:rPr>
                <w:rFonts w:hint="eastAsia"/>
              </w:rPr>
              <w:t>C</w:t>
            </w:r>
            <w:r>
              <w:t>OD</w:t>
            </w:r>
          </w:p>
        </w:tc>
        <w:tc>
          <w:tcPr>
            <w:tcW w:w="445" w:type="pct"/>
            <w:vAlign w:val="center"/>
          </w:tcPr>
          <w:p>
            <w:pPr>
              <w:pStyle w:val="32"/>
            </w:pPr>
            <w:r>
              <w:rPr>
                <w:rFonts w:hint="eastAsia"/>
              </w:rPr>
              <w:t>10</w:t>
            </w:r>
          </w:p>
        </w:tc>
        <w:tc>
          <w:tcPr>
            <w:tcW w:w="378" w:type="pct"/>
            <w:vAlign w:val="center"/>
          </w:tcPr>
          <w:p>
            <w:pPr>
              <w:pStyle w:val="32"/>
            </w:pPr>
            <w:r>
              <w:rPr>
                <w:rFonts w:hint="eastAsia"/>
              </w:rPr>
              <w:t>/</w:t>
            </w:r>
          </w:p>
        </w:tc>
        <w:tc>
          <w:tcPr>
            <w:tcW w:w="457" w:type="pct"/>
            <w:vAlign w:val="center"/>
          </w:tcPr>
          <w:p>
            <w:pPr>
              <w:pStyle w:val="32"/>
            </w:pPr>
            <w:r>
              <w:t>0.008</w:t>
            </w:r>
          </w:p>
        </w:tc>
        <w:tc>
          <w:tcPr>
            <w:tcW w:w="577" w:type="pct"/>
            <w:vMerge w:val="restart"/>
            <w:vAlign w:val="center"/>
          </w:tcPr>
          <w:p>
            <w:pPr>
              <w:pStyle w:val="32"/>
            </w:pPr>
            <w:r>
              <w:rPr>
                <w:rFonts w:hint="eastAsia"/>
              </w:rPr>
              <w:t>循环水池沉淀处理</w:t>
            </w:r>
          </w:p>
        </w:tc>
        <w:tc>
          <w:tcPr>
            <w:tcW w:w="590" w:type="pct"/>
            <w:vAlign w:val="center"/>
          </w:tcPr>
          <w:p>
            <w:pPr>
              <w:pStyle w:val="32"/>
            </w:pPr>
            <w:r>
              <w:rPr>
                <w:rFonts w:hint="eastAsia"/>
              </w:rPr>
              <w:t>10</w:t>
            </w:r>
          </w:p>
        </w:tc>
        <w:tc>
          <w:tcPr>
            <w:tcW w:w="740" w:type="pct"/>
            <w:vMerge w:val="restart"/>
            <w:vAlign w:val="center"/>
          </w:tcPr>
          <w:p>
            <w:pPr>
              <w:pStyle w:val="32"/>
            </w:pPr>
            <w:r>
              <w:rPr>
                <w:rFonts w:hint="eastAsia"/>
              </w:rPr>
              <w:t>通过市政污水管网进入砚山县第一污水处理厂处理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氨氮</w:t>
            </w:r>
          </w:p>
        </w:tc>
        <w:tc>
          <w:tcPr>
            <w:tcW w:w="445" w:type="pct"/>
            <w:vAlign w:val="center"/>
          </w:tcPr>
          <w:p>
            <w:pPr>
              <w:pStyle w:val="32"/>
            </w:pPr>
            <w:r>
              <w:rPr>
                <w:rFonts w:hint="eastAsia"/>
              </w:rPr>
              <w:t>0.248</w:t>
            </w:r>
          </w:p>
        </w:tc>
        <w:tc>
          <w:tcPr>
            <w:tcW w:w="378" w:type="pct"/>
            <w:vAlign w:val="center"/>
          </w:tcPr>
          <w:p>
            <w:pPr>
              <w:pStyle w:val="32"/>
            </w:pPr>
            <w:r>
              <w:rPr>
                <w:rFonts w:hint="eastAsia"/>
              </w:rPr>
              <w:t>/</w:t>
            </w:r>
          </w:p>
        </w:tc>
        <w:tc>
          <w:tcPr>
            <w:tcW w:w="457" w:type="pct"/>
            <w:vAlign w:val="center"/>
          </w:tcPr>
          <w:p>
            <w:pPr>
              <w:pStyle w:val="32"/>
            </w:pPr>
            <w:r>
              <w:t>0.0002</w:t>
            </w:r>
          </w:p>
        </w:tc>
        <w:tc>
          <w:tcPr>
            <w:tcW w:w="577" w:type="pct"/>
            <w:vMerge w:val="continue"/>
            <w:vAlign w:val="center"/>
          </w:tcPr>
          <w:p>
            <w:pPr>
              <w:pStyle w:val="32"/>
            </w:pPr>
          </w:p>
        </w:tc>
        <w:tc>
          <w:tcPr>
            <w:tcW w:w="590" w:type="pct"/>
            <w:vAlign w:val="center"/>
          </w:tcPr>
          <w:p>
            <w:pPr>
              <w:pStyle w:val="32"/>
            </w:pPr>
            <w:r>
              <w:rPr>
                <w:rFonts w:hint="eastAsia"/>
              </w:rPr>
              <w:t>0.248</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氟化物</w:t>
            </w:r>
          </w:p>
        </w:tc>
        <w:tc>
          <w:tcPr>
            <w:tcW w:w="445" w:type="pct"/>
            <w:vAlign w:val="center"/>
          </w:tcPr>
          <w:p>
            <w:pPr>
              <w:pStyle w:val="32"/>
            </w:pPr>
            <w:r>
              <w:rPr>
                <w:rFonts w:hint="eastAsia"/>
              </w:rPr>
              <w:t>0.86</w:t>
            </w:r>
          </w:p>
        </w:tc>
        <w:tc>
          <w:tcPr>
            <w:tcW w:w="378" w:type="pct"/>
            <w:vAlign w:val="center"/>
          </w:tcPr>
          <w:p>
            <w:pPr>
              <w:pStyle w:val="32"/>
            </w:pPr>
            <w:r>
              <w:rPr>
                <w:rFonts w:hint="eastAsia"/>
              </w:rPr>
              <w:t>/</w:t>
            </w:r>
          </w:p>
        </w:tc>
        <w:tc>
          <w:tcPr>
            <w:tcW w:w="457" w:type="pct"/>
            <w:vAlign w:val="center"/>
          </w:tcPr>
          <w:p>
            <w:pPr>
              <w:pStyle w:val="32"/>
            </w:pPr>
            <w:r>
              <w:t xml:space="preserve">0.00069 </w:t>
            </w:r>
          </w:p>
        </w:tc>
        <w:tc>
          <w:tcPr>
            <w:tcW w:w="577" w:type="pct"/>
            <w:vMerge w:val="continue"/>
            <w:vAlign w:val="center"/>
          </w:tcPr>
          <w:p>
            <w:pPr>
              <w:pStyle w:val="32"/>
            </w:pPr>
          </w:p>
        </w:tc>
        <w:tc>
          <w:tcPr>
            <w:tcW w:w="590" w:type="pct"/>
            <w:vAlign w:val="center"/>
          </w:tcPr>
          <w:p>
            <w:pPr>
              <w:pStyle w:val="32"/>
            </w:pPr>
            <w:r>
              <w:rPr>
                <w:rFonts w:hint="eastAsia"/>
              </w:rPr>
              <w:t>0.86</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w:t>
            </w:r>
            <w:r>
              <w:rPr>
                <w:rFonts w:hint="eastAsia"/>
              </w:rPr>
              <w:t>5</w:t>
            </w:r>
          </w:p>
        </w:tc>
        <w:tc>
          <w:tcPr>
            <w:tcW w:w="445" w:type="pct"/>
            <w:vAlign w:val="center"/>
          </w:tcPr>
          <w:p>
            <w:pPr>
              <w:pStyle w:val="32"/>
            </w:pPr>
            <w:r>
              <w:rPr>
                <w:rFonts w:hint="eastAsia"/>
              </w:rPr>
              <w:t>1.7</w:t>
            </w:r>
          </w:p>
        </w:tc>
        <w:tc>
          <w:tcPr>
            <w:tcW w:w="378" w:type="pct"/>
            <w:vAlign w:val="center"/>
          </w:tcPr>
          <w:p>
            <w:pPr>
              <w:pStyle w:val="32"/>
            </w:pPr>
            <w:r>
              <w:rPr>
                <w:rFonts w:hint="eastAsia"/>
              </w:rPr>
              <w:t>/</w:t>
            </w:r>
          </w:p>
        </w:tc>
        <w:tc>
          <w:tcPr>
            <w:tcW w:w="457" w:type="pct"/>
            <w:vAlign w:val="center"/>
          </w:tcPr>
          <w:p>
            <w:pPr>
              <w:pStyle w:val="32"/>
            </w:pPr>
            <w:r>
              <w:t>0.001</w:t>
            </w:r>
            <w:r>
              <w:rPr>
                <w:rFonts w:hint="eastAsia"/>
              </w:rPr>
              <w:t>4</w:t>
            </w:r>
          </w:p>
        </w:tc>
        <w:tc>
          <w:tcPr>
            <w:tcW w:w="577" w:type="pct"/>
            <w:vMerge w:val="continue"/>
            <w:vAlign w:val="center"/>
          </w:tcPr>
          <w:p>
            <w:pPr>
              <w:pStyle w:val="32"/>
            </w:pPr>
          </w:p>
        </w:tc>
        <w:tc>
          <w:tcPr>
            <w:tcW w:w="590" w:type="pct"/>
            <w:vAlign w:val="center"/>
          </w:tcPr>
          <w:p>
            <w:pPr>
              <w:pStyle w:val="32"/>
            </w:pPr>
            <w:r>
              <w:rPr>
                <w:rFonts w:hint="eastAsia"/>
              </w:rPr>
              <w:t>1.7</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S</w:t>
            </w:r>
            <w:r>
              <w:t>S</w:t>
            </w:r>
          </w:p>
        </w:tc>
        <w:tc>
          <w:tcPr>
            <w:tcW w:w="445" w:type="pct"/>
            <w:vAlign w:val="center"/>
          </w:tcPr>
          <w:p>
            <w:pPr>
              <w:pStyle w:val="32"/>
            </w:pPr>
            <w:r>
              <w:rPr>
                <w:rFonts w:hint="eastAsia"/>
              </w:rPr>
              <w:t>5</w:t>
            </w:r>
          </w:p>
        </w:tc>
        <w:tc>
          <w:tcPr>
            <w:tcW w:w="378" w:type="pct"/>
            <w:vAlign w:val="center"/>
          </w:tcPr>
          <w:p>
            <w:pPr>
              <w:pStyle w:val="32"/>
            </w:pPr>
            <w:r>
              <w:rPr>
                <w:rFonts w:hint="eastAsia"/>
              </w:rPr>
              <w:t>/</w:t>
            </w:r>
          </w:p>
        </w:tc>
        <w:tc>
          <w:tcPr>
            <w:tcW w:w="457" w:type="pct"/>
            <w:vAlign w:val="center"/>
          </w:tcPr>
          <w:p>
            <w:pPr>
              <w:pStyle w:val="32"/>
            </w:pPr>
            <w:r>
              <w:t>0.004</w:t>
            </w:r>
          </w:p>
        </w:tc>
        <w:tc>
          <w:tcPr>
            <w:tcW w:w="577" w:type="pct"/>
            <w:vMerge w:val="continue"/>
            <w:vAlign w:val="center"/>
          </w:tcPr>
          <w:p>
            <w:pPr>
              <w:pStyle w:val="32"/>
            </w:pPr>
          </w:p>
        </w:tc>
        <w:tc>
          <w:tcPr>
            <w:tcW w:w="590" w:type="pct"/>
            <w:vAlign w:val="center"/>
          </w:tcPr>
          <w:p>
            <w:pPr>
              <w:pStyle w:val="32"/>
            </w:pPr>
            <w:r>
              <w:rPr>
                <w:rFonts w:hint="eastAsia"/>
              </w:rPr>
              <w:t>2</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W1-2</w:t>
            </w:r>
          </w:p>
        </w:tc>
        <w:tc>
          <w:tcPr>
            <w:tcW w:w="493" w:type="pct"/>
            <w:vMerge w:val="restart"/>
            <w:vAlign w:val="center"/>
          </w:tcPr>
          <w:p>
            <w:pPr>
              <w:pStyle w:val="32"/>
            </w:pPr>
            <w:r>
              <w:rPr>
                <w:rFonts w:hint="eastAsia"/>
              </w:rPr>
              <w:t>板锭生产线冷却循环系统定期排水</w:t>
            </w:r>
          </w:p>
        </w:tc>
        <w:tc>
          <w:tcPr>
            <w:tcW w:w="556" w:type="pct"/>
            <w:vMerge w:val="restart"/>
            <w:vAlign w:val="center"/>
          </w:tcPr>
          <w:p>
            <w:pPr>
              <w:pStyle w:val="32"/>
            </w:pPr>
            <w:r>
              <w:rPr>
                <w:rFonts w:hint="eastAsia"/>
              </w:rPr>
              <w:t>800</w:t>
            </w:r>
            <w:r>
              <w:t>m</w:t>
            </w:r>
            <w:r>
              <w:rPr>
                <w:vertAlign w:val="superscript"/>
              </w:rPr>
              <w:t>3</w:t>
            </w:r>
            <w:r>
              <w:t>/</w:t>
            </w:r>
            <w:r>
              <w:rPr>
                <w:rFonts w:hint="eastAsia"/>
              </w:rPr>
              <w:t>a</w:t>
            </w:r>
          </w:p>
        </w:tc>
        <w:tc>
          <w:tcPr>
            <w:tcW w:w="457" w:type="pct"/>
            <w:vAlign w:val="center"/>
          </w:tcPr>
          <w:p>
            <w:pPr>
              <w:pStyle w:val="32"/>
            </w:pPr>
            <w:r>
              <w:rPr>
                <w:rFonts w:hint="eastAsia"/>
              </w:rPr>
              <w:t>C</w:t>
            </w:r>
            <w:r>
              <w:t>OD</w:t>
            </w:r>
          </w:p>
        </w:tc>
        <w:tc>
          <w:tcPr>
            <w:tcW w:w="445" w:type="pct"/>
            <w:vAlign w:val="center"/>
          </w:tcPr>
          <w:p>
            <w:pPr>
              <w:pStyle w:val="32"/>
            </w:pPr>
            <w:r>
              <w:rPr>
                <w:rFonts w:hint="eastAsia"/>
              </w:rPr>
              <w:t>10</w:t>
            </w:r>
          </w:p>
        </w:tc>
        <w:tc>
          <w:tcPr>
            <w:tcW w:w="378" w:type="pct"/>
            <w:vAlign w:val="center"/>
          </w:tcPr>
          <w:p>
            <w:pPr>
              <w:pStyle w:val="32"/>
            </w:pPr>
            <w:r>
              <w:rPr>
                <w:rFonts w:hint="eastAsia"/>
              </w:rPr>
              <w:t>/</w:t>
            </w:r>
          </w:p>
        </w:tc>
        <w:tc>
          <w:tcPr>
            <w:tcW w:w="457" w:type="pct"/>
            <w:vAlign w:val="center"/>
          </w:tcPr>
          <w:p>
            <w:pPr>
              <w:pStyle w:val="32"/>
            </w:pPr>
            <w:r>
              <w:t>0.008</w:t>
            </w:r>
          </w:p>
        </w:tc>
        <w:tc>
          <w:tcPr>
            <w:tcW w:w="577" w:type="pct"/>
            <w:vMerge w:val="restart"/>
            <w:vAlign w:val="center"/>
          </w:tcPr>
          <w:p>
            <w:pPr>
              <w:pStyle w:val="32"/>
              <w:rPr>
                <w:highlight w:val="yellow"/>
              </w:rPr>
            </w:pPr>
            <w:r>
              <w:rPr>
                <w:rFonts w:hint="eastAsia"/>
              </w:rPr>
              <w:t>自建污水处理站处理（混凝沉淀+两级气浮）</w:t>
            </w:r>
          </w:p>
        </w:tc>
        <w:tc>
          <w:tcPr>
            <w:tcW w:w="590" w:type="pct"/>
            <w:vAlign w:val="center"/>
          </w:tcPr>
          <w:p>
            <w:pPr>
              <w:pStyle w:val="32"/>
            </w:pPr>
            <w:r>
              <w:rPr>
                <w:rFonts w:hint="eastAsia"/>
              </w:rPr>
              <w:t>10</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氨氮</w:t>
            </w:r>
          </w:p>
        </w:tc>
        <w:tc>
          <w:tcPr>
            <w:tcW w:w="445" w:type="pct"/>
            <w:vAlign w:val="center"/>
          </w:tcPr>
          <w:p>
            <w:pPr>
              <w:pStyle w:val="32"/>
            </w:pPr>
            <w:r>
              <w:rPr>
                <w:rFonts w:hint="eastAsia"/>
              </w:rPr>
              <w:t>0.248</w:t>
            </w:r>
          </w:p>
        </w:tc>
        <w:tc>
          <w:tcPr>
            <w:tcW w:w="378" w:type="pct"/>
            <w:vAlign w:val="center"/>
          </w:tcPr>
          <w:p>
            <w:pPr>
              <w:pStyle w:val="32"/>
            </w:pPr>
            <w:r>
              <w:rPr>
                <w:rFonts w:hint="eastAsia"/>
              </w:rPr>
              <w:t>/</w:t>
            </w:r>
          </w:p>
        </w:tc>
        <w:tc>
          <w:tcPr>
            <w:tcW w:w="457" w:type="pct"/>
            <w:vAlign w:val="center"/>
          </w:tcPr>
          <w:p>
            <w:pPr>
              <w:pStyle w:val="32"/>
            </w:pPr>
            <w:r>
              <w:t>0.0002</w:t>
            </w:r>
          </w:p>
        </w:tc>
        <w:tc>
          <w:tcPr>
            <w:tcW w:w="577" w:type="pct"/>
            <w:vMerge w:val="continue"/>
            <w:vAlign w:val="center"/>
          </w:tcPr>
          <w:p>
            <w:pPr>
              <w:pStyle w:val="32"/>
            </w:pPr>
          </w:p>
        </w:tc>
        <w:tc>
          <w:tcPr>
            <w:tcW w:w="590" w:type="pct"/>
            <w:vAlign w:val="center"/>
          </w:tcPr>
          <w:p>
            <w:pPr>
              <w:pStyle w:val="32"/>
            </w:pPr>
            <w:r>
              <w:rPr>
                <w:rFonts w:hint="eastAsia"/>
              </w:rPr>
              <w:t>0.248</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氟化物</w:t>
            </w:r>
          </w:p>
        </w:tc>
        <w:tc>
          <w:tcPr>
            <w:tcW w:w="445" w:type="pct"/>
            <w:vAlign w:val="center"/>
          </w:tcPr>
          <w:p>
            <w:pPr>
              <w:pStyle w:val="32"/>
            </w:pPr>
            <w:r>
              <w:rPr>
                <w:rFonts w:hint="eastAsia"/>
              </w:rPr>
              <w:t>0.86</w:t>
            </w:r>
          </w:p>
        </w:tc>
        <w:tc>
          <w:tcPr>
            <w:tcW w:w="378" w:type="pct"/>
            <w:vAlign w:val="center"/>
          </w:tcPr>
          <w:p>
            <w:pPr>
              <w:pStyle w:val="32"/>
            </w:pPr>
            <w:r>
              <w:rPr>
                <w:rFonts w:hint="eastAsia"/>
              </w:rPr>
              <w:t>/</w:t>
            </w:r>
          </w:p>
        </w:tc>
        <w:tc>
          <w:tcPr>
            <w:tcW w:w="457" w:type="pct"/>
            <w:vAlign w:val="center"/>
          </w:tcPr>
          <w:p>
            <w:pPr>
              <w:pStyle w:val="32"/>
            </w:pPr>
            <w:r>
              <w:t>0.00069</w:t>
            </w:r>
          </w:p>
        </w:tc>
        <w:tc>
          <w:tcPr>
            <w:tcW w:w="577" w:type="pct"/>
            <w:vMerge w:val="continue"/>
            <w:vAlign w:val="center"/>
          </w:tcPr>
          <w:p>
            <w:pPr>
              <w:pStyle w:val="32"/>
            </w:pPr>
          </w:p>
        </w:tc>
        <w:tc>
          <w:tcPr>
            <w:tcW w:w="590" w:type="pct"/>
            <w:vAlign w:val="center"/>
          </w:tcPr>
          <w:p>
            <w:pPr>
              <w:pStyle w:val="32"/>
            </w:pPr>
            <w:r>
              <w:rPr>
                <w:rFonts w:hint="eastAsia"/>
              </w:rPr>
              <w:t>0.86</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w:t>
            </w:r>
            <w:r>
              <w:rPr>
                <w:rFonts w:hint="eastAsia"/>
              </w:rPr>
              <w:t>5</w:t>
            </w:r>
          </w:p>
        </w:tc>
        <w:tc>
          <w:tcPr>
            <w:tcW w:w="445" w:type="pct"/>
            <w:vAlign w:val="center"/>
          </w:tcPr>
          <w:p>
            <w:pPr>
              <w:pStyle w:val="32"/>
            </w:pPr>
            <w:r>
              <w:rPr>
                <w:rFonts w:hint="eastAsia"/>
              </w:rPr>
              <w:t>1.7</w:t>
            </w:r>
          </w:p>
        </w:tc>
        <w:tc>
          <w:tcPr>
            <w:tcW w:w="378" w:type="pct"/>
            <w:vAlign w:val="center"/>
          </w:tcPr>
          <w:p>
            <w:pPr>
              <w:pStyle w:val="32"/>
            </w:pPr>
            <w:r>
              <w:rPr>
                <w:rFonts w:hint="eastAsia"/>
              </w:rPr>
              <w:t>/</w:t>
            </w:r>
          </w:p>
        </w:tc>
        <w:tc>
          <w:tcPr>
            <w:tcW w:w="457" w:type="pct"/>
            <w:vAlign w:val="center"/>
          </w:tcPr>
          <w:p>
            <w:pPr>
              <w:pStyle w:val="32"/>
            </w:pPr>
            <w:r>
              <w:t>0.001</w:t>
            </w:r>
            <w:r>
              <w:rPr>
                <w:rFonts w:hint="eastAsia"/>
              </w:rPr>
              <w:t>4</w:t>
            </w:r>
          </w:p>
        </w:tc>
        <w:tc>
          <w:tcPr>
            <w:tcW w:w="577" w:type="pct"/>
            <w:vMerge w:val="continue"/>
            <w:vAlign w:val="center"/>
          </w:tcPr>
          <w:p>
            <w:pPr>
              <w:pStyle w:val="32"/>
            </w:pPr>
          </w:p>
        </w:tc>
        <w:tc>
          <w:tcPr>
            <w:tcW w:w="590" w:type="pct"/>
            <w:vAlign w:val="center"/>
          </w:tcPr>
          <w:p>
            <w:pPr>
              <w:pStyle w:val="32"/>
            </w:pPr>
            <w:r>
              <w:rPr>
                <w:rFonts w:hint="eastAsia"/>
              </w:rPr>
              <w:t>1.7</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S</w:t>
            </w:r>
            <w:r>
              <w:t>S</w:t>
            </w:r>
          </w:p>
        </w:tc>
        <w:tc>
          <w:tcPr>
            <w:tcW w:w="445" w:type="pct"/>
            <w:vAlign w:val="center"/>
          </w:tcPr>
          <w:p>
            <w:pPr>
              <w:pStyle w:val="32"/>
            </w:pPr>
            <w:r>
              <w:rPr>
                <w:rFonts w:hint="eastAsia"/>
              </w:rPr>
              <w:t>5</w:t>
            </w:r>
          </w:p>
        </w:tc>
        <w:tc>
          <w:tcPr>
            <w:tcW w:w="378" w:type="pct"/>
            <w:vAlign w:val="center"/>
          </w:tcPr>
          <w:p>
            <w:pPr>
              <w:pStyle w:val="32"/>
            </w:pPr>
            <w:r>
              <w:rPr>
                <w:rFonts w:hint="eastAsia"/>
              </w:rPr>
              <w:t>/</w:t>
            </w:r>
          </w:p>
        </w:tc>
        <w:tc>
          <w:tcPr>
            <w:tcW w:w="457" w:type="pct"/>
            <w:vAlign w:val="center"/>
          </w:tcPr>
          <w:p>
            <w:pPr>
              <w:pStyle w:val="32"/>
            </w:pPr>
            <w:r>
              <w:t>0.004</w:t>
            </w:r>
          </w:p>
        </w:tc>
        <w:tc>
          <w:tcPr>
            <w:tcW w:w="577" w:type="pct"/>
            <w:vMerge w:val="continue"/>
            <w:vAlign w:val="center"/>
          </w:tcPr>
          <w:p>
            <w:pPr>
              <w:pStyle w:val="32"/>
            </w:pPr>
          </w:p>
        </w:tc>
        <w:tc>
          <w:tcPr>
            <w:tcW w:w="590" w:type="pct"/>
            <w:vAlign w:val="center"/>
          </w:tcPr>
          <w:p>
            <w:pPr>
              <w:pStyle w:val="32"/>
            </w:pPr>
            <w:r>
              <w:rPr>
                <w:rFonts w:hint="eastAsia"/>
              </w:rPr>
              <w:t>2</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石油类</w:t>
            </w:r>
          </w:p>
        </w:tc>
        <w:tc>
          <w:tcPr>
            <w:tcW w:w="445" w:type="pct"/>
            <w:vAlign w:val="center"/>
          </w:tcPr>
          <w:p>
            <w:pPr>
              <w:pStyle w:val="32"/>
            </w:pPr>
            <w:r>
              <w:rPr>
                <w:rFonts w:hint="eastAsia"/>
              </w:rPr>
              <w:t>200</w:t>
            </w:r>
          </w:p>
        </w:tc>
        <w:tc>
          <w:tcPr>
            <w:tcW w:w="378" w:type="pct"/>
            <w:vAlign w:val="center"/>
          </w:tcPr>
          <w:p>
            <w:pPr>
              <w:pStyle w:val="32"/>
            </w:pPr>
            <w:r>
              <w:rPr>
                <w:rFonts w:hint="eastAsia"/>
              </w:rPr>
              <w:t>/</w:t>
            </w:r>
          </w:p>
        </w:tc>
        <w:tc>
          <w:tcPr>
            <w:tcW w:w="457" w:type="pct"/>
            <w:vAlign w:val="center"/>
          </w:tcPr>
          <w:p>
            <w:pPr>
              <w:pStyle w:val="32"/>
            </w:pPr>
            <w:r>
              <w:rPr>
                <w:rFonts w:hint="eastAsia"/>
              </w:rPr>
              <w:t>0.16</w:t>
            </w:r>
          </w:p>
        </w:tc>
        <w:tc>
          <w:tcPr>
            <w:tcW w:w="577" w:type="pct"/>
            <w:vMerge w:val="continue"/>
            <w:vAlign w:val="center"/>
          </w:tcPr>
          <w:p>
            <w:pPr>
              <w:pStyle w:val="32"/>
            </w:pPr>
          </w:p>
        </w:tc>
        <w:tc>
          <w:tcPr>
            <w:tcW w:w="590" w:type="pct"/>
            <w:vAlign w:val="center"/>
          </w:tcPr>
          <w:p>
            <w:pPr>
              <w:pStyle w:val="32"/>
              <w:rPr>
                <w:rFonts w:hint="default" w:eastAsia="宋体"/>
                <w:lang w:val="en-US" w:eastAsia="zh-CN"/>
              </w:rPr>
            </w:pPr>
            <w:r>
              <w:rPr>
                <w:rFonts w:hint="eastAsia"/>
                <w:lang w:val="en-US" w:eastAsia="zh-CN"/>
              </w:rPr>
              <w:t>4.5</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W1-3</w:t>
            </w:r>
          </w:p>
        </w:tc>
        <w:tc>
          <w:tcPr>
            <w:tcW w:w="493" w:type="pct"/>
            <w:vMerge w:val="restart"/>
            <w:vAlign w:val="center"/>
          </w:tcPr>
          <w:p>
            <w:pPr>
              <w:pStyle w:val="32"/>
            </w:pPr>
            <w:r>
              <w:rPr>
                <w:rFonts w:hint="eastAsia"/>
              </w:rPr>
              <w:t>生活污水</w:t>
            </w:r>
          </w:p>
        </w:tc>
        <w:tc>
          <w:tcPr>
            <w:tcW w:w="556" w:type="pct"/>
            <w:vMerge w:val="restart"/>
            <w:vAlign w:val="center"/>
          </w:tcPr>
          <w:p>
            <w:pPr>
              <w:pStyle w:val="32"/>
            </w:pPr>
            <w:r>
              <w:rPr>
                <w:rFonts w:hint="eastAsia"/>
              </w:rPr>
              <w:t>3168</w:t>
            </w:r>
            <w:r>
              <w:t>m</w:t>
            </w:r>
            <w:r>
              <w:rPr>
                <w:vertAlign w:val="superscript"/>
              </w:rPr>
              <w:t>3</w:t>
            </w:r>
            <w:r>
              <w:t>/</w:t>
            </w:r>
            <w:r>
              <w:rPr>
                <w:rFonts w:hint="eastAsia"/>
              </w:rPr>
              <w:t>a</w:t>
            </w:r>
          </w:p>
        </w:tc>
        <w:tc>
          <w:tcPr>
            <w:tcW w:w="457" w:type="pct"/>
            <w:vAlign w:val="center"/>
          </w:tcPr>
          <w:p>
            <w:pPr>
              <w:pStyle w:val="32"/>
            </w:pPr>
            <w:r>
              <w:rPr>
                <w:rFonts w:hint="eastAsia"/>
              </w:rPr>
              <w:t>pH</w:t>
            </w:r>
          </w:p>
        </w:tc>
        <w:tc>
          <w:tcPr>
            <w:tcW w:w="445" w:type="pct"/>
            <w:vAlign w:val="center"/>
          </w:tcPr>
          <w:p>
            <w:pPr>
              <w:pStyle w:val="32"/>
            </w:pPr>
            <w:r>
              <w:rPr>
                <w:rFonts w:hint="eastAsia"/>
              </w:rPr>
              <w:t>6～9</w:t>
            </w:r>
          </w:p>
        </w:tc>
        <w:tc>
          <w:tcPr>
            <w:tcW w:w="378" w:type="pct"/>
          </w:tcPr>
          <w:p>
            <w:pPr>
              <w:pStyle w:val="32"/>
            </w:pPr>
            <w:r>
              <w:rPr>
                <w:rFonts w:hint="eastAsia"/>
              </w:rPr>
              <w:t>/</w:t>
            </w:r>
          </w:p>
        </w:tc>
        <w:tc>
          <w:tcPr>
            <w:tcW w:w="457" w:type="pct"/>
          </w:tcPr>
          <w:p>
            <w:pPr>
              <w:pStyle w:val="32"/>
            </w:pPr>
            <w:r>
              <w:rPr>
                <w:rFonts w:hint="eastAsia"/>
              </w:rPr>
              <w:t>/</w:t>
            </w:r>
          </w:p>
        </w:tc>
        <w:tc>
          <w:tcPr>
            <w:tcW w:w="577" w:type="pct"/>
            <w:vMerge w:val="restart"/>
            <w:shd w:val="clear" w:color="auto" w:fill="auto"/>
            <w:vAlign w:val="center"/>
          </w:tcPr>
          <w:p>
            <w:pPr>
              <w:pStyle w:val="32"/>
            </w:pPr>
            <w:r>
              <w:rPr>
                <w:rFonts w:hint="eastAsia"/>
              </w:rPr>
              <w:t>生活污水经过化粪池、隔油池预处理</w:t>
            </w:r>
          </w:p>
        </w:tc>
        <w:tc>
          <w:tcPr>
            <w:tcW w:w="590" w:type="pct"/>
            <w:shd w:val="clear" w:color="auto" w:fill="auto"/>
            <w:vAlign w:val="center"/>
          </w:tcPr>
          <w:p>
            <w:pPr>
              <w:pStyle w:val="32"/>
            </w:pPr>
            <w:r>
              <w:rPr>
                <w:rFonts w:hint="eastAsia"/>
              </w:rPr>
              <w:t>6~9</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w:t>
            </w:r>
            <w:r>
              <w:rPr>
                <w:rFonts w:hint="eastAsia"/>
              </w:rPr>
              <w:t>5</w:t>
            </w:r>
          </w:p>
        </w:tc>
        <w:tc>
          <w:tcPr>
            <w:tcW w:w="445" w:type="pct"/>
            <w:vAlign w:val="center"/>
          </w:tcPr>
          <w:p>
            <w:pPr>
              <w:pStyle w:val="32"/>
            </w:pPr>
            <w:r>
              <w:rPr>
                <w:rFonts w:hint="eastAsia"/>
              </w:rPr>
              <w:t>200</w:t>
            </w:r>
          </w:p>
        </w:tc>
        <w:tc>
          <w:tcPr>
            <w:tcW w:w="378" w:type="pct"/>
            <w:vAlign w:val="center"/>
          </w:tcPr>
          <w:p>
            <w:pPr>
              <w:pStyle w:val="32"/>
            </w:pPr>
            <w:r>
              <w:t>1.92</w:t>
            </w:r>
          </w:p>
        </w:tc>
        <w:tc>
          <w:tcPr>
            <w:tcW w:w="457" w:type="pct"/>
          </w:tcPr>
          <w:p>
            <w:pPr>
              <w:pStyle w:val="32"/>
            </w:pPr>
            <w:r>
              <w:t>0.63</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150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S</w:t>
            </w:r>
            <w:r>
              <w:t>S</w:t>
            </w:r>
          </w:p>
        </w:tc>
        <w:tc>
          <w:tcPr>
            <w:tcW w:w="445" w:type="pct"/>
            <w:vAlign w:val="center"/>
          </w:tcPr>
          <w:p>
            <w:pPr>
              <w:pStyle w:val="32"/>
            </w:pPr>
            <w:r>
              <w:rPr>
                <w:rFonts w:hint="eastAsia"/>
              </w:rPr>
              <w:t>300</w:t>
            </w:r>
          </w:p>
        </w:tc>
        <w:tc>
          <w:tcPr>
            <w:tcW w:w="378" w:type="pct"/>
            <w:vAlign w:val="center"/>
          </w:tcPr>
          <w:p>
            <w:pPr>
              <w:pStyle w:val="32"/>
            </w:pPr>
            <w:r>
              <w:t xml:space="preserve">2.88 </w:t>
            </w:r>
          </w:p>
        </w:tc>
        <w:tc>
          <w:tcPr>
            <w:tcW w:w="457" w:type="pct"/>
          </w:tcPr>
          <w:p>
            <w:pPr>
              <w:pStyle w:val="32"/>
            </w:pPr>
            <w:r>
              <w:t>0.95</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90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COD</w:t>
            </w:r>
          </w:p>
        </w:tc>
        <w:tc>
          <w:tcPr>
            <w:tcW w:w="445" w:type="pct"/>
            <w:vAlign w:val="center"/>
          </w:tcPr>
          <w:p>
            <w:pPr>
              <w:pStyle w:val="32"/>
            </w:pPr>
            <w:r>
              <w:rPr>
                <w:rFonts w:hint="eastAsia"/>
              </w:rPr>
              <w:t>350</w:t>
            </w:r>
          </w:p>
        </w:tc>
        <w:tc>
          <w:tcPr>
            <w:tcW w:w="378" w:type="pct"/>
            <w:vAlign w:val="center"/>
          </w:tcPr>
          <w:p>
            <w:pPr>
              <w:pStyle w:val="32"/>
            </w:pPr>
            <w:r>
              <w:t xml:space="preserve">3.36 </w:t>
            </w:r>
          </w:p>
        </w:tc>
        <w:tc>
          <w:tcPr>
            <w:tcW w:w="457" w:type="pct"/>
          </w:tcPr>
          <w:p>
            <w:pPr>
              <w:pStyle w:val="32"/>
            </w:pPr>
            <w:r>
              <w:t>1.1</w:t>
            </w:r>
            <w:r>
              <w:rPr>
                <w:rFonts w:hint="eastAsia"/>
              </w:rPr>
              <w:t>1</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300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NH</w:t>
            </w:r>
            <w:r>
              <w:rPr>
                <w:rFonts w:hint="eastAsia"/>
                <w:vertAlign w:val="subscript"/>
              </w:rPr>
              <w:t>3</w:t>
            </w:r>
            <w:r>
              <w:rPr>
                <w:rFonts w:hint="eastAsia"/>
              </w:rPr>
              <w:t>-N</w:t>
            </w:r>
          </w:p>
        </w:tc>
        <w:tc>
          <w:tcPr>
            <w:tcW w:w="445" w:type="pct"/>
            <w:vAlign w:val="center"/>
          </w:tcPr>
          <w:p>
            <w:pPr>
              <w:pStyle w:val="32"/>
            </w:pPr>
            <w:r>
              <w:rPr>
                <w:rFonts w:hint="eastAsia"/>
              </w:rPr>
              <w:t>20</w:t>
            </w:r>
          </w:p>
        </w:tc>
        <w:tc>
          <w:tcPr>
            <w:tcW w:w="378" w:type="pct"/>
            <w:vAlign w:val="center"/>
          </w:tcPr>
          <w:p>
            <w:pPr>
              <w:pStyle w:val="32"/>
            </w:pPr>
            <w:r>
              <w:t>0.192</w:t>
            </w:r>
          </w:p>
        </w:tc>
        <w:tc>
          <w:tcPr>
            <w:tcW w:w="457" w:type="pct"/>
          </w:tcPr>
          <w:p>
            <w:pPr>
              <w:pStyle w:val="32"/>
            </w:pPr>
            <w:r>
              <w:t>0.063</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15</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动植物油</w:t>
            </w:r>
          </w:p>
        </w:tc>
        <w:tc>
          <w:tcPr>
            <w:tcW w:w="445" w:type="pct"/>
            <w:vAlign w:val="center"/>
          </w:tcPr>
          <w:p>
            <w:pPr>
              <w:pStyle w:val="32"/>
            </w:pPr>
            <w:r>
              <w:rPr>
                <w:rFonts w:hint="eastAsia"/>
              </w:rPr>
              <w:t>70</w:t>
            </w:r>
          </w:p>
        </w:tc>
        <w:tc>
          <w:tcPr>
            <w:tcW w:w="378" w:type="pct"/>
            <w:vAlign w:val="center"/>
          </w:tcPr>
          <w:p>
            <w:pPr>
              <w:pStyle w:val="32"/>
            </w:pPr>
            <w:r>
              <w:t xml:space="preserve">0.67 </w:t>
            </w:r>
          </w:p>
        </w:tc>
        <w:tc>
          <w:tcPr>
            <w:tcW w:w="457" w:type="pct"/>
          </w:tcPr>
          <w:p>
            <w:pPr>
              <w:pStyle w:val="32"/>
            </w:pPr>
            <w:r>
              <w:t>0.22</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8</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W1-4</w:t>
            </w:r>
          </w:p>
        </w:tc>
        <w:tc>
          <w:tcPr>
            <w:tcW w:w="493" w:type="pct"/>
            <w:vMerge w:val="restart"/>
            <w:vAlign w:val="center"/>
          </w:tcPr>
          <w:p>
            <w:pPr>
              <w:pStyle w:val="32"/>
            </w:pPr>
            <w:r>
              <w:rPr>
                <w:rFonts w:hint="eastAsia"/>
              </w:rPr>
              <w:t>初期雨水</w:t>
            </w:r>
          </w:p>
        </w:tc>
        <w:tc>
          <w:tcPr>
            <w:tcW w:w="556" w:type="pct"/>
            <w:vMerge w:val="restart"/>
            <w:vAlign w:val="center"/>
          </w:tcPr>
          <w:p>
            <w:pPr>
              <w:pStyle w:val="32"/>
            </w:pPr>
            <w:r>
              <w:rPr>
                <w:rFonts w:hint="eastAsia"/>
              </w:rPr>
              <w:t>528.99</w:t>
            </w:r>
            <w:r>
              <w:t>m</w:t>
            </w:r>
            <w:r>
              <w:rPr>
                <w:vertAlign w:val="superscript"/>
              </w:rPr>
              <w:t>3</w:t>
            </w:r>
            <w:r>
              <w:t>/</w:t>
            </w:r>
            <w:r>
              <w:rPr>
                <w:rFonts w:hint="eastAsia"/>
              </w:rPr>
              <w:t>次（26449.5</w:t>
            </w:r>
            <w:r>
              <w:t>m</w:t>
            </w:r>
            <w:r>
              <w:rPr>
                <w:vertAlign w:val="superscript"/>
              </w:rPr>
              <w:t>3</w:t>
            </w:r>
            <w:r>
              <w:t>/</w:t>
            </w:r>
            <w:r>
              <w:rPr>
                <w:rFonts w:hint="eastAsia"/>
              </w:rPr>
              <w:t>a）</w:t>
            </w:r>
          </w:p>
        </w:tc>
        <w:tc>
          <w:tcPr>
            <w:tcW w:w="457" w:type="pct"/>
            <w:vAlign w:val="center"/>
          </w:tcPr>
          <w:p>
            <w:pPr>
              <w:pStyle w:val="32"/>
            </w:pPr>
            <w:r>
              <w:rPr>
                <w:rFonts w:hint="eastAsia"/>
              </w:rPr>
              <w:t>氨氮</w:t>
            </w:r>
          </w:p>
        </w:tc>
        <w:tc>
          <w:tcPr>
            <w:tcW w:w="445" w:type="pct"/>
            <w:vAlign w:val="center"/>
          </w:tcPr>
          <w:p>
            <w:pPr>
              <w:pStyle w:val="32"/>
            </w:pPr>
            <w:r>
              <w:t>0.568</w:t>
            </w:r>
          </w:p>
        </w:tc>
        <w:tc>
          <w:tcPr>
            <w:tcW w:w="378" w:type="pct"/>
          </w:tcPr>
          <w:p>
            <w:pPr>
              <w:pStyle w:val="32"/>
            </w:pPr>
            <w:r>
              <w:rPr>
                <w:rFonts w:hint="eastAsia"/>
              </w:rPr>
              <w:t>/</w:t>
            </w:r>
          </w:p>
        </w:tc>
        <w:tc>
          <w:tcPr>
            <w:tcW w:w="457" w:type="pct"/>
            <w:vAlign w:val="center"/>
          </w:tcPr>
          <w:p>
            <w:pPr>
              <w:pStyle w:val="32"/>
            </w:pPr>
            <w:r>
              <w:t>0.015</w:t>
            </w:r>
          </w:p>
        </w:tc>
        <w:tc>
          <w:tcPr>
            <w:tcW w:w="577" w:type="pct"/>
            <w:vMerge w:val="restart"/>
            <w:shd w:val="clear" w:color="auto" w:fill="auto"/>
            <w:vAlign w:val="center"/>
          </w:tcPr>
          <w:p>
            <w:pPr>
              <w:pStyle w:val="32"/>
            </w:pPr>
            <w:r>
              <w:rPr>
                <w:rFonts w:hint="eastAsia"/>
              </w:rPr>
              <w:t>初期雨水收集池沉淀处理</w:t>
            </w:r>
          </w:p>
        </w:tc>
        <w:tc>
          <w:tcPr>
            <w:tcW w:w="590" w:type="pct"/>
            <w:shd w:val="clear" w:color="auto" w:fill="auto"/>
            <w:vAlign w:val="center"/>
          </w:tcPr>
          <w:p>
            <w:pPr>
              <w:pStyle w:val="32"/>
            </w:pPr>
            <w:r>
              <w:t>0.568</w:t>
            </w:r>
          </w:p>
        </w:tc>
        <w:tc>
          <w:tcPr>
            <w:tcW w:w="740" w:type="pct"/>
            <w:vMerge w:val="restart"/>
            <w:shd w:val="clear" w:color="auto" w:fill="auto"/>
            <w:vAlign w:val="center"/>
          </w:tcPr>
          <w:p>
            <w:pPr>
              <w:pStyle w:val="32"/>
            </w:pPr>
            <w:r>
              <w:rPr>
                <w:rFonts w:hint="eastAsia"/>
              </w:rPr>
              <w:t>回用于晴天厂区绿化和道路清扫，剩余部分用于冷却循环补充水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OD5</w:t>
            </w:r>
          </w:p>
        </w:tc>
        <w:tc>
          <w:tcPr>
            <w:tcW w:w="445" w:type="pct"/>
            <w:vAlign w:val="center"/>
          </w:tcPr>
          <w:p>
            <w:pPr>
              <w:pStyle w:val="32"/>
            </w:pPr>
            <w:r>
              <w:rPr>
                <w:rFonts w:hint="eastAsia"/>
              </w:rPr>
              <w:t>2</w:t>
            </w:r>
            <w:r>
              <w:t>.5</w:t>
            </w:r>
          </w:p>
        </w:tc>
        <w:tc>
          <w:tcPr>
            <w:tcW w:w="378" w:type="pct"/>
          </w:tcPr>
          <w:p>
            <w:pPr>
              <w:pStyle w:val="32"/>
            </w:pPr>
            <w:r>
              <w:rPr>
                <w:rFonts w:hint="eastAsia"/>
              </w:rPr>
              <w:t>/</w:t>
            </w:r>
          </w:p>
        </w:tc>
        <w:tc>
          <w:tcPr>
            <w:tcW w:w="457" w:type="pct"/>
            <w:vAlign w:val="center"/>
          </w:tcPr>
          <w:p>
            <w:pPr>
              <w:pStyle w:val="32"/>
            </w:pPr>
            <w:r>
              <w:t>0.066</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t>2.5</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COD</w:t>
            </w:r>
          </w:p>
        </w:tc>
        <w:tc>
          <w:tcPr>
            <w:tcW w:w="445" w:type="pct"/>
            <w:vAlign w:val="center"/>
          </w:tcPr>
          <w:p>
            <w:pPr>
              <w:pStyle w:val="32"/>
            </w:pPr>
            <w:r>
              <w:t>10</w:t>
            </w:r>
          </w:p>
        </w:tc>
        <w:tc>
          <w:tcPr>
            <w:tcW w:w="378" w:type="pct"/>
            <w:vAlign w:val="center"/>
          </w:tcPr>
          <w:p>
            <w:pPr>
              <w:pStyle w:val="32"/>
            </w:pPr>
            <w:r>
              <w:rPr>
                <w:rFonts w:hint="eastAsia"/>
              </w:rPr>
              <w:t>/</w:t>
            </w:r>
          </w:p>
        </w:tc>
        <w:tc>
          <w:tcPr>
            <w:tcW w:w="457" w:type="pct"/>
            <w:vAlign w:val="center"/>
          </w:tcPr>
          <w:p>
            <w:pPr>
              <w:pStyle w:val="32"/>
            </w:pPr>
            <w:r>
              <w:t>0.26</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t>1</w:t>
            </w:r>
            <w:r>
              <w:rPr>
                <w:rFonts w:hint="eastAsia"/>
              </w:rPr>
              <w:t>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t>SS</w:t>
            </w:r>
          </w:p>
        </w:tc>
        <w:tc>
          <w:tcPr>
            <w:tcW w:w="445" w:type="pct"/>
            <w:vAlign w:val="center"/>
          </w:tcPr>
          <w:p>
            <w:pPr>
              <w:pStyle w:val="32"/>
            </w:pPr>
            <w:r>
              <w:t>7</w:t>
            </w:r>
          </w:p>
        </w:tc>
        <w:tc>
          <w:tcPr>
            <w:tcW w:w="378" w:type="pct"/>
            <w:vAlign w:val="center"/>
          </w:tcPr>
          <w:p>
            <w:pPr>
              <w:pStyle w:val="32"/>
            </w:pPr>
            <w:r>
              <w:rPr>
                <w:rFonts w:hint="eastAsia"/>
              </w:rPr>
              <w:t>/</w:t>
            </w:r>
          </w:p>
        </w:tc>
        <w:tc>
          <w:tcPr>
            <w:tcW w:w="457" w:type="pct"/>
            <w:vAlign w:val="center"/>
          </w:tcPr>
          <w:p>
            <w:pPr>
              <w:pStyle w:val="32"/>
            </w:pPr>
            <w:r>
              <w:t>0.1</w:t>
            </w:r>
            <w:r>
              <w:rPr>
                <w:rFonts w:hint="eastAsia"/>
              </w:rPr>
              <w:t>9</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t>2</w:t>
            </w:r>
          </w:p>
        </w:tc>
        <w:tc>
          <w:tcPr>
            <w:tcW w:w="740" w:type="pct"/>
            <w:vMerge w:val="continue"/>
            <w:shd w:val="clear" w:color="auto" w:fill="auto"/>
            <w:vAlign w:val="center"/>
          </w:tcPr>
          <w:p>
            <w:pPr>
              <w:pStyle w:val="32"/>
            </w:pPr>
          </w:p>
        </w:tc>
      </w:tr>
    </w:tbl>
    <w:p>
      <w:pPr>
        <w:pStyle w:val="7"/>
        <w:ind w:firstLine="480"/>
        <w:sectPr>
          <w:pgSz w:w="16838" w:h="11906" w:orient="landscape"/>
          <w:pgMar w:top="1800" w:right="1440" w:bottom="1800" w:left="1440" w:header="851" w:footer="992" w:gutter="0"/>
          <w:cols w:space="425" w:num="1"/>
          <w:docGrid w:type="lines" w:linePitch="312" w:charSpace="0"/>
        </w:sectPr>
      </w:pPr>
    </w:p>
    <w:p>
      <w:pPr>
        <w:pStyle w:val="9"/>
      </w:pPr>
      <w:r>
        <w:rPr>
          <w:rFonts w:hint="eastAsia"/>
        </w:rPr>
        <w:t>4.4.1.3噪声</w:t>
      </w:r>
    </w:p>
    <w:p>
      <w:pPr>
        <w:pStyle w:val="7"/>
        <w:ind w:firstLine="480"/>
      </w:pPr>
      <w:r>
        <w:rPr>
          <w:rFonts w:hint="eastAsia"/>
        </w:rPr>
        <w:t>本项目主要噪声源包括锯切机、铝灰分离机、风机等，设备源强声压级为75～95dB(A)。本项目采取的降噪措施主要包括基础减震、隔声罩、厂房隔声等。本项目主要噪声源情况见表4.4-6。</w:t>
      </w:r>
    </w:p>
    <w:p>
      <w:pPr>
        <w:pStyle w:val="31"/>
      </w:pPr>
      <w:r>
        <w:rPr>
          <w:rFonts w:hint="eastAsia"/>
        </w:rPr>
        <w:t>表4.4-6  项目主要噪声污染源产排情况一览表 单位：（dB）</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1577"/>
        <w:gridCol w:w="1340"/>
        <w:gridCol w:w="1460"/>
        <w:gridCol w:w="1069"/>
        <w:gridCol w:w="2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序号</w:t>
            </w:r>
          </w:p>
        </w:tc>
        <w:tc>
          <w:tcPr>
            <w:tcW w:w="925" w:type="pct"/>
            <w:vAlign w:val="center"/>
          </w:tcPr>
          <w:p>
            <w:pPr>
              <w:pStyle w:val="32"/>
            </w:pPr>
            <w:r>
              <w:rPr>
                <w:rFonts w:hint="eastAsia"/>
              </w:rPr>
              <w:t>噪声源</w:t>
            </w:r>
          </w:p>
        </w:tc>
        <w:tc>
          <w:tcPr>
            <w:tcW w:w="786" w:type="pct"/>
            <w:vAlign w:val="center"/>
          </w:tcPr>
          <w:p>
            <w:pPr>
              <w:pStyle w:val="32"/>
            </w:pPr>
            <w:r>
              <w:rPr>
                <w:rFonts w:hint="eastAsia"/>
              </w:rPr>
              <w:t>声级dB（A）</w:t>
            </w:r>
          </w:p>
        </w:tc>
        <w:tc>
          <w:tcPr>
            <w:tcW w:w="856" w:type="pct"/>
            <w:vAlign w:val="center"/>
          </w:tcPr>
          <w:p>
            <w:pPr>
              <w:pStyle w:val="32"/>
            </w:pPr>
            <w:r>
              <w:rPr>
                <w:rFonts w:hint="eastAsia"/>
              </w:rPr>
              <w:t>设备台数</w:t>
            </w:r>
          </w:p>
        </w:tc>
        <w:tc>
          <w:tcPr>
            <w:tcW w:w="627" w:type="pct"/>
            <w:vAlign w:val="center"/>
          </w:tcPr>
          <w:p>
            <w:pPr>
              <w:pStyle w:val="32"/>
            </w:pPr>
            <w:r>
              <w:rPr>
                <w:rFonts w:hint="eastAsia"/>
              </w:rPr>
              <w:t>排放规律</w:t>
            </w:r>
          </w:p>
        </w:tc>
        <w:tc>
          <w:tcPr>
            <w:tcW w:w="1331" w:type="pct"/>
            <w:vAlign w:val="center"/>
          </w:tcPr>
          <w:p>
            <w:pPr>
              <w:pStyle w:val="32"/>
            </w:pPr>
            <w:r>
              <w:rPr>
                <w:rFonts w:hint="eastAsia"/>
              </w:rPr>
              <w:t>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1</w:t>
            </w:r>
          </w:p>
        </w:tc>
        <w:tc>
          <w:tcPr>
            <w:tcW w:w="925" w:type="pct"/>
            <w:vAlign w:val="center"/>
          </w:tcPr>
          <w:p>
            <w:pPr>
              <w:pStyle w:val="32"/>
            </w:pPr>
            <w:r>
              <w:rPr>
                <w:rFonts w:hint="eastAsia"/>
              </w:rPr>
              <w:t>锯切机</w:t>
            </w:r>
          </w:p>
        </w:tc>
        <w:tc>
          <w:tcPr>
            <w:tcW w:w="786" w:type="pct"/>
            <w:vAlign w:val="center"/>
          </w:tcPr>
          <w:p>
            <w:pPr>
              <w:pStyle w:val="32"/>
            </w:pPr>
            <w:r>
              <w:rPr>
                <w:rFonts w:hint="eastAsia"/>
              </w:rPr>
              <w:t>95</w:t>
            </w:r>
          </w:p>
        </w:tc>
        <w:tc>
          <w:tcPr>
            <w:tcW w:w="856" w:type="pct"/>
            <w:vAlign w:val="center"/>
          </w:tcPr>
          <w:p>
            <w:pPr>
              <w:pStyle w:val="32"/>
            </w:pPr>
            <w:r>
              <w:rPr>
                <w:rFonts w:hint="eastAsia"/>
              </w:rPr>
              <w:t>3</w:t>
            </w:r>
          </w:p>
        </w:tc>
        <w:tc>
          <w:tcPr>
            <w:tcW w:w="627" w:type="pct"/>
            <w:vAlign w:val="center"/>
          </w:tcPr>
          <w:p>
            <w:pPr>
              <w:pStyle w:val="32"/>
            </w:pPr>
            <w:r>
              <w:rPr>
                <w:rFonts w:hint="eastAsia"/>
              </w:rPr>
              <w:t>间断</w:t>
            </w:r>
          </w:p>
        </w:tc>
        <w:tc>
          <w:tcPr>
            <w:tcW w:w="1331" w:type="pct"/>
            <w:vAlign w:val="center"/>
          </w:tcPr>
          <w:p>
            <w:pPr>
              <w:pStyle w:val="32"/>
            </w:pPr>
            <w:r>
              <w:rPr>
                <w:rFonts w:hint="eastAsia"/>
              </w:rPr>
              <w:t>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2</w:t>
            </w:r>
          </w:p>
        </w:tc>
        <w:tc>
          <w:tcPr>
            <w:tcW w:w="925" w:type="pct"/>
            <w:vAlign w:val="center"/>
          </w:tcPr>
          <w:p>
            <w:pPr>
              <w:pStyle w:val="32"/>
            </w:pPr>
            <w:r>
              <w:rPr>
                <w:rFonts w:hint="eastAsia"/>
              </w:rPr>
              <w:t>铝灰分离机</w:t>
            </w:r>
          </w:p>
        </w:tc>
        <w:tc>
          <w:tcPr>
            <w:tcW w:w="786" w:type="pct"/>
            <w:vAlign w:val="center"/>
          </w:tcPr>
          <w:p>
            <w:pPr>
              <w:pStyle w:val="32"/>
            </w:pPr>
            <w:r>
              <w:rPr>
                <w:rFonts w:hint="eastAsia"/>
              </w:rPr>
              <w:t>90</w:t>
            </w:r>
          </w:p>
        </w:tc>
        <w:tc>
          <w:tcPr>
            <w:tcW w:w="856" w:type="pct"/>
            <w:vAlign w:val="center"/>
          </w:tcPr>
          <w:p>
            <w:pPr>
              <w:pStyle w:val="32"/>
            </w:pPr>
            <w:r>
              <w:rPr>
                <w:rFonts w:hint="eastAsia"/>
              </w:rPr>
              <w:t>2</w:t>
            </w:r>
          </w:p>
        </w:tc>
        <w:tc>
          <w:tcPr>
            <w:tcW w:w="627" w:type="pct"/>
            <w:vAlign w:val="center"/>
          </w:tcPr>
          <w:p>
            <w:pPr>
              <w:pStyle w:val="32"/>
            </w:pPr>
            <w:r>
              <w:rPr>
                <w:rFonts w:hint="eastAsia"/>
              </w:rPr>
              <w:t>连续</w:t>
            </w:r>
          </w:p>
        </w:tc>
        <w:tc>
          <w:tcPr>
            <w:tcW w:w="1331" w:type="pct"/>
            <w:vAlign w:val="center"/>
          </w:tcPr>
          <w:p>
            <w:pPr>
              <w:pStyle w:val="32"/>
            </w:pPr>
            <w:r>
              <w:rPr>
                <w:rFonts w:hint="eastAsia"/>
              </w:rPr>
              <w:t>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3</w:t>
            </w:r>
          </w:p>
        </w:tc>
        <w:tc>
          <w:tcPr>
            <w:tcW w:w="925" w:type="pct"/>
            <w:vAlign w:val="center"/>
          </w:tcPr>
          <w:p>
            <w:pPr>
              <w:pStyle w:val="32"/>
            </w:pPr>
            <w:r>
              <w:rPr>
                <w:rFonts w:hint="eastAsia"/>
              </w:rPr>
              <w:t>冷却塔</w:t>
            </w:r>
          </w:p>
        </w:tc>
        <w:tc>
          <w:tcPr>
            <w:tcW w:w="786" w:type="pct"/>
            <w:vAlign w:val="center"/>
          </w:tcPr>
          <w:p>
            <w:pPr>
              <w:pStyle w:val="32"/>
            </w:pPr>
            <w:r>
              <w:rPr>
                <w:rFonts w:hint="eastAsia"/>
              </w:rPr>
              <w:t>75</w:t>
            </w:r>
          </w:p>
        </w:tc>
        <w:tc>
          <w:tcPr>
            <w:tcW w:w="856" w:type="pct"/>
            <w:vAlign w:val="center"/>
          </w:tcPr>
          <w:p>
            <w:pPr>
              <w:pStyle w:val="32"/>
            </w:pPr>
            <w:r>
              <w:rPr>
                <w:rFonts w:hint="eastAsia"/>
              </w:rPr>
              <w:t>4</w:t>
            </w:r>
          </w:p>
        </w:tc>
        <w:tc>
          <w:tcPr>
            <w:tcW w:w="627" w:type="pct"/>
            <w:vAlign w:val="center"/>
          </w:tcPr>
          <w:p>
            <w:pPr>
              <w:pStyle w:val="32"/>
            </w:pPr>
            <w:r>
              <w:rPr>
                <w:rFonts w:hint="eastAsia"/>
              </w:rPr>
              <w:t>连续</w:t>
            </w:r>
          </w:p>
        </w:tc>
        <w:tc>
          <w:tcPr>
            <w:tcW w:w="1331" w:type="pct"/>
            <w:vAlign w:val="center"/>
          </w:tcPr>
          <w:p>
            <w:pPr>
              <w:pStyle w:val="32"/>
            </w:pPr>
            <w:r>
              <w:rPr>
                <w:rFonts w:hint="eastAsia"/>
              </w:rPr>
              <w:t>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4</w:t>
            </w:r>
          </w:p>
        </w:tc>
        <w:tc>
          <w:tcPr>
            <w:tcW w:w="925" w:type="pct"/>
            <w:vAlign w:val="center"/>
          </w:tcPr>
          <w:p>
            <w:pPr>
              <w:pStyle w:val="32"/>
            </w:pPr>
            <w:r>
              <w:rPr>
                <w:rFonts w:hint="eastAsia"/>
              </w:rPr>
              <w:t>风机</w:t>
            </w:r>
          </w:p>
        </w:tc>
        <w:tc>
          <w:tcPr>
            <w:tcW w:w="786" w:type="pct"/>
            <w:vAlign w:val="center"/>
          </w:tcPr>
          <w:p>
            <w:pPr>
              <w:pStyle w:val="32"/>
            </w:pPr>
            <w:r>
              <w:rPr>
                <w:rFonts w:hint="eastAsia"/>
              </w:rPr>
              <w:t>90</w:t>
            </w:r>
          </w:p>
        </w:tc>
        <w:tc>
          <w:tcPr>
            <w:tcW w:w="856" w:type="pct"/>
            <w:vAlign w:val="center"/>
          </w:tcPr>
          <w:p>
            <w:pPr>
              <w:pStyle w:val="32"/>
            </w:pPr>
            <w:r>
              <w:rPr>
                <w:rFonts w:hint="eastAsia"/>
              </w:rPr>
              <w:t>2</w:t>
            </w:r>
          </w:p>
        </w:tc>
        <w:tc>
          <w:tcPr>
            <w:tcW w:w="627" w:type="pct"/>
            <w:vAlign w:val="center"/>
          </w:tcPr>
          <w:p>
            <w:pPr>
              <w:pStyle w:val="32"/>
            </w:pPr>
            <w:r>
              <w:rPr>
                <w:rFonts w:hint="eastAsia"/>
              </w:rPr>
              <w:t>连续</w:t>
            </w:r>
          </w:p>
        </w:tc>
        <w:tc>
          <w:tcPr>
            <w:tcW w:w="1331" w:type="pct"/>
            <w:vAlign w:val="center"/>
          </w:tcPr>
          <w:p>
            <w:pPr>
              <w:pStyle w:val="32"/>
            </w:pPr>
            <w:r>
              <w:rPr>
                <w:rFonts w:hint="eastAsia"/>
              </w:rPr>
              <w:t>隔声、消声、减震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5</w:t>
            </w:r>
          </w:p>
        </w:tc>
        <w:tc>
          <w:tcPr>
            <w:tcW w:w="925" w:type="pct"/>
            <w:vAlign w:val="center"/>
          </w:tcPr>
          <w:p>
            <w:pPr>
              <w:pStyle w:val="32"/>
            </w:pPr>
            <w:r>
              <w:rPr>
                <w:rFonts w:hint="eastAsia"/>
              </w:rPr>
              <w:t>循环水泵</w:t>
            </w:r>
          </w:p>
        </w:tc>
        <w:tc>
          <w:tcPr>
            <w:tcW w:w="786" w:type="pct"/>
            <w:vAlign w:val="center"/>
          </w:tcPr>
          <w:p>
            <w:pPr>
              <w:pStyle w:val="32"/>
            </w:pPr>
            <w:r>
              <w:rPr>
                <w:rFonts w:hint="eastAsia"/>
              </w:rPr>
              <w:t>85</w:t>
            </w:r>
          </w:p>
        </w:tc>
        <w:tc>
          <w:tcPr>
            <w:tcW w:w="856" w:type="pct"/>
            <w:vAlign w:val="center"/>
          </w:tcPr>
          <w:p>
            <w:pPr>
              <w:pStyle w:val="32"/>
            </w:pPr>
            <w:r>
              <w:rPr>
                <w:rFonts w:hint="eastAsia"/>
              </w:rPr>
              <w:t>3</w:t>
            </w:r>
          </w:p>
        </w:tc>
        <w:tc>
          <w:tcPr>
            <w:tcW w:w="627" w:type="pct"/>
            <w:vAlign w:val="center"/>
          </w:tcPr>
          <w:p>
            <w:pPr>
              <w:pStyle w:val="32"/>
            </w:pPr>
            <w:r>
              <w:rPr>
                <w:rFonts w:hint="eastAsia"/>
              </w:rPr>
              <w:t>连续</w:t>
            </w:r>
          </w:p>
        </w:tc>
        <w:tc>
          <w:tcPr>
            <w:tcW w:w="1331" w:type="pct"/>
            <w:vAlign w:val="center"/>
          </w:tcPr>
          <w:p>
            <w:pPr>
              <w:pStyle w:val="32"/>
            </w:pPr>
            <w:r>
              <w:rPr>
                <w:rFonts w:hint="eastAsia"/>
              </w:rPr>
              <w:t>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0" w:type="auto"/>
          </w:tcPr>
          <w:p>
            <w:pPr>
              <w:pStyle w:val="32"/>
            </w:pPr>
            <w:r>
              <w:rPr>
                <w:rFonts w:hint="eastAsia"/>
              </w:rPr>
              <w:t>6</w:t>
            </w:r>
          </w:p>
        </w:tc>
        <w:tc>
          <w:tcPr>
            <w:tcW w:w="0" w:type="auto"/>
            <w:vAlign w:val="center"/>
          </w:tcPr>
          <w:p>
            <w:pPr>
              <w:pStyle w:val="32"/>
            </w:pPr>
            <w:r>
              <w:rPr>
                <w:rFonts w:hint="eastAsia"/>
              </w:rPr>
              <w:t>空压机</w:t>
            </w:r>
          </w:p>
        </w:tc>
        <w:tc>
          <w:tcPr>
            <w:tcW w:w="0" w:type="auto"/>
            <w:vAlign w:val="center"/>
          </w:tcPr>
          <w:p>
            <w:pPr>
              <w:pStyle w:val="32"/>
            </w:pPr>
            <w:r>
              <w:rPr>
                <w:rFonts w:hint="eastAsia"/>
              </w:rPr>
              <w:t>95</w:t>
            </w:r>
          </w:p>
        </w:tc>
        <w:tc>
          <w:tcPr>
            <w:tcW w:w="0" w:type="auto"/>
            <w:vAlign w:val="center"/>
          </w:tcPr>
          <w:p>
            <w:pPr>
              <w:pStyle w:val="32"/>
            </w:pPr>
            <w:r>
              <w:rPr>
                <w:rFonts w:hint="eastAsia"/>
              </w:rPr>
              <w:t>1</w:t>
            </w:r>
          </w:p>
        </w:tc>
        <w:tc>
          <w:tcPr>
            <w:tcW w:w="0" w:type="auto"/>
            <w:vAlign w:val="center"/>
          </w:tcPr>
          <w:p>
            <w:pPr>
              <w:pStyle w:val="32"/>
            </w:pPr>
            <w:r>
              <w:rPr>
                <w:rFonts w:hint="eastAsia"/>
              </w:rPr>
              <w:t>连续</w:t>
            </w:r>
          </w:p>
        </w:tc>
        <w:tc>
          <w:tcPr>
            <w:tcW w:w="0" w:type="auto"/>
            <w:vAlign w:val="center"/>
          </w:tcPr>
          <w:p>
            <w:pPr>
              <w:pStyle w:val="32"/>
            </w:pPr>
            <w:r>
              <w:rPr>
                <w:rFonts w:hint="eastAsia"/>
              </w:rPr>
              <w:t>隔声、减震</w:t>
            </w:r>
          </w:p>
        </w:tc>
      </w:tr>
    </w:tbl>
    <w:p>
      <w:pPr>
        <w:pStyle w:val="7"/>
        <w:ind w:firstLine="480"/>
      </w:pPr>
      <w:r>
        <w:rPr>
          <w:rFonts w:hint="eastAsia"/>
        </w:rPr>
        <w:t>项目防治噪声污染的措施主要有：</w:t>
      </w:r>
    </w:p>
    <w:p>
      <w:pPr>
        <w:pStyle w:val="7"/>
        <w:ind w:firstLine="480"/>
      </w:pPr>
      <w:r>
        <w:rPr>
          <w:rFonts w:hint="eastAsia"/>
        </w:rPr>
        <w:t>（1）在工艺设备选型时，应尽可能选用低噪声设备，并对发声设备采取防震、消声、隔音措施。</w:t>
      </w:r>
    </w:p>
    <w:p>
      <w:pPr>
        <w:pStyle w:val="7"/>
        <w:ind w:firstLine="480"/>
      </w:pPr>
      <w:r>
        <w:rPr>
          <w:rFonts w:hint="eastAsia"/>
        </w:rPr>
        <w:t>（2）车间内合理布置高低噪声设备，对有强噪声源的车间做成封闭式围护结构，在噪声较大的岗位设置隔声值班室，以保护操作工身体健康。</w:t>
      </w:r>
    </w:p>
    <w:p>
      <w:pPr>
        <w:pStyle w:val="7"/>
        <w:ind w:firstLine="480"/>
      </w:pPr>
      <w:r>
        <w:rPr>
          <w:rFonts w:hint="eastAsia"/>
        </w:rPr>
        <w:t>（3）车间尽量少设门窗，墙面采用吸声材料，在工作时，门窗应处于关闭状态。</w:t>
      </w:r>
    </w:p>
    <w:p>
      <w:pPr>
        <w:pStyle w:val="7"/>
        <w:ind w:firstLine="480"/>
      </w:pPr>
      <w:r>
        <w:rPr>
          <w:rFonts w:hint="eastAsia"/>
        </w:rPr>
        <w:t>（4）避免夜间产生较大噪声的生产活动。对于噪声较大的铝灰分离机、风机等设独立设备间进行隔声，风机采用柔性接头、加装减震垫，水泵进行基础减震等。</w:t>
      </w:r>
    </w:p>
    <w:p>
      <w:pPr>
        <w:pStyle w:val="7"/>
        <w:ind w:firstLine="480"/>
      </w:pPr>
      <w:r>
        <w:rPr>
          <w:rFonts w:hint="eastAsia"/>
        </w:rPr>
        <w:t>（5）加强厂内绿化，在厂界区内侧种植高大常绿树种，车间周围加大绿化力度，提高绿化率，从而使噪声最大限度地随距离自然衰减。</w:t>
      </w:r>
    </w:p>
    <w:p>
      <w:pPr>
        <w:pStyle w:val="9"/>
      </w:pPr>
      <w:r>
        <w:rPr>
          <w:rFonts w:hint="eastAsia"/>
        </w:rPr>
        <w:t>4.4.1.4固废</w:t>
      </w:r>
    </w:p>
    <w:p>
      <w:pPr>
        <w:pStyle w:val="7"/>
        <w:ind w:firstLine="480"/>
      </w:pPr>
      <w:r>
        <w:rPr>
          <w:rFonts w:hint="eastAsia"/>
        </w:rPr>
        <w:t>一期工程营运后产生的固废主要为生产固废及职工生活垃圾，其中生产固废包括一般工业固体废物及危险废物。</w:t>
      </w:r>
    </w:p>
    <w:p>
      <w:pPr>
        <w:pStyle w:val="7"/>
        <w:numPr>
          <w:ilvl w:val="0"/>
          <w:numId w:val="8"/>
        </w:numPr>
        <w:ind w:firstLine="480"/>
      </w:pPr>
      <w:r>
        <w:rPr>
          <w:rFonts w:hint="eastAsia"/>
        </w:rPr>
        <w:t>铝灰（S1-1）：铝灰分离车间扣除回收铝锭和铝灰分离排气筒粉尘产生量后剩余部分为铝灰，则铝灰产生量约为3617.45t/a。根据“国家危险废物名录（2021年版）”规定“电解铝铝液转移、精炼、合金化、铸造过程熔体表面产生的铝灰渣，以及回收铝过程产生的盐渣和二次铝灰”属于危险废物，废物代号“321-024-48”，交由具有此类危险废物处置资质的公司（如文山铝业铝灰处置中心等）进行处理。</w:t>
      </w:r>
    </w:p>
    <w:p>
      <w:pPr>
        <w:pStyle w:val="7"/>
        <w:numPr>
          <w:ilvl w:val="0"/>
          <w:numId w:val="8"/>
        </w:numPr>
        <w:ind w:firstLine="480"/>
      </w:pPr>
      <w:r>
        <w:rPr>
          <w:rFonts w:hint="eastAsia"/>
        </w:rPr>
        <w:t>熔保炉及铝灰分离除尘系统收集尘（S1-2）：项目熔保炉除尘系统布袋除尘器收集的烟（粉）尘，产生量约为2096.07t/a，铝灰分离除尘系统收集尘产生量约为27.63t/a，则除尘系统收集尘总量为2123.7t/a。根据“国家危险废物名录（2021年版）”规定“铝灰热回收铝过程烟气处理集（除）尘装置收集的粉尘，铝冶炼和再生过程烟气（包括：再生铝熔炼烟气、铝液熔体净化、除杂、合金化、铸造烟气）处理集（除）尘装置收集的粉尘”属于危险废物，废物代号“321-034-48”，因此，本项目布袋除尘器收集的粉尘属于危险废物，袋装后暂存危废间，定期交有资质单位处置（如文山铝业铝灰处置中心等）。</w:t>
      </w:r>
    </w:p>
    <w:p>
      <w:pPr>
        <w:pStyle w:val="7"/>
        <w:ind w:firstLine="480"/>
      </w:pPr>
      <w:r>
        <w:rPr>
          <w:rFonts w:hint="eastAsia"/>
        </w:rPr>
        <w:t>（3）废过滤板（S1-3）：项目过滤工序的废过滤板产生量为12t/a。云南创新合金有限公司“年产120万吨轻质高强铝合金材料项目”与</w:t>
      </w:r>
      <w:r>
        <w:t>本项目生产工艺、原料、燃料等相</w:t>
      </w:r>
      <w:r>
        <w:rPr>
          <w:rFonts w:hint="eastAsia"/>
        </w:rPr>
        <w:t>同，参考该项目对废过滤板的危废鉴别检测报告（见附件10），废过滤板各项检测项目的检测值均低于《危险废物鉴别标准 浸出毒性鉴别》（GB5085.3-2007）中浸出液最高允许浓度值。pH也没有超出《危险废物鉴别标准  腐蚀性鉴别》（GB5085.1-2007）中的范围值，废过滤板不属于危险废物。废过滤板属于一般工业固体废物，由更换厂家回收处置。</w:t>
      </w:r>
    </w:p>
    <w:p>
      <w:pPr>
        <w:pStyle w:val="7"/>
        <w:ind w:firstLine="480"/>
      </w:pPr>
      <w:r>
        <w:rPr>
          <w:rFonts w:hint="eastAsia"/>
        </w:rPr>
        <w:t>（4）不合格产品（S1-4）：项目检验过程中产生的不合格产品，产生量约为3840t/a，此部分固废属于一般固废废物，经集中收集后作为原材料回用。</w:t>
      </w:r>
    </w:p>
    <w:p>
      <w:pPr>
        <w:pStyle w:val="7"/>
        <w:ind w:firstLine="480"/>
      </w:pPr>
      <w:r>
        <w:rPr>
          <w:rFonts w:hint="eastAsia"/>
        </w:rPr>
        <w:t>（5）下脚料（S1-5）：项目锯切过程中产生的下脚料，产生量约为1920t/a，此部分固废属于一般固废废物，经集中收集后作为原材料回用</w:t>
      </w:r>
    </w:p>
    <w:p>
      <w:pPr>
        <w:pStyle w:val="7"/>
        <w:ind w:firstLine="480"/>
      </w:pPr>
      <w:r>
        <w:rPr>
          <w:rFonts w:hint="eastAsia"/>
        </w:rPr>
        <w:t>（6）废包装物（S1-6）：项目产品包装过程有部分废包装物产生，项目废包装物产生量为2.2t/a，经收集后作外售处理。</w:t>
      </w:r>
    </w:p>
    <w:p>
      <w:pPr>
        <w:pStyle w:val="7"/>
        <w:ind w:firstLine="480"/>
      </w:pPr>
      <w:r>
        <w:rPr>
          <w:rFonts w:hint="eastAsia"/>
        </w:rPr>
        <w:t>（7）废润滑油、废机油（S1-7）：项目生产设备较多，设备维修、保养会产生废润滑油、废机油，属于危险废物，危废类别：HW08废矿物油与含矿物油废物，危废代码：900-214-08。项目建成后废润滑油、废机油的产生总量为1t/a，更换后采用桶装暂存于危废暂存间内，委托具有此类危险废物处置资质的公司进行处理。</w:t>
      </w:r>
    </w:p>
    <w:p>
      <w:pPr>
        <w:pStyle w:val="7"/>
        <w:ind w:firstLine="480"/>
      </w:pPr>
      <w:r>
        <w:rPr>
          <w:rFonts w:hint="eastAsia"/>
        </w:rPr>
        <w:t>（8）废酸液（S1-</w:t>
      </w:r>
      <w:r>
        <w:t>8</w:t>
      </w:r>
      <w:r>
        <w:rPr>
          <w:rFonts w:hint="eastAsia"/>
        </w:rPr>
        <w:t>）：项目在检验过程中使用盐酸、硝酸、氢氟酸，检验过程中会产生废酸液，根据建设单位提供的资料，废酸液产生量为0.282t/a，废酸液属于危险废物，危废类别：HW34 废酸，危废代码：900-300-34使用酸进行清洗产生的废酸液。废酸液收集后交由具有此类危险废物处置资质的公司进行处理。</w:t>
      </w:r>
    </w:p>
    <w:p>
      <w:pPr>
        <w:pStyle w:val="7"/>
        <w:ind w:firstLine="480"/>
      </w:pPr>
      <w:r>
        <w:rPr>
          <w:rFonts w:hint="eastAsia"/>
        </w:rPr>
        <w:t>（9）废碱液（S1-</w:t>
      </w:r>
      <w:r>
        <w:t>9</w:t>
      </w:r>
      <w:r>
        <w:rPr>
          <w:rFonts w:hint="eastAsia"/>
        </w:rPr>
        <w:t>）：项目在检验过程中会产生废碱液，根据建设单位提供的资料，废碱液产生量为4t/a，废碱液属于危险废物，危废类别：HW35 其他废物，危废代码：900-352-35使用碱进行清洗产生的废碱液。废碱液收集后交由具有此类危险废物处置资质的公司进行处理。</w:t>
      </w:r>
    </w:p>
    <w:p>
      <w:pPr>
        <w:pStyle w:val="7"/>
        <w:ind w:firstLine="480"/>
      </w:pPr>
      <w:r>
        <w:rPr>
          <w:rFonts w:hint="eastAsia"/>
        </w:rPr>
        <w:t>（10）初期雨水收集池和圆铸锭循环冷却水池污泥（S1-10）：项目初期雨水收集池和圆铸锭循环冷却水池产生的污泥属于一般废物，根据建设单位提供资料，污泥产生量为0.5t/a，环卫部门定期统一清理，按照一般工业固废处置要求进行处理。</w:t>
      </w:r>
    </w:p>
    <w:p>
      <w:pPr>
        <w:pStyle w:val="7"/>
        <w:ind w:firstLine="480"/>
      </w:pPr>
      <w:r>
        <w:rPr>
          <w:rFonts w:hint="eastAsia"/>
        </w:rPr>
        <w:t>（11）污水处理站油渣（S1-11）：板锭循环冷却水经项目自建污水处理站处理后外排市政管网，污水处理站采用“混凝+两级气浮工艺”，污水处理站废水处理过程会产生浮油、浮渣和污泥，属于危险废物，危废类别：HW08废矿物油与含矿物油废物，危废代码：900-210-08。污水处理站油渣产生总量为5t/a，收集后暂存于危废暂存间内，委托具有此类危险废物处置资质的公司进行处理。</w:t>
      </w:r>
    </w:p>
    <w:p>
      <w:pPr>
        <w:pStyle w:val="7"/>
        <w:ind w:firstLine="480"/>
      </w:pPr>
      <w:r>
        <w:rPr>
          <w:rFonts w:hint="eastAsia"/>
        </w:rPr>
        <w:t>（10）生活垃圾（S1-12）：本项目劳动定员100人，生活垃圾产生量按照0.5kg/人•d估算，项目年工作时间为330天，则生活垃圾产生量为16.5t/a，生活垃圾收入垃圾箱由环卫部门定期清理。</w:t>
      </w:r>
    </w:p>
    <w:p>
      <w:pPr>
        <w:pStyle w:val="7"/>
        <w:ind w:firstLine="480"/>
        <w:sectPr>
          <w:pgSz w:w="11906" w:h="16838"/>
          <w:pgMar w:top="1440" w:right="1800" w:bottom="1440" w:left="1800" w:header="851" w:footer="992" w:gutter="0"/>
          <w:cols w:space="425" w:num="1"/>
          <w:docGrid w:type="lines" w:linePitch="312" w:charSpace="0"/>
        </w:sectPr>
      </w:pPr>
      <w:r>
        <w:rPr>
          <w:rFonts w:hint="eastAsia"/>
        </w:rPr>
        <w:t>一期工程固废产生及排放情况见表4.4-7。</w:t>
      </w:r>
    </w:p>
    <w:p>
      <w:pPr>
        <w:pStyle w:val="31"/>
      </w:pPr>
      <w:r>
        <w:rPr>
          <w:rFonts w:hint="eastAsia"/>
        </w:rPr>
        <w:t>表4.4-7  项目一期工程固废产生及排放情况一览表</w:t>
      </w:r>
    </w:p>
    <w:tbl>
      <w:tblPr>
        <w:tblStyle w:val="27"/>
        <w:tblW w:w="5292" w:type="pct"/>
        <w:jc w:val="center"/>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Layout w:type="fixed"/>
        <w:tblCellMar>
          <w:top w:w="0" w:type="dxa"/>
          <w:left w:w="108" w:type="dxa"/>
          <w:bottom w:w="0" w:type="dxa"/>
          <w:right w:w="108" w:type="dxa"/>
        </w:tblCellMar>
      </w:tblPr>
      <w:tblGrid>
        <w:gridCol w:w="1210"/>
        <w:gridCol w:w="2176"/>
        <w:gridCol w:w="2259"/>
        <w:gridCol w:w="1497"/>
        <w:gridCol w:w="3204"/>
        <w:gridCol w:w="1680"/>
        <w:gridCol w:w="2976"/>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tcBorders>
              <w:top w:val="single" w:color="000000" w:sz="2" w:space="0"/>
              <w:bottom w:val="single" w:color="auto" w:sz="4" w:space="0"/>
            </w:tcBorders>
            <w:vAlign w:val="center"/>
          </w:tcPr>
          <w:p>
            <w:pPr>
              <w:pStyle w:val="33"/>
            </w:pPr>
            <w:r>
              <w:t>固废性质</w:t>
            </w:r>
          </w:p>
        </w:tc>
        <w:tc>
          <w:tcPr>
            <w:tcW w:w="724" w:type="pct"/>
            <w:tcBorders>
              <w:top w:val="single" w:color="000000" w:sz="2" w:space="0"/>
            </w:tcBorders>
            <w:vAlign w:val="center"/>
          </w:tcPr>
          <w:p>
            <w:pPr>
              <w:pStyle w:val="33"/>
            </w:pPr>
            <w:r>
              <w:t>固体废物名称</w:t>
            </w:r>
          </w:p>
        </w:tc>
        <w:tc>
          <w:tcPr>
            <w:tcW w:w="752" w:type="pct"/>
            <w:tcBorders>
              <w:top w:val="single" w:color="000000" w:sz="2" w:space="0"/>
            </w:tcBorders>
            <w:vAlign w:val="center"/>
          </w:tcPr>
          <w:p>
            <w:pPr>
              <w:pStyle w:val="33"/>
            </w:pPr>
            <w:r>
              <w:t>废物类别</w:t>
            </w:r>
          </w:p>
        </w:tc>
        <w:tc>
          <w:tcPr>
            <w:tcW w:w="499" w:type="pct"/>
            <w:tcBorders>
              <w:top w:val="single" w:color="000000" w:sz="2" w:space="0"/>
            </w:tcBorders>
            <w:vAlign w:val="center"/>
          </w:tcPr>
          <w:p>
            <w:pPr>
              <w:pStyle w:val="33"/>
            </w:pPr>
            <w:r>
              <w:t>产生量（t/a）</w:t>
            </w:r>
          </w:p>
        </w:tc>
        <w:tc>
          <w:tcPr>
            <w:tcW w:w="1067" w:type="pct"/>
            <w:tcBorders>
              <w:top w:val="single" w:color="000000" w:sz="2" w:space="0"/>
            </w:tcBorders>
            <w:vAlign w:val="center"/>
          </w:tcPr>
          <w:p>
            <w:pPr>
              <w:pStyle w:val="33"/>
            </w:pPr>
            <w:r>
              <w:t>处置方式</w:t>
            </w:r>
          </w:p>
        </w:tc>
        <w:tc>
          <w:tcPr>
            <w:tcW w:w="559" w:type="pct"/>
            <w:tcBorders>
              <w:top w:val="single" w:color="000000" w:sz="2" w:space="0"/>
            </w:tcBorders>
            <w:vAlign w:val="center"/>
          </w:tcPr>
          <w:p>
            <w:pPr>
              <w:pStyle w:val="33"/>
            </w:pPr>
            <w:r>
              <w:t>处置量（t/a）</w:t>
            </w:r>
          </w:p>
        </w:tc>
        <w:tc>
          <w:tcPr>
            <w:tcW w:w="991" w:type="pct"/>
            <w:tcBorders>
              <w:top w:val="single" w:color="000000" w:sz="2" w:space="0"/>
            </w:tcBorders>
            <w:vAlign w:val="center"/>
          </w:tcPr>
          <w:p>
            <w:pPr>
              <w:pStyle w:val="33"/>
            </w:pPr>
            <w:r>
              <w:t>最终去向</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restart"/>
            <w:tcBorders>
              <w:top w:val="single" w:color="000000" w:sz="2" w:space="0"/>
            </w:tcBorders>
            <w:vAlign w:val="center"/>
          </w:tcPr>
          <w:p>
            <w:pPr>
              <w:pStyle w:val="33"/>
            </w:pPr>
            <w:r>
              <w:t>危险废物</w:t>
            </w:r>
          </w:p>
        </w:tc>
        <w:tc>
          <w:tcPr>
            <w:tcW w:w="724" w:type="pct"/>
            <w:tcBorders>
              <w:top w:val="single" w:color="000000" w:sz="2" w:space="0"/>
            </w:tcBorders>
            <w:vAlign w:val="center"/>
          </w:tcPr>
          <w:p>
            <w:pPr>
              <w:pStyle w:val="33"/>
            </w:pPr>
            <w:r>
              <w:rPr>
                <w:rFonts w:hint="eastAsia"/>
              </w:rPr>
              <w:t>铝灰</w:t>
            </w:r>
            <w:r>
              <w:t>（S</w:t>
            </w:r>
            <w:r>
              <w:rPr>
                <w:rFonts w:hint="eastAsia"/>
              </w:rPr>
              <w:t>1-1</w:t>
            </w:r>
            <w:r>
              <w:t>）</w:t>
            </w:r>
          </w:p>
        </w:tc>
        <w:tc>
          <w:tcPr>
            <w:tcW w:w="752" w:type="pct"/>
            <w:tcBorders>
              <w:top w:val="single" w:color="000000" w:sz="2" w:space="0"/>
            </w:tcBorders>
            <w:vAlign w:val="center"/>
          </w:tcPr>
          <w:p>
            <w:pPr>
              <w:pStyle w:val="33"/>
            </w:pPr>
            <w:r>
              <w:rPr>
                <w:rFonts w:hint="eastAsia"/>
              </w:rPr>
              <w:t>HW48，</w:t>
            </w:r>
            <w:r>
              <w:t>321-024-48</w:t>
            </w:r>
          </w:p>
        </w:tc>
        <w:tc>
          <w:tcPr>
            <w:tcW w:w="499" w:type="pct"/>
            <w:tcBorders>
              <w:top w:val="single" w:color="000000" w:sz="2" w:space="0"/>
            </w:tcBorders>
            <w:vAlign w:val="center"/>
          </w:tcPr>
          <w:p>
            <w:pPr>
              <w:pStyle w:val="33"/>
            </w:pPr>
            <w:r>
              <w:rPr>
                <w:rFonts w:hint="eastAsia"/>
              </w:rPr>
              <w:t>3617.45</w:t>
            </w:r>
          </w:p>
        </w:tc>
        <w:tc>
          <w:tcPr>
            <w:tcW w:w="1067" w:type="pct"/>
            <w:tcBorders>
              <w:top w:val="single" w:color="000000" w:sz="2" w:space="0"/>
            </w:tcBorders>
            <w:vAlign w:val="center"/>
          </w:tcPr>
          <w:p>
            <w:pPr>
              <w:pStyle w:val="33"/>
            </w:pPr>
            <w:r>
              <w:rPr>
                <w:rFonts w:hint="eastAsia"/>
              </w:rPr>
              <w:t>暂存于厂内危废暂存间</w:t>
            </w:r>
            <w:r>
              <w:t>，委托有资质的单位进行处理处置</w:t>
            </w:r>
          </w:p>
        </w:tc>
        <w:tc>
          <w:tcPr>
            <w:tcW w:w="559" w:type="pct"/>
            <w:tcBorders>
              <w:top w:val="single" w:color="000000" w:sz="2" w:space="0"/>
            </w:tcBorders>
            <w:vAlign w:val="center"/>
          </w:tcPr>
          <w:p>
            <w:pPr>
              <w:pStyle w:val="33"/>
            </w:pPr>
            <w:r>
              <w:rPr>
                <w:rFonts w:hint="eastAsia"/>
              </w:rPr>
              <w:t>3617.45</w:t>
            </w:r>
          </w:p>
        </w:tc>
        <w:tc>
          <w:tcPr>
            <w:tcW w:w="991" w:type="pct"/>
            <w:tcBorders>
              <w:top w:val="single" w:color="000000" w:sz="2" w:space="0"/>
            </w:tcBorders>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tcBorders>
              <w:top w:val="single" w:color="000000" w:sz="2" w:space="0"/>
            </w:tcBorders>
            <w:vAlign w:val="center"/>
          </w:tcPr>
          <w:p>
            <w:pPr>
              <w:pStyle w:val="33"/>
            </w:pPr>
            <w:r>
              <w:rPr>
                <w:rFonts w:hint="eastAsia"/>
              </w:rPr>
              <w:t>除尘系统</w:t>
            </w:r>
            <w:r>
              <w:t>收集尘（S</w:t>
            </w:r>
            <w:r>
              <w:rPr>
                <w:rFonts w:hint="eastAsia"/>
              </w:rPr>
              <w:t>1-</w:t>
            </w:r>
            <w:r>
              <w:t>2）</w:t>
            </w:r>
          </w:p>
        </w:tc>
        <w:tc>
          <w:tcPr>
            <w:tcW w:w="752" w:type="pct"/>
            <w:tcBorders>
              <w:top w:val="single" w:color="000000" w:sz="2" w:space="0"/>
            </w:tcBorders>
            <w:vAlign w:val="center"/>
          </w:tcPr>
          <w:p>
            <w:pPr>
              <w:pStyle w:val="33"/>
            </w:pPr>
            <w:r>
              <w:rPr>
                <w:rFonts w:hint="eastAsia"/>
              </w:rPr>
              <w:t>HW48，</w:t>
            </w:r>
            <w:r>
              <w:t>321-0</w:t>
            </w:r>
            <w:r>
              <w:rPr>
                <w:rFonts w:hint="eastAsia"/>
              </w:rPr>
              <w:t>3</w:t>
            </w:r>
            <w:r>
              <w:t>4-48</w:t>
            </w:r>
          </w:p>
        </w:tc>
        <w:tc>
          <w:tcPr>
            <w:tcW w:w="499" w:type="pct"/>
            <w:tcBorders>
              <w:top w:val="single" w:color="000000" w:sz="2" w:space="0"/>
            </w:tcBorders>
            <w:vAlign w:val="center"/>
          </w:tcPr>
          <w:p>
            <w:pPr>
              <w:pStyle w:val="33"/>
            </w:pPr>
            <w:r>
              <w:rPr>
                <w:rFonts w:hint="eastAsia"/>
              </w:rPr>
              <w:t>2123.7</w:t>
            </w:r>
          </w:p>
        </w:tc>
        <w:tc>
          <w:tcPr>
            <w:tcW w:w="1067" w:type="pct"/>
            <w:tcBorders>
              <w:top w:val="single" w:color="000000" w:sz="2" w:space="0"/>
            </w:tcBorders>
            <w:vAlign w:val="center"/>
          </w:tcPr>
          <w:p>
            <w:pPr>
              <w:pStyle w:val="33"/>
            </w:pPr>
            <w:r>
              <w:rPr>
                <w:rFonts w:hint="eastAsia"/>
              </w:rPr>
              <w:t>暂存于厂内危废暂存间</w:t>
            </w:r>
            <w:r>
              <w:t>，委托有资质的单位进行处理处置</w:t>
            </w:r>
          </w:p>
        </w:tc>
        <w:tc>
          <w:tcPr>
            <w:tcW w:w="559" w:type="pct"/>
            <w:tcBorders>
              <w:top w:val="single" w:color="000000" w:sz="2" w:space="0"/>
            </w:tcBorders>
            <w:vAlign w:val="center"/>
          </w:tcPr>
          <w:p>
            <w:pPr>
              <w:pStyle w:val="33"/>
            </w:pPr>
            <w:r>
              <w:rPr>
                <w:rFonts w:hint="eastAsia"/>
              </w:rPr>
              <w:t>2123.7</w:t>
            </w:r>
          </w:p>
        </w:tc>
        <w:tc>
          <w:tcPr>
            <w:tcW w:w="991" w:type="pct"/>
            <w:tcBorders>
              <w:top w:val="single" w:color="000000" w:sz="2" w:space="0"/>
            </w:tcBorders>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t>废润滑油、废机油（S</w:t>
            </w:r>
            <w:r>
              <w:rPr>
                <w:rFonts w:hint="eastAsia"/>
              </w:rPr>
              <w:t>1-</w:t>
            </w:r>
            <w:r>
              <w:t>7）</w:t>
            </w:r>
          </w:p>
        </w:tc>
        <w:tc>
          <w:tcPr>
            <w:tcW w:w="752" w:type="pct"/>
            <w:vAlign w:val="center"/>
          </w:tcPr>
          <w:p>
            <w:pPr>
              <w:pStyle w:val="33"/>
            </w:pPr>
            <w:r>
              <w:t>HW08</w:t>
            </w:r>
            <w:r>
              <w:rPr>
                <w:rFonts w:hint="eastAsia"/>
              </w:rPr>
              <w:t>，</w:t>
            </w:r>
            <w:r>
              <w:t>900-214-08</w:t>
            </w:r>
          </w:p>
        </w:tc>
        <w:tc>
          <w:tcPr>
            <w:tcW w:w="499" w:type="pct"/>
            <w:vAlign w:val="center"/>
          </w:tcPr>
          <w:p>
            <w:pPr>
              <w:pStyle w:val="33"/>
            </w:pPr>
            <w:r>
              <w:rPr>
                <w:rFonts w:hint="eastAsia"/>
              </w:rPr>
              <w:t>1</w:t>
            </w:r>
          </w:p>
        </w:tc>
        <w:tc>
          <w:tcPr>
            <w:tcW w:w="1067" w:type="pct"/>
            <w:vAlign w:val="center"/>
          </w:tcPr>
          <w:p>
            <w:pPr>
              <w:pStyle w:val="33"/>
            </w:pPr>
            <w:r>
              <w:t>暂存在厂内危废暂存间，委托有资质的单位进行处理处置</w:t>
            </w:r>
          </w:p>
        </w:tc>
        <w:tc>
          <w:tcPr>
            <w:tcW w:w="559" w:type="pct"/>
            <w:vAlign w:val="center"/>
          </w:tcPr>
          <w:p>
            <w:pPr>
              <w:pStyle w:val="33"/>
            </w:pPr>
            <w:r>
              <w:rPr>
                <w:rFonts w:hint="eastAsia"/>
              </w:rPr>
              <w:t>1</w:t>
            </w:r>
          </w:p>
        </w:tc>
        <w:tc>
          <w:tcPr>
            <w:tcW w:w="991"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rPr>
                <w:rFonts w:hint="eastAsia"/>
              </w:rPr>
              <w:t>废酸液（S1-</w:t>
            </w:r>
            <w:r>
              <w:t>8</w:t>
            </w:r>
            <w:r>
              <w:rPr>
                <w:rFonts w:hint="eastAsia"/>
              </w:rPr>
              <w:t>）</w:t>
            </w:r>
          </w:p>
        </w:tc>
        <w:tc>
          <w:tcPr>
            <w:tcW w:w="752" w:type="pct"/>
            <w:vAlign w:val="center"/>
          </w:tcPr>
          <w:p>
            <w:pPr>
              <w:pStyle w:val="33"/>
            </w:pPr>
            <w:r>
              <w:rPr>
                <w:rFonts w:hint="eastAsia"/>
              </w:rPr>
              <w:t>HW34，900-300-34</w:t>
            </w:r>
          </w:p>
        </w:tc>
        <w:tc>
          <w:tcPr>
            <w:tcW w:w="499" w:type="pct"/>
            <w:vAlign w:val="center"/>
          </w:tcPr>
          <w:p>
            <w:pPr>
              <w:pStyle w:val="33"/>
            </w:pPr>
            <w:r>
              <w:rPr>
                <w:rFonts w:hint="eastAsia"/>
              </w:rPr>
              <w:t>0.282</w:t>
            </w:r>
          </w:p>
        </w:tc>
        <w:tc>
          <w:tcPr>
            <w:tcW w:w="1067" w:type="pct"/>
            <w:vAlign w:val="center"/>
          </w:tcPr>
          <w:p>
            <w:pPr>
              <w:pStyle w:val="33"/>
            </w:pPr>
            <w:r>
              <w:t>暂存在厂内危废暂存间，委托有资质的单位进行处理处置</w:t>
            </w:r>
          </w:p>
        </w:tc>
        <w:tc>
          <w:tcPr>
            <w:tcW w:w="559" w:type="pct"/>
            <w:vAlign w:val="center"/>
          </w:tcPr>
          <w:p>
            <w:pPr>
              <w:pStyle w:val="33"/>
            </w:pPr>
            <w:r>
              <w:rPr>
                <w:rFonts w:hint="eastAsia"/>
              </w:rPr>
              <w:t>0.282</w:t>
            </w:r>
          </w:p>
        </w:tc>
        <w:tc>
          <w:tcPr>
            <w:tcW w:w="991"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rPr>
                <w:rFonts w:hint="eastAsia"/>
              </w:rPr>
              <w:t>废碱液（S1-</w:t>
            </w:r>
            <w:r>
              <w:t>9</w:t>
            </w:r>
            <w:r>
              <w:rPr>
                <w:rFonts w:hint="eastAsia"/>
              </w:rPr>
              <w:t>）</w:t>
            </w:r>
          </w:p>
        </w:tc>
        <w:tc>
          <w:tcPr>
            <w:tcW w:w="752" w:type="pct"/>
            <w:vAlign w:val="center"/>
          </w:tcPr>
          <w:p>
            <w:pPr>
              <w:pStyle w:val="33"/>
            </w:pPr>
            <w:r>
              <w:rPr>
                <w:rFonts w:hint="eastAsia"/>
              </w:rPr>
              <w:t>HW35，900-352-35</w:t>
            </w:r>
          </w:p>
        </w:tc>
        <w:tc>
          <w:tcPr>
            <w:tcW w:w="499" w:type="pct"/>
            <w:vAlign w:val="center"/>
          </w:tcPr>
          <w:p>
            <w:pPr>
              <w:pStyle w:val="33"/>
            </w:pPr>
            <w:r>
              <w:rPr>
                <w:rFonts w:hint="eastAsia"/>
              </w:rPr>
              <w:t>4</w:t>
            </w:r>
          </w:p>
        </w:tc>
        <w:tc>
          <w:tcPr>
            <w:tcW w:w="1067" w:type="pct"/>
            <w:vAlign w:val="center"/>
          </w:tcPr>
          <w:p>
            <w:pPr>
              <w:pStyle w:val="33"/>
            </w:pPr>
            <w:r>
              <w:t>暂存在厂内危废暂存间，委托有资质的单位进行处理处置</w:t>
            </w:r>
          </w:p>
        </w:tc>
        <w:tc>
          <w:tcPr>
            <w:tcW w:w="559" w:type="pct"/>
            <w:vAlign w:val="center"/>
          </w:tcPr>
          <w:p>
            <w:pPr>
              <w:pStyle w:val="33"/>
            </w:pPr>
            <w:r>
              <w:rPr>
                <w:rFonts w:hint="eastAsia"/>
              </w:rPr>
              <w:t>4</w:t>
            </w:r>
          </w:p>
        </w:tc>
        <w:tc>
          <w:tcPr>
            <w:tcW w:w="991"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rPr>
                <w:rFonts w:hint="eastAsia"/>
              </w:rPr>
              <w:t>污水处理站油渣（S1-11）</w:t>
            </w:r>
          </w:p>
        </w:tc>
        <w:tc>
          <w:tcPr>
            <w:tcW w:w="752" w:type="pct"/>
            <w:vAlign w:val="center"/>
          </w:tcPr>
          <w:p>
            <w:pPr>
              <w:pStyle w:val="33"/>
            </w:pPr>
            <w:r>
              <w:rPr>
                <w:rFonts w:hint="eastAsia"/>
              </w:rPr>
              <w:t>HW08，900-210-08</w:t>
            </w:r>
          </w:p>
        </w:tc>
        <w:tc>
          <w:tcPr>
            <w:tcW w:w="499" w:type="pct"/>
            <w:vAlign w:val="center"/>
          </w:tcPr>
          <w:p>
            <w:pPr>
              <w:pStyle w:val="33"/>
            </w:pPr>
            <w:r>
              <w:rPr>
                <w:rFonts w:hint="eastAsia"/>
              </w:rPr>
              <w:t>5</w:t>
            </w:r>
          </w:p>
        </w:tc>
        <w:tc>
          <w:tcPr>
            <w:tcW w:w="1067" w:type="pct"/>
            <w:vAlign w:val="center"/>
          </w:tcPr>
          <w:p>
            <w:pPr>
              <w:pStyle w:val="33"/>
            </w:pPr>
            <w:r>
              <w:t>暂存在厂内危废暂存间，委托有资质的单位进行处理处置</w:t>
            </w:r>
          </w:p>
        </w:tc>
        <w:tc>
          <w:tcPr>
            <w:tcW w:w="559" w:type="pct"/>
            <w:vAlign w:val="center"/>
          </w:tcPr>
          <w:p>
            <w:pPr>
              <w:pStyle w:val="33"/>
            </w:pPr>
            <w:r>
              <w:rPr>
                <w:rFonts w:hint="eastAsia"/>
              </w:rPr>
              <w:t>5</w:t>
            </w:r>
          </w:p>
        </w:tc>
        <w:tc>
          <w:tcPr>
            <w:tcW w:w="991"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restart"/>
            <w:vAlign w:val="center"/>
          </w:tcPr>
          <w:p>
            <w:pPr>
              <w:pStyle w:val="33"/>
            </w:pPr>
            <w:r>
              <w:t>一般废物</w:t>
            </w:r>
          </w:p>
        </w:tc>
        <w:tc>
          <w:tcPr>
            <w:tcW w:w="724" w:type="pct"/>
            <w:vAlign w:val="center"/>
          </w:tcPr>
          <w:p>
            <w:pPr>
              <w:pStyle w:val="33"/>
            </w:pPr>
            <w:r>
              <w:t>废过滤板（S</w:t>
            </w:r>
            <w:r>
              <w:rPr>
                <w:rFonts w:hint="eastAsia"/>
              </w:rPr>
              <w:t>1-</w:t>
            </w:r>
            <w:r>
              <w:t>3）</w:t>
            </w:r>
          </w:p>
        </w:tc>
        <w:tc>
          <w:tcPr>
            <w:tcW w:w="752" w:type="pct"/>
            <w:vAlign w:val="center"/>
          </w:tcPr>
          <w:p>
            <w:pPr>
              <w:pStyle w:val="33"/>
            </w:pPr>
            <w:r>
              <w:t>一般工业固废</w:t>
            </w:r>
          </w:p>
        </w:tc>
        <w:tc>
          <w:tcPr>
            <w:tcW w:w="499" w:type="pct"/>
            <w:vAlign w:val="center"/>
          </w:tcPr>
          <w:p>
            <w:pPr>
              <w:pStyle w:val="33"/>
            </w:pPr>
            <w:r>
              <w:rPr>
                <w:rFonts w:hint="eastAsia"/>
              </w:rPr>
              <w:t>12</w:t>
            </w:r>
          </w:p>
        </w:tc>
        <w:tc>
          <w:tcPr>
            <w:tcW w:w="1067" w:type="pct"/>
            <w:vAlign w:val="center"/>
          </w:tcPr>
          <w:p>
            <w:pPr>
              <w:pStyle w:val="33"/>
            </w:pPr>
            <w:r>
              <w:rPr>
                <w:rFonts w:hint="eastAsia"/>
              </w:rPr>
              <w:t>更换厂家回收</w:t>
            </w:r>
          </w:p>
        </w:tc>
        <w:tc>
          <w:tcPr>
            <w:tcW w:w="559" w:type="pct"/>
            <w:vAlign w:val="center"/>
          </w:tcPr>
          <w:p>
            <w:pPr>
              <w:pStyle w:val="33"/>
            </w:pPr>
            <w:r>
              <w:rPr>
                <w:rFonts w:hint="eastAsia"/>
              </w:rPr>
              <w:t>12</w:t>
            </w:r>
          </w:p>
        </w:tc>
        <w:tc>
          <w:tcPr>
            <w:tcW w:w="991" w:type="pct"/>
            <w:vAlign w:val="center"/>
          </w:tcPr>
          <w:p>
            <w:pPr>
              <w:pStyle w:val="33"/>
            </w:pPr>
            <w:r>
              <w:rPr>
                <w:rFonts w:hint="eastAsia"/>
              </w:rPr>
              <w:t>更换厂家回收</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t>不合格产品（S</w:t>
            </w:r>
            <w:r>
              <w:rPr>
                <w:rFonts w:hint="eastAsia"/>
              </w:rPr>
              <w:t>1-</w:t>
            </w:r>
            <w:r>
              <w:t>4）</w:t>
            </w:r>
          </w:p>
        </w:tc>
        <w:tc>
          <w:tcPr>
            <w:tcW w:w="752" w:type="pct"/>
            <w:vAlign w:val="center"/>
          </w:tcPr>
          <w:p>
            <w:pPr>
              <w:pStyle w:val="33"/>
            </w:pPr>
            <w:r>
              <w:t>一般工业固废</w:t>
            </w:r>
          </w:p>
        </w:tc>
        <w:tc>
          <w:tcPr>
            <w:tcW w:w="499" w:type="pct"/>
            <w:vAlign w:val="center"/>
          </w:tcPr>
          <w:p>
            <w:pPr>
              <w:pStyle w:val="33"/>
            </w:pPr>
            <w:r>
              <w:rPr>
                <w:rFonts w:hint="eastAsia"/>
              </w:rPr>
              <w:t>3840</w:t>
            </w:r>
          </w:p>
        </w:tc>
        <w:tc>
          <w:tcPr>
            <w:tcW w:w="1067" w:type="pct"/>
            <w:vAlign w:val="center"/>
          </w:tcPr>
          <w:p>
            <w:pPr>
              <w:pStyle w:val="33"/>
            </w:pPr>
            <w:r>
              <w:t>集中收集后作为原材料回用</w:t>
            </w:r>
          </w:p>
        </w:tc>
        <w:tc>
          <w:tcPr>
            <w:tcW w:w="559" w:type="pct"/>
            <w:vAlign w:val="center"/>
          </w:tcPr>
          <w:p>
            <w:pPr>
              <w:pStyle w:val="33"/>
            </w:pPr>
            <w:r>
              <w:rPr>
                <w:rFonts w:hint="eastAsia"/>
              </w:rPr>
              <w:t>3840</w:t>
            </w:r>
          </w:p>
        </w:tc>
        <w:tc>
          <w:tcPr>
            <w:tcW w:w="991" w:type="pct"/>
            <w:vAlign w:val="center"/>
          </w:tcPr>
          <w:p>
            <w:pPr>
              <w:pStyle w:val="33"/>
            </w:pPr>
            <w: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t>下脚料（S</w:t>
            </w:r>
            <w:r>
              <w:rPr>
                <w:rFonts w:hint="eastAsia"/>
              </w:rPr>
              <w:t>1-</w:t>
            </w:r>
            <w:r>
              <w:t>5）</w:t>
            </w:r>
          </w:p>
        </w:tc>
        <w:tc>
          <w:tcPr>
            <w:tcW w:w="752" w:type="pct"/>
            <w:vAlign w:val="center"/>
          </w:tcPr>
          <w:p>
            <w:pPr>
              <w:pStyle w:val="33"/>
            </w:pPr>
            <w:r>
              <w:t>一般工业固废</w:t>
            </w:r>
          </w:p>
        </w:tc>
        <w:tc>
          <w:tcPr>
            <w:tcW w:w="499" w:type="pct"/>
            <w:vAlign w:val="center"/>
          </w:tcPr>
          <w:p>
            <w:pPr>
              <w:pStyle w:val="33"/>
            </w:pPr>
            <w:r>
              <w:rPr>
                <w:rFonts w:hint="eastAsia"/>
              </w:rPr>
              <w:t>1920</w:t>
            </w:r>
          </w:p>
        </w:tc>
        <w:tc>
          <w:tcPr>
            <w:tcW w:w="1067" w:type="pct"/>
            <w:vAlign w:val="center"/>
          </w:tcPr>
          <w:p>
            <w:pPr>
              <w:pStyle w:val="33"/>
            </w:pPr>
            <w:r>
              <w:t>集中收集后作为原材料回用</w:t>
            </w:r>
          </w:p>
        </w:tc>
        <w:tc>
          <w:tcPr>
            <w:tcW w:w="559" w:type="pct"/>
            <w:vAlign w:val="center"/>
          </w:tcPr>
          <w:p>
            <w:pPr>
              <w:pStyle w:val="33"/>
            </w:pPr>
            <w:r>
              <w:rPr>
                <w:rFonts w:hint="eastAsia"/>
              </w:rPr>
              <w:t>1920</w:t>
            </w:r>
          </w:p>
        </w:tc>
        <w:tc>
          <w:tcPr>
            <w:tcW w:w="991" w:type="pct"/>
            <w:vAlign w:val="center"/>
          </w:tcPr>
          <w:p>
            <w:pPr>
              <w:pStyle w:val="33"/>
            </w:pPr>
            <w: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trHeight w:val="269" w:hRule="atLeast"/>
          <w:jc w:val="center"/>
        </w:trPr>
        <w:tc>
          <w:tcPr>
            <w:tcW w:w="403" w:type="pct"/>
            <w:vMerge w:val="continue"/>
            <w:vAlign w:val="center"/>
          </w:tcPr>
          <w:p>
            <w:pPr>
              <w:pStyle w:val="33"/>
            </w:pPr>
          </w:p>
        </w:tc>
        <w:tc>
          <w:tcPr>
            <w:tcW w:w="724" w:type="pct"/>
            <w:vAlign w:val="center"/>
          </w:tcPr>
          <w:p>
            <w:pPr>
              <w:pStyle w:val="33"/>
            </w:pPr>
            <w:r>
              <w:t>废包装材料（S</w:t>
            </w:r>
            <w:r>
              <w:rPr>
                <w:rFonts w:hint="eastAsia"/>
              </w:rPr>
              <w:t>1-</w:t>
            </w:r>
            <w:r>
              <w:t>6）</w:t>
            </w:r>
          </w:p>
        </w:tc>
        <w:tc>
          <w:tcPr>
            <w:tcW w:w="752" w:type="pct"/>
            <w:vAlign w:val="center"/>
          </w:tcPr>
          <w:p>
            <w:pPr>
              <w:pStyle w:val="33"/>
            </w:pPr>
            <w:r>
              <w:t>一般工业固废</w:t>
            </w:r>
          </w:p>
        </w:tc>
        <w:tc>
          <w:tcPr>
            <w:tcW w:w="499" w:type="pct"/>
            <w:vAlign w:val="center"/>
          </w:tcPr>
          <w:p>
            <w:pPr>
              <w:pStyle w:val="33"/>
            </w:pPr>
            <w:r>
              <w:rPr>
                <w:rFonts w:hint="eastAsia"/>
              </w:rPr>
              <w:t>2.2</w:t>
            </w:r>
          </w:p>
        </w:tc>
        <w:tc>
          <w:tcPr>
            <w:tcW w:w="1067" w:type="pct"/>
            <w:vAlign w:val="center"/>
          </w:tcPr>
          <w:p>
            <w:pPr>
              <w:pStyle w:val="33"/>
            </w:pPr>
            <w:r>
              <w:t>收集后作外售处理</w:t>
            </w:r>
          </w:p>
        </w:tc>
        <w:tc>
          <w:tcPr>
            <w:tcW w:w="559" w:type="pct"/>
            <w:vAlign w:val="center"/>
          </w:tcPr>
          <w:p>
            <w:pPr>
              <w:pStyle w:val="33"/>
            </w:pPr>
            <w:r>
              <w:rPr>
                <w:rFonts w:hint="eastAsia"/>
              </w:rPr>
              <w:t>2.2</w:t>
            </w:r>
          </w:p>
        </w:tc>
        <w:tc>
          <w:tcPr>
            <w:tcW w:w="991" w:type="pct"/>
            <w:vAlign w:val="center"/>
          </w:tcPr>
          <w:p>
            <w:pPr>
              <w:pStyle w:val="33"/>
            </w:pPr>
            <w:r>
              <w:t>定期外卖</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rPr>
                <w:rFonts w:hint="eastAsia"/>
              </w:rPr>
              <w:t>初期雨水收集池和圆铸锭循环冷却水池污泥</w:t>
            </w:r>
            <w:r>
              <w:t>（S</w:t>
            </w:r>
            <w:r>
              <w:rPr>
                <w:rFonts w:hint="eastAsia"/>
              </w:rPr>
              <w:t>1-10</w:t>
            </w:r>
            <w:r>
              <w:t>）</w:t>
            </w:r>
          </w:p>
        </w:tc>
        <w:tc>
          <w:tcPr>
            <w:tcW w:w="752" w:type="pct"/>
            <w:vAlign w:val="center"/>
          </w:tcPr>
          <w:p>
            <w:pPr>
              <w:pStyle w:val="33"/>
            </w:pPr>
            <w:r>
              <w:t>一般</w:t>
            </w:r>
            <w:r>
              <w:rPr>
                <w:rFonts w:hint="eastAsia"/>
              </w:rPr>
              <w:t>工业</w:t>
            </w:r>
            <w:r>
              <w:t>固废</w:t>
            </w:r>
          </w:p>
        </w:tc>
        <w:tc>
          <w:tcPr>
            <w:tcW w:w="499" w:type="pct"/>
            <w:vAlign w:val="center"/>
          </w:tcPr>
          <w:p>
            <w:pPr>
              <w:pStyle w:val="33"/>
            </w:pPr>
            <w:r>
              <w:rPr>
                <w:rFonts w:hint="eastAsia"/>
              </w:rPr>
              <w:t>0.5</w:t>
            </w:r>
          </w:p>
        </w:tc>
        <w:tc>
          <w:tcPr>
            <w:tcW w:w="1067" w:type="pct"/>
            <w:vAlign w:val="center"/>
          </w:tcPr>
          <w:p>
            <w:pPr>
              <w:pStyle w:val="33"/>
            </w:pPr>
            <w:r>
              <w:t>环卫部门定期清理</w:t>
            </w:r>
          </w:p>
        </w:tc>
        <w:tc>
          <w:tcPr>
            <w:tcW w:w="559" w:type="pct"/>
            <w:vAlign w:val="center"/>
          </w:tcPr>
          <w:p>
            <w:pPr>
              <w:pStyle w:val="33"/>
            </w:pPr>
            <w:r>
              <w:rPr>
                <w:rFonts w:hint="eastAsia"/>
              </w:rPr>
              <w:t>0.5</w:t>
            </w:r>
          </w:p>
        </w:tc>
        <w:tc>
          <w:tcPr>
            <w:tcW w:w="991" w:type="pct"/>
            <w:vAlign w:val="center"/>
          </w:tcPr>
          <w:p>
            <w:pPr>
              <w:pStyle w:val="33"/>
            </w:pPr>
            <w:r>
              <w:t>生活垃圾填埋场</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3" w:type="pct"/>
            <w:vMerge w:val="continue"/>
            <w:vAlign w:val="center"/>
          </w:tcPr>
          <w:p>
            <w:pPr>
              <w:pStyle w:val="33"/>
            </w:pPr>
          </w:p>
        </w:tc>
        <w:tc>
          <w:tcPr>
            <w:tcW w:w="724" w:type="pct"/>
            <w:vAlign w:val="center"/>
          </w:tcPr>
          <w:p>
            <w:pPr>
              <w:pStyle w:val="33"/>
            </w:pPr>
            <w:r>
              <w:t>生活垃圾（S</w:t>
            </w:r>
            <w:r>
              <w:rPr>
                <w:rFonts w:hint="eastAsia"/>
              </w:rPr>
              <w:t>1-12</w:t>
            </w:r>
            <w:r>
              <w:t>）</w:t>
            </w:r>
          </w:p>
        </w:tc>
        <w:tc>
          <w:tcPr>
            <w:tcW w:w="752" w:type="pct"/>
            <w:vAlign w:val="center"/>
          </w:tcPr>
          <w:p>
            <w:pPr>
              <w:pStyle w:val="33"/>
            </w:pPr>
            <w:r>
              <w:t>一般固废</w:t>
            </w:r>
          </w:p>
        </w:tc>
        <w:tc>
          <w:tcPr>
            <w:tcW w:w="499" w:type="pct"/>
            <w:vAlign w:val="center"/>
          </w:tcPr>
          <w:p>
            <w:pPr>
              <w:pStyle w:val="33"/>
            </w:pPr>
            <w:r>
              <w:rPr>
                <w:rFonts w:hint="eastAsia"/>
              </w:rPr>
              <w:t>16.5</w:t>
            </w:r>
          </w:p>
        </w:tc>
        <w:tc>
          <w:tcPr>
            <w:tcW w:w="1067" w:type="pct"/>
            <w:vAlign w:val="center"/>
          </w:tcPr>
          <w:p>
            <w:pPr>
              <w:pStyle w:val="33"/>
            </w:pPr>
            <w:r>
              <w:t>环卫部门定期清理</w:t>
            </w:r>
          </w:p>
        </w:tc>
        <w:tc>
          <w:tcPr>
            <w:tcW w:w="559" w:type="pct"/>
            <w:vAlign w:val="center"/>
          </w:tcPr>
          <w:p>
            <w:pPr>
              <w:pStyle w:val="33"/>
            </w:pPr>
            <w:r>
              <w:rPr>
                <w:rFonts w:hint="eastAsia"/>
              </w:rPr>
              <w:t>16.5</w:t>
            </w:r>
          </w:p>
        </w:tc>
        <w:tc>
          <w:tcPr>
            <w:tcW w:w="991" w:type="pct"/>
            <w:vAlign w:val="center"/>
          </w:tcPr>
          <w:p>
            <w:pPr>
              <w:pStyle w:val="33"/>
            </w:pPr>
            <w:r>
              <w:t>生活垃圾填埋场</w:t>
            </w:r>
          </w:p>
        </w:tc>
      </w:tr>
    </w:tbl>
    <w:p>
      <w:pPr>
        <w:pStyle w:val="7"/>
        <w:ind w:firstLine="480"/>
        <w:sectPr>
          <w:pgSz w:w="16838" w:h="11906" w:orient="landscape"/>
          <w:pgMar w:top="1800" w:right="1440" w:bottom="1800" w:left="1440" w:header="851" w:footer="992" w:gutter="0"/>
          <w:cols w:space="425" w:num="1"/>
          <w:docGrid w:type="lines" w:linePitch="312" w:charSpace="0"/>
        </w:sectPr>
      </w:pPr>
    </w:p>
    <w:p>
      <w:pPr>
        <w:pStyle w:val="8"/>
      </w:pPr>
      <w:r>
        <w:rPr>
          <w:rFonts w:hint="eastAsia"/>
        </w:rPr>
        <w:t>4.4.2二期工程产污环节及污染源分析</w:t>
      </w:r>
    </w:p>
    <w:p>
      <w:pPr>
        <w:pStyle w:val="9"/>
      </w:pPr>
      <w:r>
        <w:rPr>
          <w:rFonts w:hint="eastAsia"/>
        </w:rPr>
        <w:t>4.4.2.1废气</w:t>
      </w:r>
    </w:p>
    <w:p>
      <w:pPr>
        <w:pStyle w:val="7"/>
        <w:ind w:firstLine="480"/>
      </w:pPr>
      <w:r>
        <w:rPr>
          <w:rFonts w:hint="eastAsia"/>
        </w:rPr>
        <w:t>通过工程分析可知，二期工程废气分为有组织排放废气及无组织排放废气，有组织废气包括熔保炉天然气燃烧废气G2-1、精炼废气G2-2、扒渣废气G2-3、铝灰分离废气G2-4。无组织废气主要包括扒渣过程中未收集到的粉尘、铝灰分离过程中未收集到的粉尘以及铸轧过程燃烧的液化石油气产生的废气。</w:t>
      </w:r>
    </w:p>
    <w:p>
      <w:pPr>
        <w:topLinePunct/>
        <w:adjustRightInd w:val="0"/>
        <w:spacing w:line="360" w:lineRule="auto"/>
        <w:ind w:firstLine="482"/>
        <w:rPr>
          <w:b/>
          <w:bCs/>
        </w:rPr>
      </w:pPr>
      <w:r>
        <w:rPr>
          <w:b/>
          <w:bCs/>
        </w:rPr>
        <w:t>1、有组织废气</w:t>
      </w:r>
    </w:p>
    <w:p>
      <w:pPr>
        <w:widowControl/>
        <w:spacing w:line="360" w:lineRule="auto"/>
        <w:ind w:firstLine="482" w:firstLineChars="200"/>
        <w:jc w:val="left"/>
        <w:rPr>
          <w:b/>
          <w:bCs/>
        </w:rPr>
      </w:pPr>
      <w:r>
        <w:rPr>
          <w:rFonts w:hint="eastAsia"/>
          <w:b/>
          <w:bCs/>
        </w:rPr>
        <w:t>（1）熔保炉燃烧废气G2-1</w:t>
      </w:r>
    </w:p>
    <w:p>
      <w:pPr>
        <w:widowControl/>
        <w:spacing w:line="360" w:lineRule="auto"/>
        <w:ind w:firstLine="480" w:firstLineChars="200"/>
        <w:jc w:val="left"/>
      </w:pPr>
      <w:r>
        <w:rPr>
          <w:rFonts w:hint="eastAsia"/>
        </w:rPr>
        <w:t>二期工程铸轧板熔炼炉、保温炉在生产过程中需要的热源由天然气提供。铸轧板生产线生产产能为60000t/a，</w:t>
      </w:r>
      <w:r>
        <w:t>总耗天然气量为</w:t>
      </w:r>
      <w:r>
        <w:rPr>
          <w:rFonts w:hint="eastAsia"/>
        </w:rPr>
        <w:t>570</w:t>
      </w:r>
      <w:r>
        <w:t>万m</w:t>
      </w:r>
      <w:r>
        <w:rPr>
          <w:vertAlign w:val="superscript"/>
        </w:rPr>
        <w:t>3</w:t>
      </w:r>
      <w:r>
        <w:rPr>
          <w:rFonts w:hint="eastAsia"/>
        </w:rPr>
        <w:t>/a。根据《排放源统计调查产排污核算方法和系数手册（2021）》（4430，产污系数表—燃气工业锅炉）及《环境保护实用数据手册》，NO</w:t>
      </w:r>
      <w:r>
        <w:rPr>
          <w:rFonts w:hint="eastAsia"/>
          <w:vertAlign w:val="subscript"/>
        </w:rPr>
        <w:t>x</w:t>
      </w:r>
      <w:r>
        <w:rPr>
          <w:rFonts w:hint="eastAsia"/>
        </w:rPr>
        <w:t>排放因子取15.87kg/10</w:t>
      </w:r>
      <w:r>
        <w:rPr>
          <w:rFonts w:hint="eastAsia"/>
          <w:vertAlign w:val="superscript"/>
        </w:rPr>
        <w:t>4</w:t>
      </w:r>
      <w:r>
        <w:rPr>
          <w:rFonts w:hint="eastAsia"/>
        </w:rPr>
        <w:t>m</w:t>
      </w:r>
      <w:r>
        <w:rPr>
          <w:rFonts w:hint="eastAsia"/>
          <w:vertAlign w:val="superscript"/>
        </w:rPr>
        <w:t>3</w:t>
      </w:r>
      <w:r>
        <w:rPr>
          <w:rFonts w:hint="eastAsia"/>
        </w:rPr>
        <w:t>天然气（低氮燃烧-国内一般），SO</w:t>
      </w:r>
      <w:r>
        <w:rPr>
          <w:rFonts w:hint="eastAsia"/>
          <w:vertAlign w:val="subscript"/>
        </w:rPr>
        <w:t>2</w:t>
      </w:r>
      <w:r>
        <w:rPr>
          <w:rFonts w:hint="eastAsia"/>
        </w:rPr>
        <w:t>排放因子取0.02Skg/10</w:t>
      </w:r>
      <w:r>
        <w:rPr>
          <w:rFonts w:hint="eastAsia"/>
          <w:vertAlign w:val="superscript"/>
        </w:rPr>
        <w:t>4</w:t>
      </w:r>
      <w:r>
        <w:rPr>
          <w:rFonts w:hint="eastAsia"/>
        </w:rPr>
        <w:t>m</w:t>
      </w:r>
      <w:r>
        <w:rPr>
          <w:rFonts w:hint="eastAsia"/>
          <w:vertAlign w:val="superscript"/>
        </w:rPr>
        <w:t>3</w:t>
      </w:r>
      <w:r>
        <w:rPr>
          <w:rFonts w:hint="eastAsia"/>
        </w:rPr>
        <w:t xml:space="preserve"> 天然气（S为硫含量，天然气含硫量按200mg/m</w:t>
      </w:r>
      <w:r>
        <w:rPr>
          <w:rFonts w:hint="eastAsia"/>
          <w:vertAlign w:val="superscript"/>
        </w:rPr>
        <w:t>3</w:t>
      </w:r>
      <w:r>
        <w:rPr>
          <w:rFonts w:hint="eastAsia"/>
        </w:rPr>
        <w:t>计算(2类标准)），烟尘排放因子取2.4kg/10</w:t>
      </w:r>
      <w:r>
        <w:rPr>
          <w:rFonts w:hint="eastAsia"/>
          <w:vertAlign w:val="superscript"/>
        </w:rPr>
        <w:t>4</w:t>
      </w:r>
      <w:r>
        <w:rPr>
          <w:rFonts w:hint="eastAsia"/>
        </w:rPr>
        <w:t>m</w:t>
      </w:r>
      <w:r>
        <w:rPr>
          <w:rFonts w:hint="eastAsia"/>
          <w:vertAlign w:val="superscript"/>
        </w:rPr>
        <w:t>3</w:t>
      </w:r>
      <w:r>
        <w:rPr>
          <w:rFonts w:hint="eastAsia"/>
        </w:rPr>
        <w:t>天然气。熔保炉天然气系统年工作时间8000h，根据计算，燃烧废气中烟尘产生量1.37t/a（0.17kg/h）、</w:t>
      </w:r>
      <w:r>
        <w:t>SO</w:t>
      </w:r>
      <w:r>
        <w:rPr>
          <w:rFonts w:hint="eastAsia"/>
          <w:vertAlign w:val="subscript"/>
        </w:rPr>
        <w:t>2</w:t>
      </w:r>
      <w:r>
        <w:rPr>
          <w:rFonts w:hint="eastAsia"/>
        </w:rPr>
        <w:t>产生量2.28t/a（0.29kg/h）、</w:t>
      </w:r>
      <w:r>
        <w:t>NO</w:t>
      </w:r>
      <w:r>
        <w:rPr>
          <w:rFonts w:hint="eastAsia"/>
          <w:vertAlign w:val="subscript"/>
        </w:rPr>
        <w:t>x</w:t>
      </w:r>
      <w:r>
        <w:rPr>
          <w:rFonts w:hint="eastAsia"/>
        </w:rPr>
        <w:t>产生量为9.05t/a（1.13kg/h）。天然气燃烧废气通过炉内管道全部进入收集管道，天然气燃烧废气与熔炼炉废气一同由P2-1排气筒排放。</w:t>
      </w:r>
    </w:p>
    <w:p>
      <w:pPr>
        <w:pStyle w:val="7"/>
        <w:ind w:firstLine="482"/>
        <w:rPr>
          <w:b/>
          <w:bCs/>
        </w:rPr>
      </w:pPr>
      <w:r>
        <w:rPr>
          <w:rFonts w:hint="eastAsia"/>
          <w:b/>
          <w:bCs/>
        </w:rPr>
        <w:t>（2）精炼废气G2-2</w:t>
      </w:r>
    </w:p>
    <w:p>
      <w:pPr>
        <w:pStyle w:val="7"/>
        <w:ind w:firstLine="480"/>
      </w:pPr>
      <w:r>
        <w:rPr>
          <w:rFonts w:hint="eastAsia"/>
        </w:rPr>
        <w:t>二期工程精炼用气采用氮气，其作用主要是向铝液内通入N</w:t>
      </w:r>
      <w:r>
        <w:rPr>
          <w:rFonts w:hint="eastAsia"/>
          <w:vertAlign w:val="subscript"/>
        </w:rPr>
        <w:t>2</w:t>
      </w:r>
      <w:r>
        <w:rPr>
          <w:rFonts w:hint="eastAsia"/>
        </w:rPr>
        <w:t>和精炼剂以去除熔体中的氧化物夹杂和H</w:t>
      </w:r>
      <w:r>
        <w:rPr>
          <w:rFonts w:hint="eastAsia"/>
          <w:vertAlign w:val="subscript"/>
        </w:rPr>
        <w:t>2</w:t>
      </w:r>
      <w:r>
        <w:rPr>
          <w:rFonts w:hint="eastAsia"/>
        </w:rPr>
        <w:t>。根据分压脱气原理，N</w:t>
      </w:r>
      <w:r>
        <w:rPr>
          <w:rFonts w:hint="eastAsia"/>
          <w:vertAlign w:val="subscript"/>
        </w:rPr>
        <w:t>2</w:t>
      </w:r>
      <w:r>
        <w:rPr>
          <w:rFonts w:hint="eastAsia"/>
        </w:rPr>
        <w:t>被吹入的铝液后形成许多细小的气泡，使溶于铝液中的H</w:t>
      </w:r>
      <w:r>
        <w:rPr>
          <w:rFonts w:hint="eastAsia"/>
          <w:vertAlign w:val="subscript"/>
        </w:rPr>
        <w:t>2</w:t>
      </w:r>
      <w:r>
        <w:rPr>
          <w:rFonts w:hint="eastAsia"/>
        </w:rPr>
        <w:t>不断扩散进气泡中，气泡浮出液面后H</w:t>
      </w:r>
      <w:r>
        <w:rPr>
          <w:rFonts w:hint="eastAsia"/>
          <w:vertAlign w:val="subscript"/>
        </w:rPr>
        <w:t>2</w:t>
      </w:r>
      <w:r>
        <w:rPr>
          <w:rFonts w:hint="eastAsia"/>
        </w:rPr>
        <w:t>也随之溢出。此外，通入N</w:t>
      </w:r>
      <w:r>
        <w:rPr>
          <w:rFonts w:hint="eastAsia"/>
          <w:vertAlign w:val="subscript"/>
        </w:rPr>
        <w:t>2</w:t>
      </w:r>
      <w:r>
        <w:rPr>
          <w:rFonts w:hint="eastAsia"/>
        </w:rPr>
        <w:t>还具有去除熔体中氧化物夹杂作用，主要依靠N</w:t>
      </w:r>
      <w:r>
        <w:rPr>
          <w:rFonts w:hint="eastAsia"/>
          <w:vertAlign w:val="subscript"/>
        </w:rPr>
        <w:t>2</w:t>
      </w:r>
      <w:r>
        <w:rPr>
          <w:rFonts w:hint="eastAsia"/>
        </w:rPr>
        <w:t>气泡的吸附作用，使部分氧化物夹杂被带到溶液表面，便于扒渣处理。</w:t>
      </w:r>
    </w:p>
    <w:p>
      <w:pPr>
        <w:pStyle w:val="7"/>
        <w:ind w:firstLine="480"/>
      </w:pPr>
      <w:r>
        <w:rPr>
          <w:rFonts w:hint="eastAsia"/>
        </w:rPr>
        <w:t>另外需要添加精炼剂，精炼剂主要成分为Na</w:t>
      </w:r>
      <w:r>
        <w:rPr>
          <w:rFonts w:hint="eastAsia"/>
          <w:vertAlign w:val="subscript"/>
        </w:rPr>
        <w:t>3</w:t>
      </w:r>
      <w:r>
        <w:rPr>
          <w:rFonts w:hint="eastAsia"/>
        </w:rPr>
        <w:t>AlF</w:t>
      </w:r>
      <w:r>
        <w:rPr>
          <w:rFonts w:hint="eastAsia"/>
          <w:vertAlign w:val="subscript"/>
        </w:rPr>
        <w:t>6</w:t>
      </w:r>
      <w:r>
        <w:rPr>
          <w:rFonts w:hint="eastAsia"/>
        </w:rPr>
        <w:t>、Na</w:t>
      </w:r>
      <w:r>
        <w:rPr>
          <w:rFonts w:hint="eastAsia"/>
          <w:vertAlign w:val="subscript"/>
        </w:rPr>
        <w:t>2</w:t>
      </w:r>
      <w:r>
        <w:rPr>
          <w:rFonts w:hint="eastAsia"/>
        </w:rPr>
        <w:t>SiF</w:t>
      </w:r>
      <w:r>
        <w:rPr>
          <w:rFonts w:hint="eastAsia"/>
          <w:vertAlign w:val="subscript"/>
        </w:rPr>
        <w:t>6</w:t>
      </w:r>
      <w:r>
        <w:rPr>
          <w:rFonts w:hint="eastAsia"/>
        </w:rPr>
        <w:t>，因此熔保炉内会产生氟化物，同时熔保炉在配料、熔炼、精炼生产过程中会产生粉尘。故精炼废气中主要污染物为烟尘、氟化物。</w:t>
      </w:r>
    </w:p>
    <w:p>
      <w:pPr>
        <w:pStyle w:val="7"/>
        <w:ind w:firstLine="480"/>
      </w:pPr>
      <w:r>
        <w:rPr>
          <w:rFonts w:hint="eastAsia"/>
        </w:rPr>
        <w:t>①颗粒物</w:t>
      </w:r>
    </w:p>
    <w:p>
      <w:pPr>
        <w:pStyle w:val="7"/>
        <w:ind w:firstLine="480"/>
      </w:pPr>
      <w:r>
        <w:rPr>
          <w:rFonts w:hint="eastAsia"/>
        </w:rPr>
        <w:t>铸轧板生产规模为60000t/a，</w:t>
      </w:r>
      <w:r>
        <w:t>根据</w:t>
      </w:r>
      <w:r>
        <w:rPr>
          <w:rFonts w:hint="eastAsia"/>
        </w:rPr>
        <w:t>《排放源统计调查产排污核算方法和系数手册（2021）》“3240有色金属合金制造行业系数手册”，参考“使用反射炉以结晶硅+铝锭为原料生产铝硅合金”，颗粒物产生系数取5.78kg/t产品，</w:t>
      </w:r>
      <w:r>
        <w:t>因此烟尘产生量为</w:t>
      </w:r>
      <w:r>
        <w:rPr>
          <w:rFonts w:hint="eastAsia"/>
        </w:rPr>
        <w:t>346.8</w:t>
      </w:r>
      <w:r>
        <w:t>t/a</w:t>
      </w:r>
      <w:r>
        <w:rPr>
          <w:rFonts w:hint="eastAsia"/>
        </w:rPr>
        <w:t>。根据建设单位提供资料，搅拌工序颗粒物产生比例约为10%，熔炼、配料、精炼、调整成分、静置保温都在炉内密闭进行，</w:t>
      </w:r>
      <w:r>
        <w:t>在搅拌、扒渣过程中</w:t>
      </w:r>
      <w:r>
        <w:rPr>
          <w:rFonts w:hint="eastAsia"/>
        </w:rPr>
        <w:t>需要打开</w:t>
      </w:r>
      <w:r>
        <w:t>炉门</w:t>
      </w:r>
      <w:r>
        <w:rPr>
          <w:rFonts w:hint="eastAsia"/>
        </w:rPr>
        <w:t>，该部分颗粒物会逸散出炉外。故炉内颗粒物产生量为312.12t/a，</w:t>
      </w:r>
      <w:r>
        <w:t>搅拌、扒渣过程中</w:t>
      </w:r>
      <w:r>
        <w:rPr>
          <w:rFonts w:hint="eastAsia"/>
        </w:rPr>
        <w:t>颗粒物产生量为34.68t/a。熔保炉工作</w:t>
      </w:r>
      <w:r>
        <w:t>年时基数为</w:t>
      </w:r>
      <w:r>
        <w:rPr>
          <w:rFonts w:hint="eastAsia"/>
        </w:rPr>
        <w:t>495</w:t>
      </w:r>
      <w:r>
        <w:t>0h，则</w:t>
      </w:r>
      <w:r>
        <w:rPr>
          <w:rFonts w:hint="eastAsia"/>
        </w:rPr>
        <w:t>熔保炉内烟尘</w:t>
      </w:r>
      <w:r>
        <w:t>产生速率为</w:t>
      </w:r>
      <w:r>
        <w:rPr>
          <w:rFonts w:hint="eastAsia"/>
        </w:rPr>
        <w:t>63.05</w:t>
      </w:r>
      <w:r>
        <w:t>kg/h。</w:t>
      </w:r>
    </w:p>
    <w:p>
      <w:pPr>
        <w:spacing w:line="360" w:lineRule="auto"/>
        <w:ind w:firstLine="480"/>
      </w:pPr>
      <w:r>
        <w:rPr>
          <w:rFonts w:hint="eastAsia"/>
        </w:rPr>
        <w:t>②氟化物</w:t>
      </w:r>
    </w:p>
    <w:p>
      <w:pPr>
        <w:pStyle w:val="7"/>
        <w:ind w:firstLine="480"/>
      </w:pPr>
      <w:r>
        <w:rPr>
          <w:rFonts w:hint="eastAsia"/>
        </w:rPr>
        <w:t>项目产生的氟化物来自于精炼过程中，项目使用的精炼剂中主要含氟成分为冰晶石（</w:t>
      </w:r>
      <w:r>
        <w:t>Na</w:t>
      </w:r>
      <w:r>
        <w:rPr>
          <w:vertAlign w:val="subscript"/>
        </w:rPr>
        <w:t>3</w:t>
      </w:r>
      <w:r>
        <w:t>AlF</w:t>
      </w:r>
      <w:r>
        <w:rPr>
          <w:vertAlign w:val="subscript"/>
        </w:rPr>
        <w:t>6</w:t>
      </w:r>
      <w:r>
        <w:rPr>
          <w:rFonts w:hint="eastAsia"/>
        </w:rPr>
        <w:t>）和氟硅酸钠（</w:t>
      </w:r>
      <w:r>
        <w:t>Na</w:t>
      </w:r>
      <w:r>
        <w:rPr>
          <w:vertAlign w:val="subscript"/>
        </w:rPr>
        <w:t>2</w:t>
      </w:r>
      <w:r>
        <w:t>SiF</w:t>
      </w:r>
      <w:r>
        <w:rPr>
          <w:vertAlign w:val="subscript"/>
        </w:rPr>
        <w:t>6</w:t>
      </w:r>
      <w:r>
        <w:rPr>
          <w:rFonts w:hint="eastAsia"/>
        </w:rPr>
        <w:t>），含量分别为30%、20%。冰晶石熔点为1000℃，大于铝，在熔炼过程中主要作为助溶剂。氟硅酸钠在300℃以上分解产生四氟化硅（</w:t>
      </w:r>
      <w:r>
        <w:t>SiF</w:t>
      </w:r>
      <w:r>
        <w:rPr>
          <w:rFonts w:hint="eastAsia"/>
          <w:vertAlign w:val="subscript"/>
        </w:rPr>
        <w:t>4</w:t>
      </w:r>
      <w:r>
        <w:rPr>
          <w:rFonts w:hint="eastAsia"/>
        </w:rPr>
        <w:t>）和氟化钠（</w:t>
      </w:r>
      <w:r>
        <w:t>NaF</w:t>
      </w:r>
      <w:r>
        <w:rPr>
          <w:rFonts w:hint="eastAsia"/>
        </w:rPr>
        <w:t>），反应方程式为：</w:t>
      </w:r>
    </w:p>
    <w:p>
      <w:pPr>
        <w:pStyle w:val="7"/>
        <w:ind w:firstLine="480"/>
        <w:rPr>
          <w:vertAlign w:val="subscript"/>
        </w:rPr>
      </w:pPr>
      <w:r>
        <w:t>Na</w:t>
      </w:r>
      <w:r>
        <w:rPr>
          <w:vertAlign w:val="subscript"/>
        </w:rPr>
        <w:t>2</w:t>
      </w:r>
      <w:r>
        <w:t>SiF</w:t>
      </w:r>
      <w:r>
        <w:rPr>
          <w:vertAlign w:val="subscript"/>
        </w:rPr>
        <w:t>6</w:t>
      </w:r>
      <w:r>
        <w:rPr>
          <w:rFonts w:hint="eastAsia"/>
        </w:rPr>
        <w:t xml:space="preserve">  </w:t>
      </w:r>
      <w:r>
        <w:rPr>
          <w:rFonts w:ascii="Arial" w:hAnsi="Arial" w:cs="Arial"/>
        </w:rPr>
        <w:t>→</w:t>
      </w:r>
      <w:r>
        <w:rPr>
          <w:rFonts w:hint="eastAsia" w:ascii="Arial" w:hAnsi="Arial" w:cs="Arial"/>
        </w:rPr>
        <w:t xml:space="preserve">  </w:t>
      </w:r>
      <w:r>
        <w:t>SiF</w:t>
      </w:r>
      <w:r>
        <w:rPr>
          <w:rFonts w:hint="eastAsia"/>
          <w:vertAlign w:val="subscript"/>
        </w:rPr>
        <w:t>4</w:t>
      </w:r>
      <w:r>
        <w:t xml:space="preserve"> </w:t>
      </w:r>
      <w:r>
        <w:rPr>
          <w:rFonts w:hint="eastAsia"/>
        </w:rPr>
        <w:t>+</w:t>
      </w:r>
      <w:r>
        <w:t xml:space="preserve"> NaF</w:t>
      </w:r>
      <w:r>
        <w:rPr>
          <w:vertAlign w:val="subscript"/>
        </w:rPr>
        <w:t xml:space="preserve">    </w:t>
      </w:r>
    </w:p>
    <w:p>
      <w:pPr>
        <w:pStyle w:val="7"/>
        <w:ind w:firstLine="480"/>
      </w:pPr>
      <w:r>
        <w:rPr>
          <w:rFonts w:hint="eastAsia"/>
        </w:rPr>
        <w:t>其中</w:t>
      </w:r>
      <w:r>
        <w:t>SiF</w:t>
      </w:r>
      <w:r>
        <w:rPr>
          <w:rFonts w:hint="eastAsia"/>
          <w:vertAlign w:val="subscript"/>
        </w:rPr>
        <w:t>4</w:t>
      </w:r>
      <w:r>
        <w:rPr>
          <w:rFonts w:hint="eastAsia"/>
        </w:rPr>
        <w:t>挥发成气体起到除气的作用，</w:t>
      </w:r>
      <w:r>
        <w:t>NaF</w:t>
      </w:r>
      <w:r>
        <w:rPr>
          <w:rFonts w:hint="eastAsia"/>
        </w:rPr>
        <w:t>具有弱变质的作用。另外氟硅酸钠还跟氧化铝发生反应，会产生氟化铝，反应方程式如下，同时所生成的</w:t>
      </w:r>
      <w:r>
        <w:t>SiO</w:t>
      </w:r>
      <w:r>
        <w:rPr>
          <w:rFonts w:hint="eastAsia"/>
          <w:vertAlign w:val="subscript"/>
        </w:rPr>
        <w:t>2</w:t>
      </w:r>
      <w:r>
        <w:rPr>
          <w:rFonts w:hint="eastAsia"/>
        </w:rPr>
        <w:t>结合成块状渣易除去。</w:t>
      </w:r>
    </w:p>
    <w:p>
      <w:pPr>
        <w:pStyle w:val="7"/>
        <w:ind w:firstLine="480"/>
      </w:pPr>
      <w:r>
        <w:rPr>
          <w:rFonts w:hint="eastAsia"/>
        </w:rPr>
        <w:t>3</w:t>
      </w:r>
      <w:r>
        <w:t>Na</w:t>
      </w:r>
      <w:r>
        <w:rPr>
          <w:vertAlign w:val="subscript"/>
        </w:rPr>
        <w:t>2</w:t>
      </w:r>
      <w:r>
        <w:t>SiF</w:t>
      </w:r>
      <w:r>
        <w:rPr>
          <w:vertAlign w:val="subscript"/>
        </w:rPr>
        <w:t>6</w:t>
      </w:r>
      <w:r>
        <w:t>+2Al</w:t>
      </w:r>
      <w:r>
        <w:rPr>
          <w:vertAlign w:val="subscript"/>
        </w:rPr>
        <w:t>2</w:t>
      </w:r>
      <w:r>
        <w:t>O</w:t>
      </w:r>
      <w:r>
        <w:rPr>
          <w:vertAlign w:val="subscript"/>
        </w:rPr>
        <w:t>3</w:t>
      </w:r>
      <w:r>
        <w:rPr>
          <w:rFonts w:hint="eastAsia"/>
        </w:rPr>
        <w:t xml:space="preserve"> ==</w:t>
      </w:r>
      <w:r>
        <w:t xml:space="preserve"> </w:t>
      </w:r>
      <w:r>
        <w:rPr>
          <w:rFonts w:hint="eastAsia"/>
        </w:rPr>
        <w:t>2</w:t>
      </w:r>
      <w:r>
        <w:t>Na</w:t>
      </w:r>
      <w:r>
        <w:rPr>
          <w:vertAlign w:val="subscript"/>
        </w:rPr>
        <w:t>3</w:t>
      </w:r>
      <w:r>
        <w:t>AlF</w:t>
      </w:r>
      <w:r>
        <w:rPr>
          <w:vertAlign w:val="subscript"/>
        </w:rPr>
        <w:t>6</w:t>
      </w:r>
      <w:r>
        <w:rPr>
          <w:rFonts w:hint="eastAsia"/>
        </w:rPr>
        <w:t>+3</w:t>
      </w:r>
      <w:r>
        <w:t>SiO</w:t>
      </w:r>
      <w:r>
        <w:rPr>
          <w:rFonts w:hint="eastAsia"/>
          <w:vertAlign w:val="subscript"/>
        </w:rPr>
        <w:t>2</w:t>
      </w:r>
      <w:r>
        <w:rPr>
          <w:vertAlign w:val="subscript"/>
        </w:rPr>
        <w:t xml:space="preserve"> </w:t>
      </w:r>
      <w:r>
        <w:rPr>
          <w:rFonts w:hint="eastAsia"/>
        </w:rPr>
        <w:t>+2</w:t>
      </w:r>
      <w:r>
        <w:t>AlF</w:t>
      </w:r>
      <w:r>
        <w:rPr>
          <w:vertAlign w:val="subscript"/>
        </w:rPr>
        <w:t>3</w:t>
      </w:r>
    </w:p>
    <w:p>
      <w:pPr>
        <w:pStyle w:val="7"/>
        <w:ind w:firstLine="480"/>
      </w:pPr>
      <w:r>
        <w:rPr>
          <w:rFonts w:hint="eastAsia"/>
        </w:rPr>
        <w:t>根据工程分析，二期工程精炼剂使用量为6t/a，则冰晶石量为1.8</w:t>
      </w:r>
      <w:r>
        <w:t>t/a</w:t>
      </w:r>
      <w:r>
        <w:rPr>
          <w:rFonts w:hint="eastAsia"/>
        </w:rPr>
        <w:t>，带入的氟元素总量为0.977</w:t>
      </w:r>
      <w:r>
        <w:t>t/a</w:t>
      </w:r>
      <w:r>
        <w:rPr>
          <w:rFonts w:hint="eastAsia"/>
        </w:rPr>
        <w:t>，氟硅酸钠量为1.2</w:t>
      </w:r>
      <w:r>
        <w:t>t/a</w:t>
      </w:r>
      <w:r>
        <w:rPr>
          <w:rFonts w:hint="eastAsia"/>
        </w:rPr>
        <w:t>，带入的氟元素量为0.727</w:t>
      </w:r>
      <w:r>
        <w:t>t/a</w:t>
      </w:r>
      <w:r>
        <w:rPr>
          <w:rFonts w:hint="eastAsia"/>
        </w:rPr>
        <w:t>，总计原料中带入氟元素量为1.704</w:t>
      </w:r>
      <w:r>
        <w:t>t/a</w:t>
      </w:r>
      <w:r>
        <w:rPr>
          <w:rFonts w:hint="eastAsia"/>
        </w:rPr>
        <w:t>。根据建设单位提供资料，氟元素大部分以块状残渣由扒渣工艺扒出，1</w:t>
      </w:r>
      <w:r>
        <w:t>2.5%</w:t>
      </w:r>
      <w:r>
        <w:rPr>
          <w:rFonts w:hint="eastAsia"/>
        </w:rPr>
        <w:t>的氟元素以冰晶石、氟化钠、氟化铝等尘氟的形式扩散，0</w:t>
      </w:r>
      <w:r>
        <w:t>.5%</w:t>
      </w:r>
      <w:r>
        <w:rPr>
          <w:rFonts w:hint="eastAsia"/>
        </w:rPr>
        <w:t>氟元素的因四氟化硅分解以气态氟的形式扩散。根据计算，扩散出的氟元素量为0.22t/a，扩散出的氟化物量为0.39</w:t>
      </w:r>
      <w:r>
        <w:t>t/a</w:t>
      </w:r>
      <w:r>
        <w:rPr>
          <w:rFonts w:hint="eastAsia"/>
        </w:rPr>
        <w:t>。扩散出的氟化物由炉内密闭的排气管道排出，经过布袋除尘器处理后排入大气中。项目熔保炉工作</w:t>
      </w:r>
      <w:r>
        <w:t>年时基数为</w:t>
      </w:r>
      <w:r>
        <w:rPr>
          <w:rFonts w:hint="eastAsia"/>
        </w:rPr>
        <w:t>495</w:t>
      </w:r>
      <w:r>
        <w:t>0h，则</w:t>
      </w:r>
      <w:r>
        <w:rPr>
          <w:rFonts w:hint="eastAsia"/>
        </w:rPr>
        <w:t>熔保炉中氟化物产生速率为0.08kg/h。</w:t>
      </w:r>
    </w:p>
    <w:p>
      <w:pPr>
        <w:spacing w:line="360" w:lineRule="auto"/>
        <w:ind w:firstLine="480"/>
      </w:pPr>
      <w:r>
        <w:rPr>
          <w:rFonts w:hint="eastAsia"/>
        </w:rPr>
        <w:t>该部分废气由熔保炉配套的排气管道引入布袋除尘器处理系统处理后经过30m排气筒（P2-1）排放，风机风量为50000m</w:t>
      </w:r>
      <w:r>
        <w:rPr>
          <w:rFonts w:hint="eastAsia"/>
          <w:vertAlign w:val="superscript"/>
        </w:rPr>
        <w:t>3</w:t>
      </w:r>
      <w:r>
        <w:rPr>
          <w:rFonts w:hint="eastAsia"/>
        </w:rPr>
        <w:t>/h。</w:t>
      </w:r>
    </w:p>
    <w:p>
      <w:pPr>
        <w:widowControl/>
        <w:spacing w:line="360" w:lineRule="auto"/>
        <w:ind w:firstLine="482" w:firstLineChars="200"/>
        <w:jc w:val="left"/>
        <w:rPr>
          <w:b/>
          <w:bCs/>
        </w:rPr>
      </w:pPr>
      <w:r>
        <w:rPr>
          <w:rFonts w:hint="eastAsia"/>
          <w:b/>
          <w:bCs/>
        </w:rPr>
        <w:t>（3）扒渣废气G3</w:t>
      </w:r>
    </w:p>
    <w:p>
      <w:pPr>
        <w:pStyle w:val="7"/>
        <w:ind w:firstLine="480"/>
      </w:pPr>
      <w:r>
        <w:rPr>
          <w:rFonts w:hint="eastAsia"/>
        </w:rPr>
        <w:t>项目在扒渣过程中需要打开炉门，炉内烟气会逸散出炉外，根据建设单位提供资料，搅拌、扒渣工序颗粒物产生比例约为10%，每批次搅拌扒渣的时间为30min，搅拌扒渣的工作</w:t>
      </w:r>
      <w:r>
        <w:t>年时基数为</w:t>
      </w:r>
      <w:r>
        <w:rPr>
          <w:rFonts w:hint="eastAsia"/>
        </w:rPr>
        <w:t>99</w:t>
      </w:r>
      <w:r>
        <w:t>0h</w:t>
      </w:r>
      <w:r>
        <w:rPr>
          <w:rFonts w:hint="eastAsia"/>
        </w:rPr>
        <w:t>。</w:t>
      </w:r>
    </w:p>
    <w:p>
      <w:pPr>
        <w:pStyle w:val="7"/>
        <w:ind w:firstLine="480"/>
      </w:pPr>
      <w:r>
        <w:rPr>
          <w:rFonts w:hint="eastAsia"/>
        </w:rPr>
        <w:t>根据前述计算，</w:t>
      </w:r>
      <w:r>
        <w:t>搅拌、扒渣过程中</w:t>
      </w:r>
      <w:r>
        <w:rPr>
          <w:rFonts w:hint="eastAsia"/>
        </w:rPr>
        <w:t>颗粒物产生量为34.68t/a，每批次搅拌扒渣的时间为30min，搅拌扒渣的工作</w:t>
      </w:r>
      <w:r>
        <w:t>年时基数为</w:t>
      </w:r>
      <w:r>
        <w:rPr>
          <w:rFonts w:hint="eastAsia"/>
        </w:rPr>
        <w:t>99</w:t>
      </w:r>
      <w:r>
        <w:t>0h</w:t>
      </w:r>
      <w:r>
        <w:rPr>
          <w:rFonts w:hint="eastAsia"/>
        </w:rPr>
        <w:t>。</w:t>
      </w:r>
      <w:r>
        <w:t>搅拌、扒渣过程中</w:t>
      </w:r>
      <w:r>
        <w:rPr>
          <w:rFonts w:hint="eastAsia"/>
        </w:rPr>
        <w:t>产生的废气由</w:t>
      </w:r>
      <w:r>
        <w:t>收集效率为9</w:t>
      </w:r>
      <w:r>
        <w:rPr>
          <w:rFonts w:hint="eastAsia"/>
        </w:rPr>
        <w:t>8</w:t>
      </w:r>
      <w:r>
        <w:t>%的集气罩收集</w:t>
      </w:r>
      <w:r>
        <w:rPr>
          <w:rFonts w:hint="eastAsia"/>
        </w:rPr>
        <w:t>后同燃烧废气、精炼废气一起进入</w:t>
      </w:r>
      <w:r>
        <w:t>布袋除尘器处理后</w:t>
      </w:r>
      <w:r>
        <w:rPr>
          <w:rFonts w:hint="eastAsia"/>
        </w:rPr>
        <w:t>经过30m高排气筒（P2-1）排放，有组织收集量为33.99t/a（34.33kg/h）。未收集到的颗粒物量为0.69t，以无组织的形式排放。</w:t>
      </w:r>
    </w:p>
    <w:p>
      <w:pPr>
        <w:pStyle w:val="7"/>
        <w:ind w:firstLine="482"/>
        <w:rPr>
          <w:b/>
          <w:bCs/>
        </w:rPr>
      </w:pPr>
      <w:r>
        <w:rPr>
          <w:rFonts w:hint="eastAsia"/>
          <w:b/>
          <w:bCs/>
        </w:rPr>
        <w:t>（4）铝灰分离废气G4</w:t>
      </w:r>
    </w:p>
    <w:p>
      <w:pPr>
        <w:pStyle w:val="2"/>
        <w:spacing w:after="0" w:line="360" w:lineRule="auto"/>
        <w:ind w:left="0" w:leftChars="0" w:firstLine="480"/>
      </w:pPr>
      <w:r>
        <w:rPr>
          <w:rFonts w:hint="eastAsia"/>
        </w:rPr>
        <w:t>二期工程在</w:t>
      </w:r>
      <w:r>
        <w:t>生产车间</w:t>
      </w:r>
      <w:r>
        <w:rPr>
          <w:rFonts w:hint="eastAsia"/>
        </w:rPr>
        <w:t>南</w:t>
      </w:r>
      <w:r>
        <w:t>侧设置有</w:t>
      </w:r>
      <w:r>
        <w:rPr>
          <w:rFonts w:hint="eastAsia"/>
        </w:rPr>
        <w:t>一</w:t>
      </w:r>
      <w:r>
        <w:t>个铝灰分离车间，铝灰分离车间单独设置一套废气处理设施，参考山东创新金属科技有限公司年产80万吨轻质高强铝合金材料改扩建项目建设项目竣工环境保护验收监测报告中5#、6#排气筒监测数据分析（注：山东创新金属科技有限公司年产80万吨轻质高强铝合金材料改扩建项目主要产品为轻质高强铝合金材料，主要原料为原铝水、镁锭、速溶硅、铝钛硼丝、精炼剂等，主要生产工艺为熔炼、静置保温、晶粒细化、过滤、结晶、锯切、均质，主要设备为熔炼炉、熔保炉、结晶机、均质炉等，主要燃料为天然气，与本项目生产工艺、原料、燃料等相</w:t>
      </w:r>
      <w:r>
        <w:rPr>
          <w:rFonts w:hint="eastAsia"/>
        </w:rPr>
        <w:t>同</w:t>
      </w:r>
      <w:r>
        <w:t>），确定5#、6#排气筒对应的4台铝灰分离设备（80万吨/年产能）相关污染物排放量为：颗粒物：0.36kg/h，2.592t/a。项目采用集气罩+旋风+布袋除尘装置对此部分铝灰分离废气进行处理，除尘装置处理效率以95%计，集气罩收集效率以95%计，则山东创新金属科技有限公司年产80万吨轻质高强铝合金材料改扩建项目铝灰分离设备颗粒物产生量为54.568t/a</w:t>
      </w:r>
      <w:r>
        <w:rPr>
          <w:rFonts w:hint="eastAsia"/>
        </w:rPr>
        <w:t>（0.068kg/t-产品）</w:t>
      </w:r>
      <w:r>
        <w:t>。</w:t>
      </w:r>
    </w:p>
    <w:p>
      <w:pPr>
        <w:pStyle w:val="2"/>
        <w:spacing w:after="0" w:line="360" w:lineRule="auto"/>
        <w:ind w:left="0" w:leftChars="0" w:firstLine="480"/>
      </w:pPr>
      <w:r>
        <w:rPr>
          <w:rFonts w:hint="eastAsia"/>
        </w:rPr>
        <w:t>类比</w:t>
      </w:r>
      <w:r>
        <w:t>以上铝灰分离工序颗粒物产排污情况，</w:t>
      </w:r>
      <w:r>
        <w:rPr>
          <w:rFonts w:hint="eastAsia"/>
        </w:rPr>
        <w:t>根据建设单位提供资料，按照不利情况考虑，本项目</w:t>
      </w:r>
      <w:r>
        <w:t>铝灰分离设备颗粒物产生</w:t>
      </w:r>
      <w:r>
        <w:rPr>
          <w:rFonts w:hint="eastAsia"/>
        </w:rPr>
        <w:t>系数在类比基础上增加30%计算，即</w:t>
      </w:r>
      <w:r>
        <w:t>为</w:t>
      </w:r>
      <w:r>
        <w:rPr>
          <w:rFonts w:hint="eastAsia"/>
        </w:rPr>
        <w:t>0.089kg/t-产品，则本项目二期工程</w:t>
      </w:r>
      <w:r>
        <w:t>（</w:t>
      </w:r>
      <w:r>
        <w:rPr>
          <w:rFonts w:hint="eastAsia"/>
        </w:rPr>
        <w:t>6</w:t>
      </w:r>
      <w:r>
        <w:t>万吨/年产能）铝灰分离设备运行过程中颗粒物产生量为</w:t>
      </w:r>
      <w:r>
        <w:rPr>
          <w:rFonts w:hint="eastAsia"/>
        </w:rPr>
        <w:t>5.34</w:t>
      </w:r>
      <w:r>
        <w:t>t/a。</w:t>
      </w:r>
    </w:p>
    <w:p>
      <w:pPr>
        <w:pStyle w:val="7"/>
        <w:ind w:firstLine="480"/>
      </w:pPr>
      <w:r>
        <w:t>本项目铝灰分离车间采用封闭式结构，且铝灰输送过程采用机械运输方式，满足铝灰不落地的要求。项目配套建设的铝灰分离设备产生的颗粒物经由管道进行收集处理，较原有项目对颗粒物收集效率有较大提升，只有在下料等软连接工序有少量颗粒物逸散，因此确定本项目铝灰分离过程废气处理装置对颗粒物收集效率以99%计，</w:t>
      </w:r>
      <w:r>
        <w:rPr>
          <w:rFonts w:hint="eastAsia"/>
        </w:rPr>
        <w:t>根据建设单位提供资料，铝灰分离系统每天工作8</w:t>
      </w:r>
      <w:r>
        <w:t>h</w:t>
      </w:r>
      <w:r>
        <w:rPr>
          <w:rFonts w:hint="eastAsia"/>
        </w:rPr>
        <w:t>，则铝灰分离系统工作</w:t>
      </w:r>
      <w:r>
        <w:t>年时基数为</w:t>
      </w:r>
      <w:r>
        <w:rPr>
          <w:rFonts w:hint="eastAsia"/>
        </w:rPr>
        <w:t>264</w:t>
      </w:r>
      <w:r>
        <w:t>0h</w:t>
      </w:r>
      <w:r>
        <w:rPr>
          <w:rFonts w:hint="eastAsia"/>
        </w:rPr>
        <w:t>。则二期工程铝灰分离废气中</w:t>
      </w:r>
      <w:r>
        <w:t>颗粒物产生</w:t>
      </w:r>
      <w:r>
        <w:rPr>
          <w:rFonts w:hint="eastAsia"/>
        </w:rPr>
        <w:t>速率</w:t>
      </w:r>
      <w:r>
        <w:t>为</w:t>
      </w:r>
      <w:r>
        <w:rPr>
          <w:rFonts w:hint="eastAsia"/>
        </w:rPr>
        <w:t>2.0kg/h、5.29t/a。</w:t>
      </w:r>
      <w:r>
        <w:t>废气经收集后进入布袋除尘器进行处理，铝灰分离工序布袋除尘器除尘效率以9</w:t>
      </w:r>
      <w:r>
        <w:rPr>
          <w:rFonts w:hint="eastAsia"/>
        </w:rPr>
        <w:t>8</w:t>
      </w:r>
      <w:r>
        <w:t>%</w:t>
      </w:r>
      <w:r>
        <w:rPr>
          <w:rFonts w:hint="eastAsia"/>
        </w:rPr>
        <w:t>计</w:t>
      </w:r>
      <w:r>
        <w:t>。</w:t>
      </w:r>
      <w:r>
        <w:rPr>
          <w:rFonts w:hint="eastAsia"/>
        </w:rPr>
        <w:t>铝灰分离废气经1座20m高排气筒（P2-2）排放，</w:t>
      </w:r>
      <w:r>
        <w:t>配套</w:t>
      </w:r>
      <w:r>
        <w:rPr>
          <w:rFonts w:hint="eastAsia"/>
        </w:rPr>
        <w:t>排气系统</w:t>
      </w:r>
      <w:r>
        <w:t>引风机风量为</w:t>
      </w:r>
      <w:r>
        <w:rPr>
          <w:rFonts w:hint="eastAsia"/>
        </w:rPr>
        <w:t>5000</w:t>
      </w:r>
      <w:r>
        <w:t>m</w:t>
      </w:r>
      <w:r>
        <w:rPr>
          <w:vertAlign w:val="superscript"/>
        </w:rPr>
        <w:t>3</w:t>
      </w:r>
      <w:r>
        <w:t>/h</w:t>
      </w:r>
      <w:r>
        <w:rPr>
          <w:rFonts w:hint="eastAsia"/>
        </w:rPr>
        <w:t>。</w:t>
      </w:r>
    </w:p>
    <w:p>
      <w:pPr>
        <w:topLinePunct/>
        <w:adjustRightInd w:val="0"/>
        <w:spacing w:line="360" w:lineRule="auto"/>
        <w:ind w:firstLine="482"/>
        <w:rPr>
          <w:b/>
          <w:bCs/>
        </w:rPr>
      </w:pPr>
      <w:r>
        <w:rPr>
          <w:rFonts w:hint="eastAsia"/>
          <w:b/>
          <w:bCs/>
        </w:rPr>
        <w:t>2</w:t>
      </w:r>
      <w:r>
        <w:rPr>
          <w:b/>
          <w:bCs/>
        </w:rPr>
        <w:t>、</w:t>
      </w:r>
      <w:r>
        <w:rPr>
          <w:rFonts w:hint="eastAsia"/>
          <w:b/>
          <w:bCs/>
        </w:rPr>
        <w:t>无组织</w:t>
      </w:r>
      <w:r>
        <w:rPr>
          <w:b/>
          <w:bCs/>
        </w:rPr>
        <w:t>废气</w:t>
      </w:r>
    </w:p>
    <w:p>
      <w:pPr>
        <w:spacing w:line="360" w:lineRule="auto"/>
        <w:ind w:firstLine="480"/>
      </w:pPr>
      <w:r>
        <w:t>本项目无组织废气主要包括扒渣工序未被收集逸散的少量颗粒物</w:t>
      </w:r>
      <w:r>
        <w:rPr>
          <w:rFonts w:hint="eastAsia"/>
        </w:rPr>
        <w:t>、</w:t>
      </w:r>
      <w:r>
        <w:t>铝灰分离工序未被收集逸散的少量颗粒物</w:t>
      </w:r>
      <w:r>
        <w:rPr>
          <w:rFonts w:hint="eastAsia"/>
        </w:rPr>
        <w:t>以及铸轧工序中液化石油气产生的废气</w:t>
      </w:r>
      <w:r>
        <w:t>。</w:t>
      </w:r>
    </w:p>
    <w:p>
      <w:pPr>
        <w:spacing w:line="360" w:lineRule="auto"/>
        <w:ind w:firstLine="480"/>
        <w:rPr>
          <w:b/>
          <w:bCs/>
        </w:rPr>
      </w:pPr>
      <w:r>
        <w:rPr>
          <w:b/>
          <w:bCs/>
        </w:rPr>
        <w:t>（1）扒渣工序无组织废气</w:t>
      </w:r>
    </w:p>
    <w:p>
      <w:pPr>
        <w:spacing w:line="360" w:lineRule="auto"/>
        <w:ind w:firstLine="480"/>
      </w:pPr>
      <w:r>
        <w:rPr>
          <w:rFonts w:hint="eastAsia"/>
        </w:rPr>
        <w:t>根据分析，搅拌、</w:t>
      </w:r>
      <w:r>
        <w:t>扒渣工序废气集气罩收集效率为9</w:t>
      </w:r>
      <w:r>
        <w:rPr>
          <w:rFonts w:hint="eastAsia"/>
        </w:rPr>
        <w:t>8</w:t>
      </w:r>
      <w:r>
        <w:t>%，未被收集的颗粒物量占此工序颗粒物产生总量的</w:t>
      </w:r>
      <w:r>
        <w:rPr>
          <w:rFonts w:hint="eastAsia"/>
        </w:rPr>
        <w:t>2</w:t>
      </w:r>
      <w:r>
        <w:t>%，产生量为</w:t>
      </w:r>
      <w:r>
        <w:rPr>
          <w:rFonts w:hint="eastAsia"/>
        </w:rPr>
        <w:t>0.69</w:t>
      </w:r>
      <w:r>
        <w:t>t/a，无组织排放。</w:t>
      </w:r>
      <w:r>
        <w:rPr>
          <w:rFonts w:hint="eastAsia"/>
        </w:rPr>
        <w:t>熔炼炉、保温炉建设在项目厂房内，属于半密闭厂房，厂房及颗粒物自然沉降效率按50%计算，则一期工程生产车间排放无组织粉尘0.07kg/h、0.35t/a。</w:t>
      </w:r>
    </w:p>
    <w:p>
      <w:pPr>
        <w:pStyle w:val="7"/>
        <w:ind w:firstLine="482"/>
        <w:rPr>
          <w:b/>
          <w:bCs/>
        </w:rPr>
      </w:pPr>
      <w:r>
        <w:rPr>
          <w:b/>
          <w:bCs/>
        </w:rPr>
        <w:t>（2）铝灰分离</w:t>
      </w:r>
      <w:r>
        <w:rPr>
          <w:rFonts w:hint="eastAsia"/>
          <w:b/>
          <w:bCs/>
        </w:rPr>
        <w:t>工序</w:t>
      </w:r>
      <w:r>
        <w:rPr>
          <w:b/>
          <w:bCs/>
        </w:rPr>
        <w:t>无组织废气</w:t>
      </w:r>
    </w:p>
    <w:p>
      <w:pPr>
        <w:pStyle w:val="7"/>
        <w:ind w:firstLine="480"/>
      </w:pPr>
      <w:r>
        <w:t>项目铝灰分离设备产生颗粒物经由管道进行收集处理，只有在下料等软连接工序有少量颗粒物逸散，因此本项目铝灰分离过程废气处理装置对颗粒物收集效率以99%计，未被收集的颗粒物量占此工序颗粒物产生总量的1%，</w:t>
      </w:r>
      <w:r>
        <w:rPr>
          <w:rFonts w:hint="eastAsia"/>
        </w:rPr>
        <w:t>则</w:t>
      </w:r>
      <w:r>
        <w:t>产生量为</w:t>
      </w:r>
      <w:r>
        <w:rPr>
          <w:rFonts w:hint="eastAsia"/>
        </w:rPr>
        <w:t>0.053</w:t>
      </w:r>
      <w:r>
        <w:t>t/a，无组织排放。</w:t>
      </w:r>
      <w:r>
        <w:rPr>
          <w:rFonts w:hint="eastAsia"/>
        </w:rPr>
        <w:t>熔炼炉、保温炉建设在项目厂房内，属于半密闭厂房，厂房及颗粒物自然沉降效率按50%计算，则一期工程铝灰分离车间排放无组织粉尘0.01kg/h、0.026t/a。</w:t>
      </w:r>
    </w:p>
    <w:p>
      <w:pPr>
        <w:pStyle w:val="7"/>
        <w:ind w:firstLine="482"/>
        <w:rPr>
          <w:b/>
          <w:bCs/>
        </w:rPr>
      </w:pPr>
      <w:r>
        <w:rPr>
          <w:rFonts w:hint="eastAsia"/>
          <w:b/>
          <w:bCs/>
        </w:rPr>
        <w:t>（3）液化石油气燃烧废气。</w:t>
      </w:r>
    </w:p>
    <w:p>
      <w:pPr>
        <w:pStyle w:val="7"/>
        <w:ind w:firstLine="480"/>
      </w:pPr>
      <w:r>
        <w:rPr>
          <w:rFonts w:hint="eastAsia"/>
        </w:rPr>
        <w:t>铸轧过程使用燃烧的液化石油气进行外部烘烤润滑，会产生废气，该部分废气于车间无组织排放。</w:t>
      </w:r>
    </w:p>
    <w:p>
      <w:pPr>
        <w:pStyle w:val="7"/>
        <w:ind w:firstLine="480"/>
      </w:pPr>
      <w:r>
        <w:rPr>
          <w:rFonts w:hint="eastAsia"/>
        </w:rPr>
        <w:t>根据中国标准出版社出版的《大气环境影响评价实用技术》，液化石油气燃烧污染物产生量为烟尘：0.22kg/km</w:t>
      </w:r>
      <w:r>
        <w:rPr>
          <w:rFonts w:hint="eastAsia"/>
          <w:vertAlign w:val="superscript"/>
        </w:rPr>
        <w:t>3</w:t>
      </w:r>
      <w:r>
        <w:rPr>
          <w:rFonts w:hint="eastAsia"/>
        </w:rPr>
        <w:t>，SO</w:t>
      </w:r>
      <w:r>
        <w:rPr>
          <w:rFonts w:hint="eastAsia"/>
          <w:vertAlign w:val="subscript"/>
        </w:rPr>
        <w:t>2</w:t>
      </w:r>
      <w:r>
        <w:rPr>
          <w:rFonts w:hint="eastAsia"/>
        </w:rPr>
        <w:t>：0.18kg/km</w:t>
      </w:r>
      <w:r>
        <w:rPr>
          <w:rFonts w:hint="eastAsia"/>
          <w:vertAlign w:val="superscript"/>
        </w:rPr>
        <w:t>3</w:t>
      </w:r>
      <w:r>
        <w:rPr>
          <w:rFonts w:hint="eastAsia"/>
        </w:rPr>
        <w:t>，NOx：2.1kg/km</w:t>
      </w:r>
      <w:r>
        <w:rPr>
          <w:rFonts w:hint="eastAsia"/>
          <w:vertAlign w:val="superscript"/>
        </w:rPr>
        <w:t>3</w:t>
      </w:r>
      <w:r>
        <w:rPr>
          <w:rFonts w:hint="eastAsia"/>
        </w:rPr>
        <w:t>。本项目液化石油气使用量为30t/a，转化成气态约为12600m</w:t>
      </w:r>
      <w:r>
        <w:rPr>
          <w:rFonts w:hint="eastAsia"/>
          <w:vertAlign w:val="superscript"/>
        </w:rPr>
        <w:t>3</w:t>
      </w:r>
      <w:r>
        <w:rPr>
          <w:rFonts w:hint="eastAsia"/>
        </w:rPr>
        <w:t>，故本项目所用液化石油气燃烧后污染物产生量为：烟尘：2.77kg/a，SO</w:t>
      </w:r>
      <w:r>
        <w:rPr>
          <w:rFonts w:hint="eastAsia"/>
          <w:vertAlign w:val="subscript"/>
        </w:rPr>
        <w:t>2</w:t>
      </w:r>
      <w:r>
        <w:rPr>
          <w:rFonts w:hint="eastAsia"/>
        </w:rPr>
        <w:t>：2.27kg/a，NOx：26.46kg/a。</w:t>
      </w:r>
    </w:p>
    <w:p>
      <w:pPr>
        <w:topLinePunct/>
        <w:adjustRightInd w:val="0"/>
        <w:spacing w:line="360" w:lineRule="auto"/>
        <w:ind w:firstLine="482"/>
        <w:rPr>
          <w:b/>
          <w:bCs/>
        </w:rPr>
      </w:pPr>
      <w:r>
        <w:rPr>
          <w:rFonts w:hint="eastAsia"/>
          <w:b/>
          <w:bCs/>
        </w:rPr>
        <w:t>3、二期工程废气总汇</w:t>
      </w:r>
    </w:p>
    <w:p>
      <w:pPr>
        <w:spacing w:line="440" w:lineRule="exact"/>
        <w:ind w:firstLine="480" w:firstLineChars="200"/>
      </w:pPr>
      <w:r>
        <w:rPr>
          <w:rFonts w:hint="eastAsia"/>
        </w:rPr>
        <w:t>项目二期工程建成后的废气按生产工序，分为有组织排放和无组织排放，有组织废气排放情况见表4.4-8，无组织废气排放情况见表4.4-9。</w:t>
      </w:r>
    </w:p>
    <w:p>
      <w:pPr>
        <w:pStyle w:val="7"/>
        <w:ind w:firstLine="480"/>
        <w:sectPr>
          <w:pgSz w:w="11906" w:h="16838"/>
          <w:pgMar w:top="1440" w:right="1800" w:bottom="1440" w:left="1800" w:header="851" w:footer="992" w:gutter="0"/>
          <w:cols w:space="425" w:num="1"/>
          <w:docGrid w:type="lines" w:linePitch="312" w:charSpace="0"/>
        </w:sectPr>
      </w:pPr>
    </w:p>
    <w:p>
      <w:pPr>
        <w:pStyle w:val="31"/>
      </w:pPr>
      <w:r>
        <w:rPr>
          <w:rFonts w:hint="eastAsia"/>
        </w:rPr>
        <w:t>表4.4-8  二期工程有组织废气排放情况</w:t>
      </w:r>
    </w:p>
    <w:tbl>
      <w:tblPr>
        <w:tblStyle w:val="27"/>
        <w:tblW w:w="51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1300"/>
        <w:gridCol w:w="794"/>
        <w:gridCol w:w="774"/>
        <w:gridCol w:w="837"/>
        <w:gridCol w:w="811"/>
        <w:gridCol w:w="829"/>
        <w:gridCol w:w="762"/>
        <w:gridCol w:w="788"/>
        <w:gridCol w:w="814"/>
        <w:gridCol w:w="739"/>
        <w:gridCol w:w="612"/>
        <w:gridCol w:w="603"/>
        <w:gridCol w:w="1598"/>
        <w:gridCol w:w="768"/>
        <w:gridCol w:w="671"/>
        <w:gridCol w:w="611"/>
        <w:gridCol w:w="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restart"/>
            <w:vAlign w:val="center"/>
          </w:tcPr>
          <w:p>
            <w:pPr>
              <w:jc w:val="center"/>
              <w:rPr>
                <w:b/>
                <w:sz w:val="18"/>
                <w:szCs w:val="18"/>
              </w:rPr>
            </w:pPr>
            <w:r>
              <w:rPr>
                <w:rFonts w:hint="eastAsia"/>
                <w:b/>
                <w:sz w:val="18"/>
                <w:szCs w:val="18"/>
              </w:rPr>
              <w:t>编号</w:t>
            </w:r>
          </w:p>
        </w:tc>
        <w:tc>
          <w:tcPr>
            <w:tcW w:w="448" w:type="pct"/>
            <w:vMerge w:val="restart"/>
            <w:vAlign w:val="center"/>
          </w:tcPr>
          <w:p>
            <w:pPr>
              <w:widowControl/>
              <w:jc w:val="center"/>
              <w:rPr>
                <w:b/>
                <w:sz w:val="18"/>
                <w:szCs w:val="18"/>
              </w:rPr>
            </w:pPr>
            <w:r>
              <w:rPr>
                <w:rFonts w:hint="eastAsia"/>
                <w:b/>
                <w:sz w:val="18"/>
                <w:szCs w:val="18"/>
              </w:rPr>
              <w:t>污染源</w:t>
            </w:r>
          </w:p>
          <w:p>
            <w:pPr>
              <w:widowControl/>
              <w:jc w:val="center"/>
              <w:rPr>
                <w:b/>
                <w:sz w:val="18"/>
                <w:szCs w:val="18"/>
              </w:rPr>
            </w:pPr>
            <w:r>
              <w:rPr>
                <w:rFonts w:hint="eastAsia"/>
                <w:b/>
                <w:sz w:val="18"/>
                <w:szCs w:val="18"/>
              </w:rPr>
              <w:t>名称</w:t>
            </w:r>
          </w:p>
        </w:tc>
        <w:tc>
          <w:tcPr>
            <w:tcW w:w="274" w:type="pct"/>
            <w:vMerge w:val="restart"/>
            <w:vAlign w:val="center"/>
          </w:tcPr>
          <w:p>
            <w:pPr>
              <w:widowControl/>
              <w:jc w:val="center"/>
              <w:rPr>
                <w:b/>
                <w:sz w:val="18"/>
                <w:szCs w:val="18"/>
              </w:rPr>
            </w:pPr>
            <w:r>
              <w:rPr>
                <w:rFonts w:hint="eastAsia"/>
                <w:b/>
                <w:sz w:val="18"/>
                <w:szCs w:val="18"/>
              </w:rPr>
              <w:t>排气量</w:t>
            </w:r>
          </w:p>
          <w:p>
            <w:pPr>
              <w:widowControl/>
              <w:jc w:val="center"/>
              <w:rPr>
                <w:b/>
                <w:sz w:val="18"/>
                <w:szCs w:val="18"/>
              </w:rPr>
            </w:pPr>
            <w:r>
              <w:rPr>
                <w:b/>
                <w:sz w:val="18"/>
                <w:szCs w:val="18"/>
              </w:rPr>
              <w:t>m</w:t>
            </w:r>
            <w:r>
              <w:rPr>
                <w:b/>
                <w:sz w:val="18"/>
                <w:szCs w:val="18"/>
                <w:vertAlign w:val="superscript"/>
              </w:rPr>
              <w:t>3</w:t>
            </w:r>
            <w:r>
              <w:rPr>
                <w:b/>
                <w:sz w:val="18"/>
                <w:szCs w:val="18"/>
              </w:rPr>
              <w:t>/h</w:t>
            </w:r>
          </w:p>
        </w:tc>
        <w:tc>
          <w:tcPr>
            <w:tcW w:w="267" w:type="pct"/>
            <w:vMerge w:val="restart"/>
            <w:vAlign w:val="center"/>
          </w:tcPr>
          <w:p>
            <w:pPr>
              <w:widowControl/>
              <w:jc w:val="center"/>
              <w:rPr>
                <w:b/>
                <w:sz w:val="18"/>
                <w:szCs w:val="18"/>
              </w:rPr>
            </w:pPr>
            <w:r>
              <w:rPr>
                <w:rFonts w:hint="eastAsia"/>
                <w:b/>
                <w:sz w:val="18"/>
                <w:szCs w:val="18"/>
              </w:rPr>
              <w:t>污染物</w:t>
            </w:r>
          </w:p>
          <w:p>
            <w:pPr>
              <w:widowControl/>
              <w:jc w:val="center"/>
              <w:rPr>
                <w:b/>
                <w:sz w:val="18"/>
                <w:szCs w:val="18"/>
              </w:rPr>
            </w:pPr>
            <w:r>
              <w:rPr>
                <w:rFonts w:hint="eastAsia"/>
                <w:b/>
                <w:sz w:val="18"/>
                <w:szCs w:val="18"/>
              </w:rPr>
              <w:t>名称</w:t>
            </w:r>
          </w:p>
        </w:tc>
        <w:tc>
          <w:tcPr>
            <w:tcW w:w="855" w:type="pct"/>
            <w:gridSpan w:val="3"/>
            <w:vAlign w:val="center"/>
          </w:tcPr>
          <w:p>
            <w:pPr>
              <w:widowControl/>
              <w:jc w:val="center"/>
              <w:rPr>
                <w:b/>
                <w:sz w:val="18"/>
                <w:szCs w:val="18"/>
              </w:rPr>
            </w:pPr>
            <w:r>
              <w:rPr>
                <w:rFonts w:hint="eastAsia"/>
                <w:b/>
                <w:sz w:val="18"/>
                <w:szCs w:val="18"/>
              </w:rPr>
              <w:t>产生情况</w:t>
            </w:r>
          </w:p>
        </w:tc>
        <w:tc>
          <w:tcPr>
            <w:tcW w:w="816" w:type="pct"/>
            <w:gridSpan w:val="3"/>
            <w:vAlign w:val="center"/>
          </w:tcPr>
          <w:p>
            <w:pPr>
              <w:widowControl/>
              <w:jc w:val="center"/>
              <w:rPr>
                <w:b/>
                <w:sz w:val="18"/>
                <w:szCs w:val="18"/>
              </w:rPr>
            </w:pPr>
            <w:r>
              <w:rPr>
                <w:rFonts w:hint="eastAsia"/>
                <w:b/>
                <w:sz w:val="18"/>
                <w:szCs w:val="18"/>
              </w:rPr>
              <w:t>排放情况</w:t>
            </w:r>
          </w:p>
        </w:tc>
        <w:tc>
          <w:tcPr>
            <w:tcW w:w="674" w:type="pct"/>
            <w:gridSpan w:val="3"/>
            <w:vAlign w:val="center"/>
          </w:tcPr>
          <w:p>
            <w:pPr>
              <w:widowControl/>
              <w:jc w:val="center"/>
              <w:rPr>
                <w:b/>
                <w:sz w:val="18"/>
                <w:szCs w:val="18"/>
              </w:rPr>
            </w:pPr>
            <w:r>
              <w:rPr>
                <w:rFonts w:hint="eastAsia"/>
                <w:b/>
                <w:sz w:val="18"/>
                <w:szCs w:val="18"/>
              </w:rPr>
              <w:t>排放源参数</w:t>
            </w:r>
          </w:p>
        </w:tc>
        <w:tc>
          <w:tcPr>
            <w:tcW w:w="551" w:type="pct"/>
            <w:vMerge w:val="restart"/>
            <w:vAlign w:val="center"/>
          </w:tcPr>
          <w:p>
            <w:pPr>
              <w:widowControl/>
              <w:jc w:val="center"/>
              <w:rPr>
                <w:b/>
                <w:sz w:val="18"/>
                <w:szCs w:val="18"/>
              </w:rPr>
            </w:pPr>
            <w:r>
              <w:rPr>
                <w:rFonts w:hint="eastAsia"/>
                <w:b/>
                <w:sz w:val="18"/>
                <w:szCs w:val="18"/>
              </w:rPr>
              <w:t>拟采取的</w:t>
            </w:r>
          </w:p>
          <w:p>
            <w:pPr>
              <w:widowControl/>
              <w:jc w:val="center"/>
              <w:rPr>
                <w:b/>
                <w:sz w:val="18"/>
                <w:szCs w:val="18"/>
              </w:rPr>
            </w:pPr>
            <w:r>
              <w:rPr>
                <w:rFonts w:hint="eastAsia"/>
                <w:b/>
                <w:sz w:val="18"/>
                <w:szCs w:val="18"/>
              </w:rPr>
              <w:t>处理方式</w:t>
            </w:r>
          </w:p>
        </w:tc>
        <w:tc>
          <w:tcPr>
            <w:tcW w:w="497" w:type="pct"/>
            <w:gridSpan w:val="2"/>
            <w:vMerge w:val="restart"/>
            <w:vAlign w:val="center"/>
          </w:tcPr>
          <w:p>
            <w:pPr>
              <w:jc w:val="center"/>
              <w:rPr>
                <w:b/>
                <w:sz w:val="18"/>
                <w:szCs w:val="18"/>
              </w:rPr>
            </w:pPr>
            <w:r>
              <w:rPr>
                <w:rFonts w:hint="eastAsia"/>
                <w:b/>
                <w:sz w:val="18"/>
                <w:szCs w:val="18"/>
              </w:rPr>
              <w:t>排放标准</w:t>
            </w:r>
          </w:p>
          <w:p>
            <w:pPr>
              <w:jc w:val="center"/>
              <w:rPr>
                <w:b/>
                <w:sz w:val="18"/>
                <w:szCs w:val="18"/>
              </w:rPr>
            </w:pPr>
          </w:p>
        </w:tc>
        <w:tc>
          <w:tcPr>
            <w:tcW w:w="211" w:type="pct"/>
            <w:vMerge w:val="restart"/>
            <w:vAlign w:val="center"/>
          </w:tcPr>
          <w:p>
            <w:pPr>
              <w:jc w:val="center"/>
              <w:rPr>
                <w:b/>
                <w:sz w:val="18"/>
                <w:szCs w:val="18"/>
              </w:rPr>
            </w:pPr>
            <w:r>
              <w:rPr>
                <w:rFonts w:hint="eastAsia"/>
                <w:b/>
                <w:sz w:val="18"/>
                <w:szCs w:val="18"/>
              </w:rPr>
              <w:t>排放</w:t>
            </w:r>
          </w:p>
          <w:p>
            <w:pPr>
              <w:jc w:val="center"/>
              <w:rPr>
                <w:b/>
                <w:sz w:val="18"/>
                <w:szCs w:val="18"/>
              </w:rPr>
            </w:pPr>
            <w:r>
              <w:rPr>
                <w:rFonts w:hint="eastAsia"/>
                <w:b/>
                <w:sz w:val="18"/>
                <w:szCs w:val="18"/>
              </w:rPr>
              <w:t>方式</w:t>
            </w:r>
          </w:p>
        </w:tc>
        <w:tc>
          <w:tcPr>
            <w:tcW w:w="203" w:type="pct"/>
            <w:vMerge w:val="restart"/>
            <w:vAlign w:val="center"/>
          </w:tcPr>
          <w:p>
            <w:pPr>
              <w:jc w:val="center"/>
              <w:rPr>
                <w:b/>
                <w:sz w:val="18"/>
                <w:szCs w:val="18"/>
              </w:rPr>
            </w:pPr>
            <w:r>
              <w:rPr>
                <w:rFonts w:hint="eastAsia"/>
                <w:b/>
                <w:sz w:val="18"/>
                <w:szCs w:val="18"/>
              </w:rPr>
              <w:t>是否</w:t>
            </w:r>
          </w:p>
          <w:p>
            <w:pPr>
              <w:jc w:val="center"/>
              <w:rPr>
                <w:b/>
                <w:sz w:val="18"/>
                <w:szCs w:val="18"/>
              </w:rPr>
            </w:pPr>
            <w:r>
              <w:rPr>
                <w:rFonts w:hint="eastAsia"/>
                <w:b/>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197" w:type="pct"/>
            <w:vMerge w:val="continue"/>
            <w:vAlign w:val="center"/>
          </w:tcPr>
          <w:p>
            <w:pPr>
              <w:widowControl/>
              <w:jc w:val="center"/>
              <w:rPr>
                <w:b/>
                <w:sz w:val="18"/>
                <w:szCs w:val="18"/>
              </w:rPr>
            </w:pPr>
          </w:p>
        </w:tc>
        <w:tc>
          <w:tcPr>
            <w:tcW w:w="448" w:type="pct"/>
            <w:vMerge w:val="continue"/>
            <w:vAlign w:val="center"/>
          </w:tcPr>
          <w:p>
            <w:pPr>
              <w:widowControl/>
              <w:jc w:val="center"/>
              <w:rPr>
                <w:b/>
                <w:sz w:val="18"/>
                <w:szCs w:val="18"/>
              </w:rPr>
            </w:pPr>
          </w:p>
        </w:tc>
        <w:tc>
          <w:tcPr>
            <w:tcW w:w="274" w:type="pct"/>
            <w:vMerge w:val="continue"/>
            <w:vAlign w:val="center"/>
          </w:tcPr>
          <w:p>
            <w:pPr>
              <w:widowControl/>
              <w:jc w:val="center"/>
              <w:rPr>
                <w:b/>
                <w:sz w:val="18"/>
                <w:szCs w:val="18"/>
              </w:rPr>
            </w:pPr>
          </w:p>
        </w:tc>
        <w:tc>
          <w:tcPr>
            <w:tcW w:w="267" w:type="pct"/>
            <w:vMerge w:val="continue"/>
            <w:vAlign w:val="center"/>
          </w:tcPr>
          <w:p>
            <w:pPr>
              <w:widowControl/>
              <w:jc w:val="center"/>
              <w:rPr>
                <w:b/>
                <w:sz w:val="18"/>
                <w:szCs w:val="18"/>
              </w:rPr>
            </w:pPr>
          </w:p>
        </w:tc>
        <w:tc>
          <w:tcPr>
            <w:tcW w:w="289" w:type="pct"/>
            <w:vMerge w:val="restart"/>
            <w:vAlign w:val="center"/>
          </w:tcPr>
          <w:p>
            <w:pPr>
              <w:jc w:val="center"/>
              <w:rPr>
                <w:b/>
                <w:sz w:val="18"/>
                <w:szCs w:val="18"/>
              </w:rPr>
            </w:pPr>
            <w:r>
              <w:rPr>
                <w:rFonts w:hint="eastAsia"/>
                <w:b/>
                <w:sz w:val="18"/>
                <w:szCs w:val="18"/>
              </w:rPr>
              <w:t>mg/m</w:t>
            </w:r>
            <w:r>
              <w:rPr>
                <w:rFonts w:hint="eastAsia"/>
                <w:b/>
                <w:sz w:val="18"/>
                <w:szCs w:val="18"/>
                <w:vertAlign w:val="superscript"/>
              </w:rPr>
              <w:t>3</w:t>
            </w:r>
          </w:p>
        </w:tc>
        <w:tc>
          <w:tcPr>
            <w:tcW w:w="280" w:type="pct"/>
            <w:vMerge w:val="restart"/>
            <w:vAlign w:val="center"/>
          </w:tcPr>
          <w:p>
            <w:pPr>
              <w:jc w:val="center"/>
              <w:rPr>
                <w:b/>
                <w:sz w:val="18"/>
                <w:szCs w:val="18"/>
              </w:rPr>
            </w:pPr>
            <w:r>
              <w:rPr>
                <w:rFonts w:hint="eastAsia"/>
                <w:b/>
                <w:sz w:val="18"/>
                <w:szCs w:val="18"/>
              </w:rPr>
              <w:t>kg/h</w:t>
            </w:r>
          </w:p>
        </w:tc>
        <w:tc>
          <w:tcPr>
            <w:tcW w:w="286" w:type="pct"/>
            <w:vMerge w:val="restart"/>
            <w:vAlign w:val="center"/>
          </w:tcPr>
          <w:p>
            <w:pPr>
              <w:jc w:val="center"/>
              <w:rPr>
                <w:b/>
                <w:sz w:val="18"/>
                <w:szCs w:val="18"/>
              </w:rPr>
            </w:pPr>
            <w:r>
              <w:rPr>
                <w:rFonts w:hint="eastAsia"/>
                <w:b/>
                <w:sz w:val="18"/>
                <w:szCs w:val="18"/>
              </w:rPr>
              <w:t>t/a</w:t>
            </w:r>
          </w:p>
        </w:tc>
        <w:tc>
          <w:tcPr>
            <w:tcW w:w="263" w:type="pct"/>
            <w:vMerge w:val="restart"/>
            <w:vAlign w:val="center"/>
          </w:tcPr>
          <w:p>
            <w:pPr>
              <w:jc w:val="center"/>
              <w:rPr>
                <w:b/>
                <w:sz w:val="18"/>
                <w:szCs w:val="18"/>
              </w:rPr>
            </w:pPr>
            <w:r>
              <w:rPr>
                <w:rFonts w:hint="eastAsia"/>
                <w:b/>
                <w:sz w:val="18"/>
                <w:szCs w:val="18"/>
              </w:rPr>
              <w:t>mg/m</w:t>
            </w:r>
            <w:r>
              <w:rPr>
                <w:rFonts w:hint="eastAsia"/>
                <w:b/>
                <w:sz w:val="18"/>
                <w:szCs w:val="18"/>
                <w:vertAlign w:val="superscript"/>
              </w:rPr>
              <w:t>3</w:t>
            </w:r>
          </w:p>
        </w:tc>
        <w:tc>
          <w:tcPr>
            <w:tcW w:w="272" w:type="pct"/>
            <w:vMerge w:val="restart"/>
            <w:vAlign w:val="center"/>
          </w:tcPr>
          <w:p>
            <w:pPr>
              <w:jc w:val="center"/>
              <w:rPr>
                <w:b/>
                <w:sz w:val="18"/>
                <w:szCs w:val="18"/>
              </w:rPr>
            </w:pPr>
            <w:r>
              <w:rPr>
                <w:rFonts w:hint="eastAsia"/>
                <w:b/>
                <w:sz w:val="18"/>
                <w:szCs w:val="18"/>
              </w:rPr>
              <w:t>kg/h</w:t>
            </w:r>
          </w:p>
        </w:tc>
        <w:tc>
          <w:tcPr>
            <w:tcW w:w="281" w:type="pct"/>
            <w:vMerge w:val="restart"/>
            <w:vAlign w:val="center"/>
          </w:tcPr>
          <w:p>
            <w:pPr>
              <w:jc w:val="center"/>
              <w:rPr>
                <w:b/>
                <w:sz w:val="18"/>
                <w:szCs w:val="18"/>
              </w:rPr>
            </w:pPr>
            <w:r>
              <w:rPr>
                <w:rFonts w:hint="eastAsia"/>
                <w:b/>
                <w:sz w:val="18"/>
                <w:szCs w:val="18"/>
              </w:rPr>
              <w:t>t/a</w:t>
            </w:r>
          </w:p>
        </w:tc>
        <w:tc>
          <w:tcPr>
            <w:tcW w:w="255" w:type="pct"/>
            <w:vMerge w:val="restart"/>
            <w:vAlign w:val="center"/>
          </w:tcPr>
          <w:p>
            <w:pPr>
              <w:jc w:val="center"/>
              <w:rPr>
                <w:b/>
                <w:sz w:val="18"/>
                <w:szCs w:val="18"/>
              </w:rPr>
            </w:pPr>
            <w:r>
              <w:rPr>
                <w:rFonts w:hint="eastAsia"/>
                <w:b/>
                <w:sz w:val="18"/>
                <w:szCs w:val="18"/>
              </w:rPr>
              <w:t>高度</w:t>
            </w:r>
          </w:p>
          <w:p>
            <w:pPr>
              <w:jc w:val="center"/>
              <w:rPr>
                <w:b/>
                <w:sz w:val="18"/>
                <w:szCs w:val="18"/>
              </w:rPr>
            </w:pPr>
            <w:r>
              <w:rPr>
                <w:b/>
                <w:sz w:val="18"/>
                <w:szCs w:val="18"/>
              </w:rPr>
              <w:t>m</w:t>
            </w:r>
          </w:p>
        </w:tc>
        <w:tc>
          <w:tcPr>
            <w:tcW w:w="211" w:type="pct"/>
            <w:vMerge w:val="restart"/>
            <w:vAlign w:val="center"/>
          </w:tcPr>
          <w:p>
            <w:pPr>
              <w:jc w:val="center"/>
              <w:rPr>
                <w:b/>
                <w:sz w:val="18"/>
                <w:szCs w:val="18"/>
              </w:rPr>
            </w:pPr>
            <w:r>
              <w:rPr>
                <w:rFonts w:hint="eastAsia"/>
                <w:b/>
                <w:sz w:val="18"/>
                <w:szCs w:val="18"/>
              </w:rPr>
              <w:t>直径</w:t>
            </w:r>
          </w:p>
          <w:p>
            <w:pPr>
              <w:jc w:val="center"/>
              <w:rPr>
                <w:b/>
                <w:sz w:val="18"/>
                <w:szCs w:val="18"/>
              </w:rPr>
            </w:pPr>
            <w:r>
              <w:rPr>
                <w:b/>
                <w:sz w:val="18"/>
                <w:szCs w:val="18"/>
              </w:rPr>
              <w:t>m</w:t>
            </w:r>
          </w:p>
        </w:tc>
        <w:tc>
          <w:tcPr>
            <w:tcW w:w="207" w:type="pct"/>
            <w:vMerge w:val="restart"/>
            <w:vAlign w:val="center"/>
          </w:tcPr>
          <w:p>
            <w:pPr>
              <w:jc w:val="center"/>
              <w:rPr>
                <w:b/>
                <w:sz w:val="18"/>
                <w:szCs w:val="18"/>
              </w:rPr>
            </w:pPr>
            <w:r>
              <w:rPr>
                <w:rFonts w:hint="eastAsia"/>
                <w:b/>
                <w:sz w:val="18"/>
                <w:szCs w:val="18"/>
              </w:rPr>
              <w:t>温度</w:t>
            </w:r>
          </w:p>
          <w:p>
            <w:pPr>
              <w:jc w:val="center"/>
              <w:rPr>
                <w:b/>
                <w:sz w:val="18"/>
                <w:szCs w:val="18"/>
              </w:rPr>
            </w:pPr>
            <w:r>
              <w:rPr>
                <w:rFonts w:hint="eastAsia"/>
                <w:b/>
                <w:sz w:val="18"/>
                <w:szCs w:val="18"/>
              </w:rPr>
              <w:t>℃</w:t>
            </w:r>
          </w:p>
        </w:tc>
        <w:tc>
          <w:tcPr>
            <w:tcW w:w="551" w:type="pct"/>
            <w:vMerge w:val="continue"/>
            <w:vAlign w:val="center"/>
          </w:tcPr>
          <w:p>
            <w:pPr>
              <w:widowControl/>
              <w:jc w:val="center"/>
              <w:rPr>
                <w:b/>
                <w:sz w:val="18"/>
                <w:szCs w:val="18"/>
              </w:rPr>
            </w:pPr>
          </w:p>
        </w:tc>
        <w:tc>
          <w:tcPr>
            <w:tcW w:w="497" w:type="pct"/>
            <w:gridSpan w:val="2"/>
            <w:vMerge w:val="continue"/>
            <w:vAlign w:val="center"/>
          </w:tcPr>
          <w:p>
            <w:pPr>
              <w:widowControl/>
              <w:jc w:val="center"/>
              <w:rPr>
                <w:b/>
                <w:sz w:val="18"/>
                <w:szCs w:val="18"/>
              </w:rPr>
            </w:pPr>
          </w:p>
        </w:tc>
        <w:tc>
          <w:tcPr>
            <w:tcW w:w="211" w:type="pct"/>
            <w:vMerge w:val="continue"/>
            <w:vAlign w:val="center"/>
          </w:tcPr>
          <w:p>
            <w:pPr>
              <w:widowControl/>
              <w:jc w:val="center"/>
              <w:rPr>
                <w:b/>
                <w:sz w:val="18"/>
                <w:szCs w:val="18"/>
              </w:rPr>
            </w:pPr>
          </w:p>
        </w:tc>
        <w:tc>
          <w:tcPr>
            <w:tcW w:w="203" w:type="pct"/>
            <w:vMerge w:val="continue"/>
            <w:vAlign w:val="center"/>
          </w:tcPr>
          <w:p>
            <w:pPr>
              <w:widowControl/>
              <w:jc w:val="center"/>
              <w:rPr>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3" w:hRule="atLeast"/>
          <w:jc w:val="center"/>
        </w:trPr>
        <w:tc>
          <w:tcPr>
            <w:tcW w:w="197" w:type="pct"/>
            <w:vMerge w:val="continue"/>
            <w:vAlign w:val="center"/>
          </w:tcPr>
          <w:p>
            <w:pPr>
              <w:widowControl/>
              <w:jc w:val="center"/>
              <w:rPr>
                <w:b/>
                <w:sz w:val="18"/>
                <w:szCs w:val="18"/>
              </w:rPr>
            </w:pPr>
          </w:p>
        </w:tc>
        <w:tc>
          <w:tcPr>
            <w:tcW w:w="448" w:type="pct"/>
            <w:vMerge w:val="continue"/>
            <w:vAlign w:val="center"/>
          </w:tcPr>
          <w:p>
            <w:pPr>
              <w:widowControl/>
              <w:jc w:val="center"/>
              <w:rPr>
                <w:b/>
                <w:sz w:val="18"/>
                <w:szCs w:val="18"/>
              </w:rPr>
            </w:pPr>
          </w:p>
        </w:tc>
        <w:tc>
          <w:tcPr>
            <w:tcW w:w="274" w:type="pct"/>
            <w:vMerge w:val="continue"/>
            <w:vAlign w:val="center"/>
          </w:tcPr>
          <w:p>
            <w:pPr>
              <w:widowControl/>
              <w:jc w:val="center"/>
              <w:rPr>
                <w:b/>
                <w:sz w:val="18"/>
                <w:szCs w:val="18"/>
              </w:rPr>
            </w:pPr>
          </w:p>
        </w:tc>
        <w:tc>
          <w:tcPr>
            <w:tcW w:w="267" w:type="pct"/>
            <w:vMerge w:val="continue"/>
            <w:vAlign w:val="center"/>
          </w:tcPr>
          <w:p>
            <w:pPr>
              <w:widowControl/>
              <w:jc w:val="center"/>
              <w:rPr>
                <w:b/>
                <w:sz w:val="18"/>
                <w:szCs w:val="18"/>
              </w:rPr>
            </w:pPr>
          </w:p>
        </w:tc>
        <w:tc>
          <w:tcPr>
            <w:tcW w:w="289" w:type="pct"/>
            <w:vMerge w:val="continue"/>
            <w:vAlign w:val="center"/>
          </w:tcPr>
          <w:p>
            <w:pPr>
              <w:jc w:val="center"/>
              <w:rPr>
                <w:b/>
                <w:sz w:val="18"/>
                <w:szCs w:val="18"/>
              </w:rPr>
            </w:pPr>
          </w:p>
        </w:tc>
        <w:tc>
          <w:tcPr>
            <w:tcW w:w="280" w:type="pct"/>
            <w:vMerge w:val="continue"/>
            <w:vAlign w:val="center"/>
          </w:tcPr>
          <w:p>
            <w:pPr>
              <w:jc w:val="center"/>
              <w:rPr>
                <w:b/>
                <w:sz w:val="18"/>
                <w:szCs w:val="18"/>
              </w:rPr>
            </w:pPr>
          </w:p>
        </w:tc>
        <w:tc>
          <w:tcPr>
            <w:tcW w:w="286" w:type="pct"/>
            <w:vMerge w:val="continue"/>
            <w:vAlign w:val="center"/>
          </w:tcPr>
          <w:p>
            <w:pPr>
              <w:jc w:val="center"/>
              <w:rPr>
                <w:b/>
                <w:sz w:val="18"/>
                <w:szCs w:val="18"/>
              </w:rPr>
            </w:pPr>
          </w:p>
        </w:tc>
        <w:tc>
          <w:tcPr>
            <w:tcW w:w="263" w:type="pct"/>
            <w:vMerge w:val="continue"/>
            <w:vAlign w:val="center"/>
          </w:tcPr>
          <w:p>
            <w:pPr>
              <w:jc w:val="center"/>
              <w:rPr>
                <w:b/>
                <w:sz w:val="18"/>
                <w:szCs w:val="18"/>
              </w:rPr>
            </w:pPr>
          </w:p>
        </w:tc>
        <w:tc>
          <w:tcPr>
            <w:tcW w:w="272" w:type="pct"/>
            <w:vMerge w:val="continue"/>
            <w:vAlign w:val="center"/>
          </w:tcPr>
          <w:p>
            <w:pPr>
              <w:jc w:val="center"/>
              <w:rPr>
                <w:b/>
                <w:sz w:val="18"/>
                <w:szCs w:val="18"/>
              </w:rPr>
            </w:pPr>
          </w:p>
        </w:tc>
        <w:tc>
          <w:tcPr>
            <w:tcW w:w="281" w:type="pct"/>
            <w:vMerge w:val="continue"/>
            <w:vAlign w:val="center"/>
          </w:tcPr>
          <w:p>
            <w:pPr>
              <w:jc w:val="center"/>
              <w:rPr>
                <w:b/>
                <w:sz w:val="18"/>
                <w:szCs w:val="18"/>
              </w:rPr>
            </w:pPr>
          </w:p>
        </w:tc>
        <w:tc>
          <w:tcPr>
            <w:tcW w:w="255" w:type="pct"/>
            <w:vMerge w:val="continue"/>
            <w:vAlign w:val="center"/>
          </w:tcPr>
          <w:p>
            <w:pPr>
              <w:jc w:val="center"/>
              <w:rPr>
                <w:b/>
                <w:sz w:val="18"/>
                <w:szCs w:val="18"/>
              </w:rPr>
            </w:pPr>
          </w:p>
        </w:tc>
        <w:tc>
          <w:tcPr>
            <w:tcW w:w="211" w:type="pct"/>
            <w:vMerge w:val="continue"/>
            <w:vAlign w:val="center"/>
          </w:tcPr>
          <w:p>
            <w:pPr>
              <w:jc w:val="center"/>
              <w:rPr>
                <w:b/>
                <w:sz w:val="18"/>
                <w:szCs w:val="18"/>
              </w:rPr>
            </w:pPr>
          </w:p>
        </w:tc>
        <w:tc>
          <w:tcPr>
            <w:tcW w:w="207" w:type="pct"/>
            <w:vMerge w:val="continue"/>
            <w:vAlign w:val="center"/>
          </w:tcPr>
          <w:p>
            <w:pPr>
              <w:jc w:val="center"/>
              <w:rPr>
                <w:b/>
                <w:sz w:val="18"/>
                <w:szCs w:val="18"/>
              </w:rPr>
            </w:pPr>
          </w:p>
        </w:tc>
        <w:tc>
          <w:tcPr>
            <w:tcW w:w="551" w:type="pct"/>
            <w:vMerge w:val="continue"/>
            <w:vAlign w:val="center"/>
          </w:tcPr>
          <w:p>
            <w:pPr>
              <w:widowControl/>
              <w:jc w:val="center"/>
              <w:rPr>
                <w:b/>
                <w:sz w:val="18"/>
                <w:szCs w:val="18"/>
              </w:rPr>
            </w:pPr>
          </w:p>
        </w:tc>
        <w:tc>
          <w:tcPr>
            <w:tcW w:w="265" w:type="pct"/>
            <w:vAlign w:val="center"/>
          </w:tcPr>
          <w:p>
            <w:pPr>
              <w:widowControl/>
              <w:jc w:val="center"/>
              <w:rPr>
                <w:b/>
                <w:sz w:val="18"/>
                <w:szCs w:val="18"/>
              </w:rPr>
            </w:pPr>
            <w:r>
              <w:rPr>
                <w:rFonts w:hint="eastAsia"/>
                <w:b/>
                <w:sz w:val="18"/>
                <w:szCs w:val="18"/>
              </w:rPr>
              <w:t>mg/m</w:t>
            </w:r>
            <w:r>
              <w:rPr>
                <w:rFonts w:hint="eastAsia"/>
                <w:b/>
                <w:sz w:val="18"/>
                <w:szCs w:val="18"/>
                <w:vertAlign w:val="superscript"/>
              </w:rPr>
              <w:t>3</w:t>
            </w:r>
          </w:p>
        </w:tc>
        <w:tc>
          <w:tcPr>
            <w:tcW w:w="232" w:type="pct"/>
            <w:vAlign w:val="center"/>
          </w:tcPr>
          <w:p>
            <w:pPr>
              <w:widowControl/>
              <w:jc w:val="center"/>
              <w:rPr>
                <w:b/>
                <w:sz w:val="18"/>
                <w:szCs w:val="18"/>
              </w:rPr>
            </w:pPr>
            <w:r>
              <w:rPr>
                <w:rFonts w:hint="eastAsia"/>
                <w:b/>
                <w:sz w:val="18"/>
                <w:szCs w:val="18"/>
              </w:rPr>
              <w:t>kg/h</w:t>
            </w:r>
          </w:p>
        </w:tc>
        <w:tc>
          <w:tcPr>
            <w:tcW w:w="211" w:type="pct"/>
            <w:vMerge w:val="continue"/>
            <w:vAlign w:val="center"/>
          </w:tcPr>
          <w:p>
            <w:pPr>
              <w:widowControl/>
              <w:jc w:val="center"/>
              <w:rPr>
                <w:b/>
                <w:sz w:val="18"/>
                <w:szCs w:val="18"/>
              </w:rPr>
            </w:pPr>
          </w:p>
        </w:tc>
        <w:tc>
          <w:tcPr>
            <w:tcW w:w="203" w:type="pct"/>
            <w:vMerge w:val="continue"/>
            <w:vAlign w:val="center"/>
          </w:tcPr>
          <w:p>
            <w:pPr>
              <w:widowControl/>
              <w:jc w:val="center"/>
              <w:rPr>
                <w:b/>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restart"/>
            <w:tcBorders>
              <w:bottom w:val="single" w:color="auto" w:sz="4" w:space="0"/>
            </w:tcBorders>
            <w:vAlign w:val="center"/>
          </w:tcPr>
          <w:p>
            <w:pPr>
              <w:widowControl/>
              <w:jc w:val="center"/>
              <w:rPr>
                <w:sz w:val="18"/>
                <w:szCs w:val="18"/>
              </w:rPr>
            </w:pPr>
            <w:r>
              <w:rPr>
                <w:sz w:val="18"/>
                <w:szCs w:val="18"/>
              </w:rPr>
              <w:t>P</w:t>
            </w:r>
            <w:r>
              <w:rPr>
                <w:rFonts w:hint="eastAsia"/>
                <w:sz w:val="18"/>
                <w:szCs w:val="18"/>
              </w:rPr>
              <w:t>2-1</w:t>
            </w:r>
          </w:p>
        </w:tc>
        <w:tc>
          <w:tcPr>
            <w:tcW w:w="448" w:type="pct"/>
            <w:vMerge w:val="restart"/>
            <w:tcBorders>
              <w:bottom w:val="single" w:color="auto" w:sz="4" w:space="0"/>
            </w:tcBorders>
            <w:vAlign w:val="center"/>
          </w:tcPr>
          <w:p>
            <w:pPr>
              <w:widowControl/>
              <w:jc w:val="center"/>
              <w:rPr>
                <w:sz w:val="18"/>
                <w:szCs w:val="18"/>
              </w:rPr>
            </w:pPr>
            <w:r>
              <w:rPr>
                <w:rFonts w:hint="eastAsia"/>
                <w:sz w:val="18"/>
                <w:szCs w:val="18"/>
              </w:rPr>
              <w:t>燃烧废气G2-1</w:t>
            </w:r>
          </w:p>
          <w:p>
            <w:pPr>
              <w:widowControl/>
              <w:jc w:val="center"/>
              <w:rPr>
                <w:sz w:val="18"/>
                <w:szCs w:val="18"/>
              </w:rPr>
            </w:pPr>
            <w:r>
              <w:rPr>
                <w:rFonts w:hint="eastAsia"/>
                <w:sz w:val="18"/>
                <w:szCs w:val="18"/>
              </w:rPr>
              <w:t>精炼废气G2-2</w:t>
            </w:r>
          </w:p>
          <w:p>
            <w:pPr>
              <w:jc w:val="center"/>
              <w:rPr>
                <w:sz w:val="18"/>
                <w:szCs w:val="18"/>
              </w:rPr>
            </w:pPr>
            <w:r>
              <w:rPr>
                <w:rFonts w:hint="eastAsia"/>
                <w:sz w:val="18"/>
                <w:szCs w:val="18"/>
              </w:rPr>
              <w:t>扒渣废气G2-3</w:t>
            </w:r>
          </w:p>
        </w:tc>
        <w:tc>
          <w:tcPr>
            <w:tcW w:w="274" w:type="pct"/>
            <w:vMerge w:val="restart"/>
            <w:tcBorders>
              <w:bottom w:val="single" w:color="auto" w:sz="4" w:space="0"/>
            </w:tcBorders>
            <w:vAlign w:val="center"/>
          </w:tcPr>
          <w:p>
            <w:pPr>
              <w:widowControl/>
              <w:jc w:val="center"/>
              <w:rPr>
                <w:sz w:val="18"/>
                <w:szCs w:val="18"/>
              </w:rPr>
            </w:pPr>
            <w:r>
              <w:rPr>
                <w:rFonts w:hint="eastAsia"/>
                <w:sz w:val="18"/>
                <w:szCs w:val="18"/>
              </w:rPr>
              <w:t>50000</w:t>
            </w:r>
          </w:p>
        </w:tc>
        <w:tc>
          <w:tcPr>
            <w:tcW w:w="267" w:type="pct"/>
            <w:tcBorders>
              <w:bottom w:val="single" w:color="auto" w:sz="4" w:space="0"/>
            </w:tcBorders>
            <w:vAlign w:val="center"/>
          </w:tcPr>
          <w:p>
            <w:pPr>
              <w:widowControl/>
              <w:jc w:val="center"/>
              <w:rPr>
                <w:sz w:val="18"/>
                <w:szCs w:val="18"/>
              </w:rPr>
            </w:pPr>
            <w:r>
              <w:rPr>
                <w:rFonts w:hint="eastAsia"/>
                <w:sz w:val="18"/>
                <w:szCs w:val="18"/>
              </w:rPr>
              <w:t>颗粒物</w:t>
            </w:r>
          </w:p>
        </w:tc>
        <w:tc>
          <w:tcPr>
            <w:tcW w:w="289" w:type="pct"/>
            <w:tcBorders>
              <w:bottom w:val="single" w:color="auto" w:sz="4" w:space="0"/>
            </w:tcBorders>
            <w:vAlign w:val="center"/>
          </w:tcPr>
          <w:p>
            <w:pPr>
              <w:pStyle w:val="32"/>
              <w:rPr>
                <w:sz w:val="18"/>
                <w:szCs w:val="18"/>
              </w:rPr>
            </w:pPr>
            <w:r>
              <w:rPr>
                <w:rFonts w:hint="eastAsia"/>
                <w:sz w:val="18"/>
                <w:szCs w:val="18"/>
              </w:rPr>
              <w:t>1951.10</w:t>
            </w:r>
          </w:p>
        </w:tc>
        <w:tc>
          <w:tcPr>
            <w:tcW w:w="280" w:type="pct"/>
            <w:tcBorders>
              <w:bottom w:val="single" w:color="auto" w:sz="4" w:space="0"/>
            </w:tcBorders>
            <w:vAlign w:val="center"/>
          </w:tcPr>
          <w:p>
            <w:pPr>
              <w:pStyle w:val="32"/>
              <w:rPr>
                <w:sz w:val="18"/>
                <w:szCs w:val="18"/>
              </w:rPr>
            </w:pPr>
            <w:r>
              <w:rPr>
                <w:rFonts w:hint="eastAsia"/>
                <w:sz w:val="18"/>
                <w:szCs w:val="18"/>
              </w:rPr>
              <w:t>97.56</w:t>
            </w:r>
          </w:p>
        </w:tc>
        <w:tc>
          <w:tcPr>
            <w:tcW w:w="286" w:type="pct"/>
            <w:tcBorders>
              <w:bottom w:val="single" w:color="auto" w:sz="4" w:space="0"/>
            </w:tcBorders>
            <w:vAlign w:val="center"/>
          </w:tcPr>
          <w:p>
            <w:pPr>
              <w:pStyle w:val="32"/>
              <w:rPr>
                <w:sz w:val="18"/>
                <w:szCs w:val="18"/>
              </w:rPr>
            </w:pPr>
            <w:r>
              <w:rPr>
                <w:rFonts w:hint="eastAsia"/>
                <w:sz w:val="18"/>
                <w:szCs w:val="18"/>
              </w:rPr>
              <w:t>347.47</w:t>
            </w:r>
          </w:p>
        </w:tc>
        <w:tc>
          <w:tcPr>
            <w:tcW w:w="263" w:type="pct"/>
            <w:tcBorders>
              <w:bottom w:val="single" w:color="auto" w:sz="4" w:space="0"/>
            </w:tcBorders>
            <w:vAlign w:val="center"/>
          </w:tcPr>
          <w:p>
            <w:pPr>
              <w:pStyle w:val="32"/>
              <w:rPr>
                <w:sz w:val="18"/>
                <w:szCs w:val="18"/>
              </w:rPr>
            </w:pPr>
            <w:r>
              <w:rPr>
                <w:rFonts w:hint="eastAsia"/>
                <w:sz w:val="18"/>
                <w:szCs w:val="18"/>
              </w:rPr>
              <w:t>39.02</w:t>
            </w:r>
          </w:p>
        </w:tc>
        <w:tc>
          <w:tcPr>
            <w:tcW w:w="272" w:type="pct"/>
            <w:tcBorders>
              <w:bottom w:val="single" w:color="auto" w:sz="4" w:space="0"/>
            </w:tcBorders>
            <w:vAlign w:val="center"/>
          </w:tcPr>
          <w:p>
            <w:pPr>
              <w:pStyle w:val="32"/>
              <w:rPr>
                <w:sz w:val="18"/>
                <w:szCs w:val="18"/>
              </w:rPr>
            </w:pPr>
            <w:r>
              <w:rPr>
                <w:rFonts w:hint="eastAsia"/>
                <w:sz w:val="18"/>
                <w:szCs w:val="18"/>
              </w:rPr>
              <w:t>1.95</w:t>
            </w:r>
          </w:p>
        </w:tc>
        <w:tc>
          <w:tcPr>
            <w:tcW w:w="281" w:type="pct"/>
            <w:tcBorders>
              <w:bottom w:val="single" w:color="auto" w:sz="4" w:space="0"/>
            </w:tcBorders>
            <w:vAlign w:val="center"/>
          </w:tcPr>
          <w:p>
            <w:pPr>
              <w:pStyle w:val="32"/>
              <w:rPr>
                <w:sz w:val="18"/>
                <w:szCs w:val="18"/>
              </w:rPr>
            </w:pPr>
            <w:r>
              <w:rPr>
                <w:rFonts w:hint="eastAsia"/>
                <w:sz w:val="18"/>
                <w:szCs w:val="18"/>
              </w:rPr>
              <w:t>6.95</w:t>
            </w:r>
          </w:p>
        </w:tc>
        <w:tc>
          <w:tcPr>
            <w:tcW w:w="255" w:type="pct"/>
            <w:vMerge w:val="restart"/>
            <w:vAlign w:val="center"/>
          </w:tcPr>
          <w:p>
            <w:pPr>
              <w:jc w:val="center"/>
              <w:rPr>
                <w:sz w:val="18"/>
                <w:szCs w:val="18"/>
              </w:rPr>
            </w:pPr>
            <w:r>
              <w:rPr>
                <w:rFonts w:hint="eastAsia"/>
                <w:sz w:val="18"/>
                <w:szCs w:val="18"/>
              </w:rPr>
              <w:t>30</w:t>
            </w:r>
          </w:p>
        </w:tc>
        <w:tc>
          <w:tcPr>
            <w:tcW w:w="211" w:type="pct"/>
            <w:vMerge w:val="restart"/>
            <w:vAlign w:val="center"/>
          </w:tcPr>
          <w:p>
            <w:pPr>
              <w:jc w:val="center"/>
              <w:rPr>
                <w:sz w:val="18"/>
                <w:szCs w:val="18"/>
              </w:rPr>
            </w:pPr>
            <w:r>
              <w:rPr>
                <w:rFonts w:hint="eastAsia"/>
                <w:sz w:val="18"/>
                <w:szCs w:val="18"/>
              </w:rPr>
              <w:t>2.0</w:t>
            </w:r>
          </w:p>
        </w:tc>
        <w:tc>
          <w:tcPr>
            <w:tcW w:w="207" w:type="pct"/>
            <w:vMerge w:val="restart"/>
            <w:vAlign w:val="center"/>
          </w:tcPr>
          <w:p>
            <w:pPr>
              <w:jc w:val="center"/>
              <w:rPr>
                <w:sz w:val="18"/>
                <w:szCs w:val="18"/>
              </w:rPr>
            </w:pPr>
            <w:r>
              <w:rPr>
                <w:rFonts w:hint="eastAsia"/>
                <w:sz w:val="18"/>
                <w:szCs w:val="18"/>
              </w:rPr>
              <w:t>125</w:t>
            </w:r>
          </w:p>
        </w:tc>
        <w:tc>
          <w:tcPr>
            <w:tcW w:w="551" w:type="pct"/>
            <w:vMerge w:val="restart"/>
            <w:vAlign w:val="center"/>
          </w:tcPr>
          <w:p>
            <w:pPr>
              <w:jc w:val="center"/>
              <w:rPr>
                <w:sz w:val="18"/>
                <w:szCs w:val="18"/>
              </w:rPr>
            </w:pPr>
            <w:r>
              <w:rPr>
                <w:rFonts w:hint="eastAsia"/>
                <w:sz w:val="18"/>
                <w:szCs w:val="18"/>
              </w:rPr>
              <w:t>石灰粉+布袋除尘器，颗粒物去除效率98%、氟化物去除效率99%，S</w:t>
            </w:r>
            <w:r>
              <w:rPr>
                <w:sz w:val="18"/>
                <w:szCs w:val="18"/>
              </w:rPr>
              <w:t>O</w:t>
            </w:r>
            <w:r>
              <w:rPr>
                <w:rFonts w:hint="eastAsia"/>
                <w:sz w:val="18"/>
                <w:szCs w:val="18"/>
                <w:vertAlign w:val="subscript"/>
              </w:rPr>
              <w:t>2</w:t>
            </w:r>
            <w:r>
              <w:rPr>
                <w:rFonts w:hint="eastAsia"/>
                <w:sz w:val="18"/>
                <w:szCs w:val="18"/>
              </w:rPr>
              <w:t>、NO</w:t>
            </w:r>
            <w:r>
              <w:rPr>
                <w:rFonts w:hint="eastAsia"/>
                <w:sz w:val="18"/>
                <w:szCs w:val="18"/>
                <w:vertAlign w:val="subscript"/>
              </w:rPr>
              <w:t>x</w:t>
            </w:r>
            <w:r>
              <w:rPr>
                <w:rFonts w:hint="eastAsia"/>
                <w:sz w:val="18"/>
                <w:szCs w:val="18"/>
              </w:rPr>
              <w:t>无去除效率</w:t>
            </w:r>
          </w:p>
        </w:tc>
        <w:tc>
          <w:tcPr>
            <w:tcW w:w="265" w:type="pct"/>
            <w:tcBorders>
              <w:bottom w:val="single" w:color="auto" w:sz="4" w:space="0"/>
            </w:tcBorders>
            <w:vAlign w:val="center"/>
          </w:tcPr>
          <w:p>
            <w:pPr>
              <w:widowControl/>
              <w:jc w:val="center"/>
              <w:rPr>
                <w:sz w:val="18"/>
                <w:szCs w:val="18"/>
              </w:rPr>
            </w:pPr>
            <w:r>
              <w:rPr>
                <w:rFonts w:hint="eastAsia"/>
                <w:sz w:val="18"/>
                <w:szCs w:val="18"/>
              </w:rPr>
              <w:t>100</w:t>
            </w:r>
          </w:p>
        </w:tc>
        <w:tc>
          <w:tcPr>
            <w:tcW w:w="232" w:type="pct"/>
            <w:tcBorders>
              <w:bottom w:val="single" w:color="auto" w:sz="4" w:space="0"/>
            </w:tcBorders>
            <w:vAlign w:val="center"/>
          </w:tcPr>
          <w:p>
            <w:pPr>
              <w:widowControl/>
              <w:jc w:val="center"/>
              <w:rPr>
                <w:sz w:val="18"/>
                <w:szCs w:val="18"/>
              </w:rPr>
            </w:pPr>
            <w:r>
              <w:rPr>
                <w:rFonts w:hint="eastAsia"/>
                <w:sz w:val="18"/>
                <w:szCs w:val="18"/>
              </w:rPr>
              <w:t>23</w:t>
            </w:r>
          </w:p>
        </w:tc>
        <w:tc>
          <w:tcPr>
            <w:tcW w:w="211" w:type="pct"/>
            <w:tcBorders>
              <w:bottom w:val="single" w:color="auto" w:sz="4" w:space="0"/>
            </w:tcBorders>
            <w:vAlign w:val="center"/>
          </w:tcPr>
          <w:p>
            <w:pPr>
              <w:widowControl/>
              <w:jc w:val="center"/>
              <w:rPr>
                <w:sz w:val="18"/>
                <w:szCs w:val="18"/>
              </w:rPr>
            </w:pPr>
            <w:r>
              <w:rPr>
                <w:rFonts w:hint="eastAsia"/>
                <w:sz w:val="18"/>
                <w:szCs w:val="18"/>
              </w:rPr>
              <w:t>连续</w:t>
            </w:r>
          </w:p>
        </w:tc>
        <w:tc>
          <w:tcPr>
            <w:tcW w:w="203" w:type="pct"/>
            <w:tcBorders>
              <w:bottom w:val="single" w:color="auto" w:sz="4" w:space="0"/>
            </w:tcBorders>
            <w:vAlign w:val="center"/>
          </w:tcPr>
          <w:p>
            <w:pPr>
              <w:widowControl/>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289" w:type="pct"/>
            <w:vAlign w:val="center"/>
          </w:tcPr>
          <w:p>
            <w:pPr>
              <w:pStyle w:val="32"/>
              <w:rPr>
                <w:sz w:val="18"/>
                <w:szCs w:val="18"/>
              </w:rPr>
            </w:pPr>
            <w:r>
              <w:rPr>
                <w:rFonts w:hint="eastAsia"/>
                <w:sz w:val="18"/>
                <w:szCs w:val="18"/>
              </w:rPr>
              <w:t>5.70</w:t>
            </w:r>
          </w:p>
        </w:tc>
        <w:tc>
          <w:tcPr>
            <w:tcW w:w="280" w:type="pct"/>
            <w:vAlign w:val="center"/>
          </w:tcPr>
          <w:p>
            <w:pPr>
              <w:pStyle w:val="32"/>
              <w:rPr>
                <w:sz w:val="18"/>
                <w:szCs w:val="18"/>
              </w:rPr>
            </w:pPr>
            <w:r>
              <w:rPr>
                <w:rFonts w:hint="eastAsia"/>
                <w:sz w:val="18"/>
                <w:szCs w:val="18"/>
              </w:rPr>
              <w:t>0.29</w:t>
            </w:r>
          </w:p>
        </w:tc>
        <w:tc>
          <w:tcPr>
            <w:tcW w:w="286" w:type="pct"/>
            <w:vAlign w:val="center"/>
          </w:tcPr>
          <w:p>
            <w:pPr>
              <w:pStyle w:val="32"/>
              <w:rPr>
                <w:sz w:val="18"/>
                <w:szCs w:val="18"/>
              </w:rPr>
            </w:pPr>
            <w:r>
              <w:rPr>
                <w:rFonts w:hint="eastAsia"/>
                <w:sz w:val="18"/>
                <w:szCs w:val="18"/>
              </w:rPr>
              <w:t>2.28</w:t>
            </w:r>
          </w:p>
        </w:tc>
        <w:tc>
          <w:tcPr>
            <w:tcW w:w="263" w:type="pct"/>
            <w:vAlign w:val="center"/>
          </w:tcPr>
          <w:p>
            <w:pPr>
              <w:pStyle w:val="32"/>
              <w:rPr>
                <w:sz w:val="18"/>
                <w:szCs w:val="18"/>
              </w:rPr>
            </w:pPr>
            <w:r>
              <w:rPr>
                <w:rFonts w:hint="eastAsia"/>
                <w:sz w:val="18"/>
                <w:szCs w:val="18"/>
              </w:rPr>
              <w:t>5.70</w:t>
            </w:r>
          </w:p>
        </w:tc>
        <w:tc>
          <w:tcPr>
            <w:tcW w:w="272" w:type="pct"/>
            <w:vAlign w:val="center"/>
          </w:tcPr>
          <w:p>
            <w:pPr>
              <w:pStyle w:val="32"/>
              <w:rPr>
                <w:sz w:val="18"/>
                <w:szCs w:val="18"/>
              </w:rPr>
            </w:pPr>
            <w:r>
              <w:rPr>
                <w:rFonts w:hint="eastAsia"/>
                <w:sz w:val="18"/>
                <w:szCs w:val="18"/>
              </w:rPr>
              <w:t>0.29</w:t>
            </w:r>
          </w:p>
        </w:tc>
        <w:tc>
          <w:tcPr>
            <w:tcW w:w="281" w:type="pct"/>
            <w:vAlign w:val="center"/>
          </w:tcPr>
          <w:p>
            <w:pPr>
              <w:pStyle w:val="32"/>
              <w:rPr>
                <w:sz w:val="18"/>
                <w:szCs w:val="18"/>
              </w:rPr>
            </w:pPr>
            <w:r>
              <w:rPr>
                <w:rFonts w:hint="eastAsia"/>
                <w:sz w:val="18"/>
                <w:szCs w:val="18"/>
              </w:rPr>
              <w:t>2.28</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550</w:t>
            </w:r>
          </w:p>
        </w:tc>
        <w:tc>
          <w:tcPr>
            <w:tcW w:w="232" w:type="pct"/>
            <w:vAlign w:val="center"/>
          </w:tcPr>
          <w:p>
            <w:pPr>
              <w:jc w:val="center"/>
              <w:rPr>
                <w:sz w:val="18"/>
                <w:szCs w:val="18"/>
              </w:rPr>
            </w:pPr>
            <w:r>
              <w:rPr>
                <w:rFonts w:hint="eastAsia"/>
                <w:sz w:val="18"/>
                <w:szCs w:val="18"/>
              </w:rPr>
              <w:t>15</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289" w:type="pct"/>
            <w:vAlign w:val="center"/>
          </w:tcPr>
          <w:p>
            <w:pPr>
              <w:pStyle w:val="32"/>
              <w:rPr>
                <w:sz w:val="18"/>
                <w:szCs w:val="18"/>
              </w:rPr>
            </w:pPr>
            <w:r>
              <w:rPr>
                <w:rFonts w:hint="eastAsia"/>
                <w:sz w:val="18"/>
                <w:szCs w:val="18"/>
              </w:rPr>
              <w:t>22.61</w:t>
            </w:r>
          </w:p>
        </w:tc>
        <w:tc>
          <w:tcPr>
            <w:tcW w:w="280" w:type="pct"/>
            <w:vAlign w:val="center"/>
          </w:tcPr>
          <w:p>
            <w:pPr>
              <w:pStyle w:val="32"/>
              <w:rPr>
                <w:sz w:val="18"/>
                <w:szCs w:val="18"/>
              </w:rPr>
            </w:pPr>
            <w:r>
              <w:rPr>
                <w:rFonts w:hint="eastAsia"/>
                <w:sz w:val="18"/>
                <w:szCs w:val="18"/>
              </w:rPr>
              <w:t>1.13</w:t>
            </w:r>
          </w:p>
        </w:tc>
        <w:tc>
          <w:tcPr>
            <w:tcW w:w="286" w:type="pct"/>
            <w:vAlign w:val="center"/>
          </w:tcPr>
          <w:p>
            <w:pPr>
              <w:pStyle w:val="32"/>
              <w:rPr>
                <w:sz w:val="18"/>
                <w:szCs w:val="18"/>
              </w:rPr>
            </w:pPr>
            <w:r>
              <w:rPr>
                <w:rFonts w:hint="eastAsia"/>
                <w:sz w:val="18"/>
                <w:szCs w:val="18"/>
              </w:rPr>
              <w:t>9.05</w:t>
            </w:r>
          </w:p>
        </w:tc>
        <w:tc>
          <w:tcPr>
            <w:tcW w:w="263" w:type="pct"/>
            <w:vAlign w:val="center"/>
          </w:tcPr>
          <w:p>
            <w:pPr>
              <w:pStyle w:val="32"/>
              <w:rPr>
                <w:sz w:val="18"/>
                <w:szCs w:val="18"/>
              </w:rPr>
            </w:pPr>
            <w:r>
              <w:rPr>
                <w:rFonts w:hint="eastAsia"/>
                <w:sz w:val="18"/>
                <w:szCs w:val="18"/>
              </w:rPr>
              <w:t>22.61</w:t>
            </w:r>
          </w:p>
        </w:tc>
        <w:tc>
          <w:tcPr>
            <w:tcW w:w="272" w:type="pct"/>
            <w:vAlign w:val="center"/>
          </w:tcPr>
          <w:p>
            <w:pPr>
              <w:pStyle w:val="32"/>
              <w:rPr>
                <w:sz w:val="18"/>
                <w:szCs w:val="18"/>
              </w:rPr>
            </w:pPr>
            <w:r>
              <w:rPr>
                <w:rFonts w:hint="eastAsia"/>
                <w:sz w:val="18"/>
                <w:szCs w:val="18"/>
              </w:rPr>
              <w:t>1.13</w:t>
            </w:r>
          </w:p>
        </w:tc>
        <w:tc>
          <w:tcPr>
            <w:tcW w:w="281" w:type="pct"/>
            <w:vAlign w:val="center"/>
          </w:tcPr>
          <w:p>
            <w:pPr>
              <w:pStyle w:val="32"/>
              <w:rPr>
                <w:sz w:val="18"/>
                <w:szCs w:val="18"/>
              </w:rPr>
            </w:pPr>
            <w:r>
              <w:rPr>
                <w:rFonts w:hint="eastAsia"/>
                <w:sz w:val="18"/>
                <w:szCs w:val="18"/>
              </w:rPr>
              <w:t>9.05</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240</w:t>
            </w:r>
          </w:p>
        </w:tc>
        <w:tc>
          <w:tcPr>
            <w:tcW w:w="232" w:type="pct"/>
            <w:vAlign w:val="center"/>
          </w:tcPr>
          <w:p>
            <w:pPr>
              <w:jc w:val="center"/>
              <w:rPr>
                <w:sz w:val="18"/>
                <w:szCs w:val="18"/>
              </w:rPr>
            </w:pPr>
            <w:r>
              <w:rPr>
                <w:rFonts w:hint="eastAsia"/>
                <w:sz w:val="18"/>
                <w:szCs w:val="18"/>
              </w:rPr>
              <w:t>4.4</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Merge w:val="continue"/>
            <w:vAlign w:val="center"/>
          </w:tcPr>
          <w:p>
            <w:pPr>
              <w:widowControl/>
              <w:jc w:val="center"/>
              <w:rPr>
                <w:sz w:val="18"/>
                <w:szCs w:val="18"/>
              </w:rPr>
            </w:pPr>
          </w:p>
        </w:tc>
        <w:tc>
          <w:tcPr>
            <w:tcW w:w="448" w:type="pct"/>
            <w:vMerge w:val="continue"/>
            <w:vAlign w:val="center"/>
          </w:tcPr>
          <w:p>
            <w:pPr>
              <w:widowControl/>
              <w:jc w:val="center"/>
              <w:rPr>
                <w:sz w:val="18"/>
                <w:szCs w:val="18"/>
              </w:rPr>
            </w:pPr>
          </w:p>
        </w:tc>
        <w:tc>
          <w:tcPr>
            <w:tcW w:w="274" w:type="pct"/>
            <w:vMerge w:val="continue"/>
            <w:vAlign w:val="center"/>
          </w:tcPr>
          <w:p>
            <w:pPr>
              <w:widowControl/>
              <w:jc w:val="center"/>
              <w:rPr>
                <w:sz w:val="18"/>
                <w:szCs w:val="18"/>
              </w:rPr>
            </w:pPr>
          </w:p>
        </w:tc>
        <w:tc>
          <w:tcPr>
            <w:tcW w:w="267" w:type="pct"/>
            <w:vAlign w:val="center"/>
          </w:tcPr>
          <w:p>
            <w:pPr>
              <w:widowControl/>
              <w:jc w:val="center"/>
              <w:rPr>
                <w:sz w:val="18"/>
                <w:szCs w:val="18"/>
              </w:rPr>
            </w:pPr>
            <w:r>
              <w:rPr>
                <w:rFonts w:hint="eastAsia"/>
                <w:sz w:val="18"/>
                <w:szCs w:val="18"/>
              </w:rPr>
              <w:t>氟化物</w:t>
            </w:r>
          </w:p>
        </w:tc>
        <w:tc>
          <w:tcPr>
            <w:tcW w:w="289" w:type="pct"/>
            <w:vAlign w:val="center"/>
          </w:tcPr>
          <w:p>
            <w:pPr>
              <w:pStyle w:val="32"/>
              <w:rPr>
                <w:sz w:val="18"/>
                <w:szCs w:val="18"/>
              </w:rPr>
            </w:pPr>
            <w:r>
              <w:rPr>
                <w:rFonts w:hint="eastAsia"/>
                <w:sz w:val="18"/>
                <w:szCs w:val="18"/>
              </w:rPr>
              <w:t>1.59</w:t>
            </w:r>
          </w:p>
        </w:tc>
        <w:tc>
          <w:tcPr>
            <w:tcW w:w="280" w:type="pct"/>
            <w:vAlign w:val="center"/>
          </w:tcPr>
          <w:p>
            <w:pPr>
              <w:pStyle w:val="32"/>
              <w:rPr>
                <w:sz w:val="18"/>
                <w:szCs w:val="18"/>
              </w:rPr>
            </w:pPr>
            <w:r>
              <w:rPr>
                <w:rFonts w:hint="eastAsia"/>
                <w:sz w:val="18"/>
                <w:szCs w:val="18"/>
              </w:rPr>
              <w:t>0.08</w:t>
            </w:r>
          </w:p>
        </w:tc>
        <w:tc>
          <w:tcPr>
            <w:tcW w:w="286" w:type="pct"/>
            <w:vAlign w:val="center"/>
          </w:tcPr>
          <w:p>
            <w:pPr>
              <w:pStyle w:val="32"/>
              <w:rPr>
                <w:sz w:val="18"/>
                <w:szCs w:val="18"/>
              </w:rPr>
            </w:pPr>
            <w:r>
              <w:rPr>
                <w:rFonts w:hint="eastAsia"/>
                <w:sz w:val="18"/>
                <w:szCs w:val="18"/>
              </w:rPr>
              <w:t>0.39</w:t>
            </w:r>
          </w:p>
        </w:tc>
        <w:tc>
          <w:tcPr>
            <w:tcW w:w="263" w:type="pct"/>
            <w:vAlign w:val="center"/>
          </w:tcPr>
          <w:p>
            <w:pPr>
              <w:pStyle w:val="32"/>
              <w:rPr>
                <w:sz w:val="18"/>
                <w:szCs w:val="18"/>
              </w:rPr>
            </w:pPr>
            <w:r>
              <w:rPr>
                <w:rFonts w:hint="eastAsia"/>
                <w:sz w:val="18"/>
                <w:szCs w:val="18"/>
              </w:rPr>
              <w:t>0.016</w:t>
            </w:r>
          </w:p>
        </w:tc>
        <w:tc>
          <w:tcPr>
            <w:tcW w:w="272" w:type="pct"/>
            <w:vAlign w:val="center"/>
          </w:tcPr>
          <w:p>
            <w:pPr>
              <w:pStyle w:val="32"/>
              <w:rPr>
                <w:sz w:val="18"/>
                <w:szCs w:val="18"/>
              </w:rPr>
            </w:pPr>
            <w:r>
              <w:rPr>
                <w:rFonts w:hint="eastAsia"/>
                <w:sz w:val="18"/>
                <w:szCs w:val="18"/>
              </w:rPr>
              <w:t>0.0008</w:t>
            </w:r>
          </w:p>
        </w:tc>
        <w:tc>
          <w:tcPr>
            <w:tcW w:w="281" w:type="pct"/>
            <w:vAlign w:val="center"/>
          </w:tcPr>
          <w:p>
            <w:pPr>
              <w:pStyle w:val="32"/>
              <w:rPr>
                <w:sz w:val="18"/>
                <w:szCs w:val="18"/>
              </w:rPr>
            </w:pPr>
            <w:r>
              <w:rPr>
                <w:rFonts w:hint="eastAsia"/>
                <w:sz w:val="18"/>
                <w:szCs w:val="18"/>
              </w:rPr>
              <w:t>0.0039</w:t>
            </w:r>
          </w:p>
        </w:tc>
        <w:tc>
          <w:tcPr>
            <w:tcW w:w="255" w:type="pct"/>
            <w:vMerge w:val="continue"/>
            <w:vAlign w:val="center"/>
          </w:tcPr>
          <w:p>
            <w:pPr>
              <w:jc w:val="center"/>
              <w:rPr>
                <w:sz w:val="18"/>
                <w:szCs w:val="18"/>
              </w:rPr>
            </w:pPr>
          </w:p>
        </w:tc>
        <w:tc>
          <w:tcPr>
            <w:tcW w:w="211" w:type="pct"/>
            <w:vMerge w:val="continue"/>
            <w:vAlign w:val="center"/>
          </w:tcPr>
          <w:p>
            <w:pPr>
              <w:jc w:val="center"/>
              <w:rPr>
                <w:sz w:val="18"/>
                <w:szCs w:val="18"/>
              </w:rPr>
            </w:pPr>
          </w:p>
        </w:tc>
        <w:tc>
          <w:tcPr>
            <w:tcW w:w="207" w:type="pct"/>
            <w:vMerge w:val="continue"/>
            <w:vAlign w:val="center"/>
          </w:tcPr>
          <w:p>
            <w:pPr>
              <w:jc w:val="center"/>
              <w:rPr>
                <w:sz w:val="18"/>
                <w:szCs w:val="18"/>
              </w:rPr>
            </w:pPr>
          </w:p>
        </w:tc>
        <w:tc>
          <w:tcPr>
            <w:tcW w:w="551" w:type="pct"/>
            <w:vMerge w:val="continue"/>
            <w:vAlign w:val="center"/>
          </w:tcPr>
          <w:p>
            <w:pPr>
              <w:jc w:val="center"/>
              <w:rPr>
                <w:sz w:val="18"/>
                <w:szCs w:val="18"/>
              </w:rPr>
            </w:pPr>
          </w:p>
        </w:tc>
        <w:tc>
          <w:tcPr>
            <w:tcW w:w="265" w:type="pct"/>
            <w:vAlign w:val="center"/>
          </w:tcPr>
          <w:p>
            <w:pPr>
              <w:jc w:val="center"/>
              <w:rPr>
                <w:sz w:val="18"/>
                <w:szCs w:val="18"/>
              </w:rPr>
            </w:pPr>
            <w:r>
              <w:rPr>
                <w:rFonts w:hint="eastAsia"/>
                <w:sz w:val="18"/>
                <w:szCs w:val="18"/>
              </w:rPr>
              <w:t>6</w:t>
            </w:r>
          </w:p>
        </w:tc>
        <w:tc>
          <w:tcPr>
            <w:tcW w:w="232" w:type="pct"/>
            <w:vAlign w:val="center"/>
          </w:tcPr>
          <w:p>
            <w:pPr>
              <w:jc w:val="center"/>
              <w:rPr>
                <w:sz w:val="18"/>
                <w:szCs w:val="18"/>
              </w:rPr>
            </w:pPr>
            <w:r>
              <w:rPr>
                <w:rFonts w:hint="eastAsia"/>
                <w:sz w:val="18"/>
                <w:szCs w:val="18"/>
              </w:rPr>
              <w:t>0.59</w:t>
            </w:r>
          </w:p>
        </w:tc>
        <w:tc>
          <w:tcPr>
            <w:tcW w:w="211" w:type="pct"/>
            <w:vAlign w:val="center"/>
          </w:tcPr>
          <w:p>
            <w:pPr>
              <w:jc w:val="center"/>
              <w:rPr>
                <w:sz w:val="18"/>
                <w:szCs w:val="18"/>
              </w:rPr>
            </w:pPr>
            <w:r>
              <w:rPr>
                <w:rFonts w:hint="eastAsia"/>
                <w:sz w:val="18"/>
                <w:szCs w:val="18"/>
              </w:rPr>
              <w:t>连续</w:t>
            </w:r>
          </w:p>
        </w:tc>
        <w:tc>
          <w:tcPr>
            <w:tcW w:w="203" w:type="pct"/>
            <w:vAlign w:val="center"/>
          </w:tcPr>
          <w:p>
            <w:pPr>
              <w:jc w:val="center"/>
              <w:rPr>
                <w:sz w:val="18"/>
                <w:szCs w:val="18"/>
              </w:rPr>
            </w:pPr>
            <w:r>
              <w:rPr>
                <w:rFonts w:hint="eastAsia"/>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97" w:type="pct"/>
            <w:vAlign w:val="center"/>
          </w:tcPr>
          <w:p>
            <w:pPr>
              <w:widowControl/>
              <w:jc w:val="center"/>
              <w:rPr>
                <w:sz w:val="18"/>
                <w:szCs w:val="18"/>
              </w:rPr>
            </w:pPr>
            <w:r>
              <w:rPr>
                <w:rFonts w:hint="eastAsia"/>
                <w:sz w:val="18"/>
                <w:szCs w:val="18"/>
              </w:rPr>
              <w:t>P2-2</w:t>
            </w:r>
          </w:p>
        </w:tc>
        <w:tc>
          <w:tcPr>
            <w:tcW w:w="448" w:type="pct"/>
            <w:vAlign w:val="center"/>
          </w:tcPr>
          <w:p>
            <w:pPr>
              <w:pStyle w:val="32"/>
              <w:rPr>
                <w:sz w:val="18"/>
                <w:szCs w:val="18"/>
              </w:rPr>
            </w:pPr>
            <w:r>
              <w:rPr>
                <w:rFonts w:hint="eastAsia"/>
                <w:sz w:val="18"/>
                <w:szCs w:val="18"/>
              </w:rPr>
              <w:t>铝灰分离废气G2-4</w:t>
            </w:r>
          </w:p>
        </w:tc>
        <w:tc>
          <w:tcPr>
            <w:tcW w:w="274" w:type="pct"/>
            <w:vAlign w:val="center"/>
          </w:tcPr>
          <w:p>
            <w:pPr>
              <w:pStyle w:val="32"/>
              <w:rPr>
                <w:sz w:val="18"/>
                <w:szCs w:val="18"/>
              </w:rPr>
            </w:pPr>
            <w:r>
              <w:rPr>
                <w:rFonts w:hint="eastAsia"/>
                <w:sz w:val="18"/>
                <w:szCs w:val="18"/>
              </w:rPr>
              <w:t>5000</w:t>
            </w:r>
          </w:p>
        </w:tc>
        <w:tc>
          <w:tcPr>
            <w:tcW w:w="267" w:type="pct"/>
            <w:vAlign w:val="center"/>
          </w:tcPr>
          <w:p>
            <w:pPr>
              <w:pStyle w:val="32"/>
              <w:rPr>
                <w:sz w:val="18"/>
                <w:szCs w:val="18"/>
              </w:rPr>
            </w:pPr>
            <w:r>
              <w:rPr>
                <w:rFonts w:hint="eastAsia"/>
                <w:sz w:val="18"/>
                <w:szCs w:val="18"/>
              </w:rPr>
              <w:t>颗粒物</w:t>
            </w:r>
          </w:p>
        </w:tc>
        <w:tc>
          <w:tcPr>
            <w:tcW w:w="289" w:type="pct"/>
            <w:vAlign w:val="center"/>
          </w:tcPr>
          <w:p>
            <w:pPr>
              <w:pStyle w:val="32"/>
              <w:rPr>
                <w:sz w:val="18"/>
                <w:szCs w:val="18"/>
              </w:rPr>
            </w:pPr>
            <w:r>
              <w:rPr>
                <w:rFonts w:hint="eastAsia"/>
                <w:sz w:val="18"/>
                <w:szCs w:val="18"/>
              </w:rPr>
              <w:t>400.5</w:t>
            </w:r>
          </w:p>
        </w:tc>
        <w:tc>
          <w:tcPr>
            <w:tcW w:w="280" w:type="pct"/>
            <w:vAlign w:val="center"/>
          </w:tcPr>
          <w:p>
            <w:pPr>
              <w:pStyle w:val="32"/>
              <w:rPr>
                <w:sz w:val="18"/>
                <w:szCs w:val="18"/>
              </w:rPr>
            </w:pPr>
            <w:r>
              <w:rPr>
                <w:rFonts w:hint="eastAsia"/>
                <w:sz w:val="18"/>
                <w:szCs w:val="18"/>
              </w:rPr>
              <w:t>2.0</w:t>
            </w:r>
          </w:p>
        </w:tc>
        <w:tc>
          <w:tcPr>
            <w:tcW w:w="286" w:type="pct"/>
            <w:vAlign w:val="center"/>
          </w:tcPr>
          <w:p>
            <w:pPr>
              <w:pStyle w:val="32"/>
              <w:rPr>
                <w:sz w:val="18"/>
                <w:szCs w:val="18"/>
              </w:rPr>
            </w:pPr>
            <w:r>
              <w:rPr>
                <w:rFonts w:hint="eastAsia"/>
                <w:sz w:val="18"/>
                <w:szCs w:val="18"/>
              </w:rPr>
              <w:t>5.29</w:t>
            </w:r>
          </w:p>
        </w:tc>
        <w:tc>
          <w:tcPr>
            <w:tcW w:w="263" w:type="pct"/>
            <w:vAlign w:val="center"/>
          </w:tcPr>
          <w:p>
            <w:pPr>
              <w:pStyle w:val="32"/>
              <w:rPr>
                <w:sz w:val="18"/>
                <w:szCs w:val="18"/>
              </w:rPr>
            </w:pPr>
            <w:r>
              <w:rPr>
                <w:rFonts w:hint="eastAsia"/>
                <w:sz w:val="18"/>
                <w:szCs w:val="18"/>
              </w:rPr>
              <w:t>8.01</w:t>
            </w:r>
          </w:p>
        </w:tc>
        <w:tc>
          <w:tcPr>
            <w:tcW w:w="272" w:type="pct"/>
            <w:vAlign w:val="center"/>
          </w:tcPr>
          <w:p>
            <w:pPr>
              <w:pStyle w:val="32"/>
              <w:rPr>
                <w:sz w:val="18"/>
                <w:szCs w:val="18"/>
              </w:rPr>
            </w:pPr>
            <w:r>
              <w:rPr>
                <w:rFonts w:hint="eastAsia"/>
                <w:sz w:val="18"/>
                <w:szCs w:val="18"/>
              </w:rPr>
              <w:t>0.04</w:t>
            </w:r>
          </w:p>
        </w:tc>
        <w:tc>
          <w:tcPr>
            <w:tcW w:w="281" w:type="pct"/>
            <w:vAlign w:val="center"/>
          </w:tcPr>
          <w:p>
            <w:pPr>
              <w:pStyle w:val="32"/>
              <w:rPr>
                <w:sz w:val="18"/>
                <w:szCs w:val="18"/>
              </w:rPr>
            </w:pPr>
            <w:r>
              <w:rPr>
                <w:rFonts w:hint="eastAsia"/>
                <w:sz w:val="18"/>
                <w:szCs w:val="18"/>
              </w:rPr>
              <w:t>0.11</w:t>
            </w:r>
          </w:p>
        </w:tc>
        <w:tc>
          <w:tcPr>
            <w:tcW w:w="255" w:type="pct"/>
            <w:vAlign w:val="center"/>
          </w:tcPr>
          <w:p>
            <w:pPr>
              <w:pStyle w:val="32"/>
              <w:rPr>
                <w:sz w:val="18"/>
                <w:szCs w:val="18"/>
              </w:rPr>
            </w:pPr>
            <w:r>
              <w:rPr>
                <w:rFonts w:hint="eastAsia"/>
                <w:sz w:val="18"/>
                <w:szCs w:val="18"/>
              </w:rPr>
              <w:t>20</w:t>
            </w:r>
          </w:p>
        </w:tc>
        <w:tc>
          <w:tcPr>
            <w:tcW w:w="211" w:type="pct"/>
            <w:vAlign w:val="center"/>
          </w:tcPr>
          <w:p>
            <w:pPr>
              <w:pStyle w:val="32"/>
              <w:rPr>
                <w:sz w:val="18"/>
                <w:szCs w:val="18"/>
              </w:rPr>
            </w:pPr>
            <w:r>
              <w:rPr>
                <w:rFonts w:hint="eastAsia"/>
                <w:sz w:val="18"/>
                <w:szCs w:val="18"/>
              </w:rPr>
              <w:t>1.6</w:t>
            </w:r>
          </w:p>
        </w:tc>
        <w:tc>
          <w:tcPr>
            <w:tcW w:w="207" w:type="pct"/>
            <w:vAlign w:val="center"/>
          </w:tcPr>
          <w:p>
            <w:pPr>
              <w:pStyle w:val="32"/>
              <w:rPr>
                <w:sz w:val="18"/>
                <w:szCs w:val="18"/>
              </w:rPr>
            </w:pPr>
            <w:r>
              <w:rPr>
                <w:rFonts w:hint="eastAsia"/>
                <w:sz w:val="18"/>
                <w:szCs w:val="18"/>
              </w:rPr>
              <w:t>25</w:t>
            </w:r>
          </w:p>
        </w:tc>
        <w:tc>
          <w:tcPr>
            <w:tcW w:w="551" w:type="pct"/>
            <w:vAlign w:val="center"/>
          </w:tcPr>
          <w:p>
            <w:pPr>
              <w:pStyle w:val="32"/>
              <w:rPr>
                <w:sz w:val="18"/>
                <w:szCs w:val="18"/>
              </w:rPr>
            </w:pPr>
            <w:r>
              <w:rPr>
                <w:rFonts w:hint="eastAsia"/>
                <w:sz w:val="18"/>
                <w:szCs w:val="18"/>
              </w:rPr>
              <w:t>布袋除尘器；颗粒物去除效率98%</w:t>
            </w:r>
          </w:p>
        </w:tc>
        <w:tc>
          <w:tcPr>
            <w:tcW w:w="265" w:type="pct"/>
            <w:vAlign w:val="center"/>
          </w:tcPr>
          <w:p>
            <w:pPr>
              <w:pStyle w:val="32"/>
              <w:rPr>
                <w:sz w:val="18"/>
                <w:szCs w:val="18"/>
              </w:rPr>
            </w:pPr>
            <w:r>
              <w:rPr>
                <w:rFonts w:hint="eastAsia"/>
                <w:sz w:val="18"/>
                <w:szCs w:val="18"/>
              </w:rPr>
              <w:t>120</w:t>
            </w:r>
          </w:p>
        </w:tc>
        <w:tc>
          <w:tcPr>
            <w:tcW w:w="232" w:type="pct"/>
            <w:vAlign w:val="center"/>
          </w:tcPr>
          <w:p>
            <w:pPr>
              <w:pStyle w:val="32"/>
              <w:rPr>
                <w:sz w:val="18"/>
                <w:szCs w:val="18"/>
              </w:rPr>
            </w:pPr>
            <w:r>
              <w:rPr>
                <w:rFonts w:hint="eastAsia"/>
                <w:sz w:val="18"/>
                <w:szCs w:val="18"/>
              </w:rPr>
              <w:t>5.9</w:t>
            </w:r>
          </w:p>
        </w:tc>
        <w:tc>
          <w:tcPr>
            <w:tcW w:w="211" w:type="pct"/>
            <w:vAlign w:val="center"/>
          </w:tcPr>
          <w:p>
            <w:pPr>
              <w:pStyle w:val="32"/>
              <w:rPr>
                <w:sz w:val="18"/>
                <w:szCs w:val="18"/>
              </w:rPr>
            </w:pPr>
            <w:r>
              <w:rPr>
                <w:rFonts w:hint="eastAsia"/>
                <w:sz w:val="18"/>
                <w:szCs w:val="18"/>
              </w:rPr>
              <w:t>连续</w:t>
            </w:r>
          </w:p>
        </w:tc>
        <w:tc>
          <w:tcPr>
            <w:tcW w:w="203" w:type="pct"/>
            <w:vAlign w:val="center"/>
          </w:tcPr>
          <w:p>
            <w:pPr>
              <w:pStyle w:val="32"/>
              <w:rPr>
                <w:sz w:val="18"/>
                <w:szCs w:val="18"/>
              </w:rPr>
            </w:pPr>
            <w:r>
              <w:rPr>
                <w:rFonts w:hint="eastAsia"/>
                <w:sz w:val="18"/>
                <w:szCs w:val="18"/>
              </w:rPr>
              <w:t>达标</w:t>
            </w:r>
          </w:p>
        </w:tc>
      </w:tr>
    </w:tbl>
    <w:p>
      <w:pPr>
        <w:jc w:val="center"/>
        <w:rPr>
          <w:b/>
        </w:rPr>
      </w:pPr>
    </w:p>
    <w:p>
      <w:pPr>
        <w:pStyle w:val="31"/>
      </w:pPr>
      <w:r>
        <w:rPr>
          <w:rFonts w:hint="eastAsia"/>
        </w:rPr>
        <w:t>表4.4-9  一期工程无组织排放废气源强</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5"/>
        <w:gridCol w:w="2126"/>
        <w:gridCol w:w="2127"/>
        <w:gridCol w:w="1625"/>
        <w:gridCol w:w="2430"/>
        <w:gridCol w:w="1443"/>
        <w:gridCol w:w="1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6" w:type="pct"/>
            <w:vMerge w:val="restart"/>
            <w:vAlign w:val="center"/>
          </w:tcPr>
          <w:p>
            <w:pPr>
              <w:jc w:val="center"/>
              <w:rPr>
                <w:sz w:val="21"/>
                <w:szCs w:val="21"/>
              </w:rPr>
            </w:pPr>
            <w:r>
              <w:rPr>
                <w:rFonts w:hint="eastAsia"/>
                <w:sz w:val="21"/>
                <w:szCs w:val="21"/>
              </w:rPr>
              <w:t>污染源</w:t>
            </w:r>
          </w:p>
        </w:tc>
        <w:tc>
          <w:tcPr>
            <w:tcW w:w="750" w:type="pct"/>
            <w:vMerge w:val="restart"/>
            <w:vAlign w:val="center"/>
          </w:tcPr>
          <w:p>
            <w:pPr>
              <w:pStyle w:val="33"/>
              <w:rPr>
                <w:szCs w:val="21"/>
              </w:rPr>
            </w:pPr>
            <w:r>
              <w:rPr>
                <w:rFonts w:hint="eastAsia"/>
              </w:rPr>
              <w:t>面源面积m</w:t>
            </w:r>
            <w:r>
              <w:rPr>
                <w:rFonts w:hint="eastAsia"/>
                <w:vertAlign w:val="superscript"/>
              </w:rPr>
              <w:t>2</w:t>
            </w:r>
          </w:p>
        </w:tc>
        <w:tc>
          <w:tcPr>
            <w:tcW w:w="750" w:type="pct"/>
            <w:vMerge w:val="restart"/>
            <w:vAlign w:val="center"/>
          </w:tcPr>
          <w:p>
            <w:pPr>
              <w:jc w:val="center"/>
              <w:rPr>
                <w:sz w:val="21"/>
                <w:szCs w:val="21"/>
              </w:rPr>
            </w:pPr>
            <w:r>
              <w:rPr>
                <w:rFonts w:hint="eastAsia"/>
                <w:sz w:val="21"/>
                <w:szCs w:val="21"/>
              </w:rPr>
              <w:t>污染物</w:t>
            </w:r>
          </w:p>
        </w:tc>
        <w:tc>
          <w:tcPr>
            <w:tcW w:w="573" w:type="pct"/>
            <w:vMerge w:val="restart"/>
            <w:vAlign w:val="center"/>
          </w:tcPr>
          <w:p>
            <w:pPr>
              <w:jc w:val="center"/>
              <w:rPr>
                <w:sz w:val="21"/>
                <w:szCs w:val="21"/>
              </w:rPr>
            </w:pPr>
            <w:r>
              <w:rPr>
                <w:rFonts w:hint="eastAsia"/>
                <w:sz w:val="21"/>
                <w:szCs w:val="21"/>
              </w:rPr>
              <w:t>产生</w:t>
            </w:r>
            <w:r>
              <w:rPr>
                <w:sz w:val="21"/>
                <w:szCs w:val="21"/>
              </w:rPr>
              <w:t>量（</w:t>
            </w:r>
            <w:r>
              <w:rPr>
                <w:rFonts w:hint="eastAsia"/>
                <w:sz w:val="21"/>
                <w:szCs w:val="21"/>
              </w:rPr>
              <w:t>t/a</w:t>
            </w:r>
            <w:r>
              <w:rPr>
                <w:sz w:val="21"/>
                <w:szCs w:val="21"/>
              </w:rPr>
              <w:t>）</w:t>
            </w:r>
          </w:p>
        </w:tc>
        <w:tc>
          <w:tcPr>
            <w:tcW w:w="857" w:type="pct"/>
            <w:vMerge w:val="restart"/>
            <w:vAlign w:val="center"/>
          </w:tcPr>
          <w:p>
            <w:pPr>
              <w:jc w:val="center"/>
              <w:rPr>
                <w:sz w:val="21"/>
                <w:szCs w:val="21"/>
              </w:rPr>
            </w:pPr>
            <w:r>
              <w:rPr>
                <w:rFonts w:hint="eastAsia"/>
                <w:sz w:val="21"/>
                <w:szCs w:val="21"/>
              </w:rPr>
              <w:t>治理</w:t>
            </w:r>
            <w:r>
              <w:rPr>
                <w:sz w:val="21"/>
                <w:szCs w:val="21"/>
              </w:rPr>
              <w:t>措施</w:t>
            </w:r>
          </w:p>
        </w:tc>
        <w:tc>
          <w:tcPr>
            <w:tcW w:w="1141" w:type="pct"/>
            <w:gridSpan w:val="2"/>
            <w:vAlign w:val="center"/>
          </w:tcPr>
          <w:p>
            <w:pPr>
              <w:jc w:val="center"/>
              <w:rPr>
                <w:sz w:val="21"/>
                <w:szCs w:val="21"/>
              </w:rPr>
            </w:pPr>
            <w:r>
              <w:rPr>
                <w:rFonts w:hint="eastAsia"/>
                <w:sz w:val="21"/>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6" w:type="pct"/>
            <w:vMerge w:val="continue"/>
            <w:vAlign w:val="center"/>
          </w:tcPr>
          <w:p>
            <w:pPr>
              <w:jc w:val="center"/>
              <w:rPr>
                <w:sz w:val="21"/>
                <w:szCs w:val="21"/>
              </w:rPr>
            </w:pPr>
          </w:p>
        </w:tc>
        <w:tc>
          <w:tcPr>
            <w:tcW w:w="750" w:type="pct"/>
            <w:vMerge w:val="continue"/>
            <w:vAlign w:val="center"/>
          </w:tcPr>
          <w:p>
            <w:pPr>
              <w:jc w:val="center"/>
              <w:rPr>
                <w:sz w:val="21"/>
                <w:szCs w:val="21"/>
              </w:rPr>
            </w:pPr>
          </w:p>
        </w:tc>
        <w:tc>
          <w:tcPr>
            <w:tcW w:w="750" w:type="pct"/>
            <w:vMerge w:val="continue"/>
            <w:vAlign w:val="center"/>
          </w:tcPr>
          <w:p>
            <w:pPr>
              <w:jc w:val="center"/>
              <w:rPr>
                <w:sz w:val="21"/>
                <w:szCs w:val="21"/>
              </w:rPr>
            </w:pPr>
          </w:p>
        </w:tc>
        <w:tc>
          <w:tcPr>
            <w:tcW w:w="573" w:type="pct"/>
            <w:vMerge w:val="continue"/>
            <w:vAlign w:val="center"/>
          </w:tcPr>
          <w:p>
            <w:pPr>
              <w:jc w:val="center"/>
              <w:rPr>
                <w:sz w:val="21"/>
                <w:szCs w:val="21"/>
              </w:rPr>
            </w:pPr>
          </w:p>
        </w:tc>
        <w:tc>
          <w:tcPr>
            <w:tcW w:w="857" w:type="pct"/>
            <w:vMerge w:val="continue"/>
            <w:vAlign w:val="center"/>
          </w:tcPr>
          <w:p>
            <w:pPr>
              <w:jc w:val="center"/>
              <w:rPr>
                <w:sz w:val="21"/>
                <w:szCs w:val="21"/>
              </w:rPr>
            </w:pPr>
          </w:p>
        </w:tc>
        <w:tc>
          <w:tcPr>
            <w:tcW w:w="509" w:type="pct"/>
            <w:vAlign w:val="center"/>
          </w:tcPr>
          <w:p>
            <w:pPr>
              <w:jc w:val="center"/>
              <w:rPr>
                <w:sz w:val="21"/>
                <w:szCs w:val="21"/>
              </w:rPr>
            </w:pPr>
            <w:r>
              <w:rPr>
                <w:sz w:val="21"/>
                <w:szCs w:val="21"/>
              </w:rPr>
              <w:t>k</w:t>
            </w:r>
            <w:r>
              <w:rPr>
                <w:rFonts w:hint="eastAsia"/>
                <w:sz w:val="21"/>
                <w:szCs w:val="21"/>
              </w:rPr>
              <w:t>g/h</w:t>
            </w:r>
          </w:p>
        </w:tc>
        <w:tc>
          <w:tcPr>
            <w:tcW w:w="632" w:type="pct"/>
            <w:vAlign w:val="center"/>
          </w:tcPr>
          <w:p>
            <w:pPr>
              <w:jc w:val="center"/>
              <w:rPr>
                <w:sz w:val="21"/>
                <w:szCs w:val="21"/>
              </w:rPr>
            </w:pPr>
            <w:r>
              <w:rPr>
                <w:rFonts w:hint="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6" w:type="pct"/>
            <w:vMerge w:val="restart"/>
            <w:vAlign w:val="center"/>
          </w:tcPr>
          <w:p>
            <w:pPr>
              <w:pStyle w:val="33"/>
              <w:rPr>
                <w:szCs w:val="21"/>
              </w:rPr>
            </w:pPr>
            <w:r>
              <w:rPr>
                <w:rFonts w:hint="eastAsia"/>
              </w:rPr>
              <w:t>二期工程熔保炉系统</w:t>
            </w:r>
          </w:p>
        </w:tc>
        <w:tc>
          <w:tcPr>
            <w:tcW w:w="750" w:type="pct"/>
            <w:vMerge w:val="restart"/>
            <w:vAlign w:val="center"/>
          </w:tcPr>
          <w:p>
            <w:pPr>
              <w:pStyle w:val="33"/>
              <w:rPr>
                <w:szCs w:val="21"/>
                <w:highlight w:val="yellow"/>
              </w:rPr>
            </w:pPr>
            <w:r>
              <w:rPr>
                <w:rFonts w:hint="eastAsia"/>
              </w:rPr>
              <w:t>54x155=8370</w:t>
            </w:r>
          </w:p>
        </w:tc>
        <w:tc>
          <w:tcPr>
            <w:tcW w:w="750" w:type="pct"/>
            <w:vAlign w:val="center"/>
          </w:tcPr>
          <w:p>
            <w:pPr>
              <w:pStyle w:val="33"/>
              <w:rPr>
                <w:szCs w:val="21"/>
              </w:rPr>
            </w:pPr>
            <w:r>
              <w:rPr>
                <w:rFonts w:hint="eastAsia"/>
              </w:rPr>
              <w:t>颗粒物</w:t>
            </w:r>
          </w:p>
        </w:tc>
        <w:tc>
          <w:tcPr>
            <w:tcW w:w="573" w:type="pct"/>
            <w:vAlign w:val="center"/>
          </w:tcPr>
          <w:p>
            <w:pPr>
              <w:pStyle w:val="33"/>
              <w:rPr>
                <w:szCs w:val="21"/>
              </w:rPr>
            </w:pPr>
            <w:r>
              <w:rPr>
                <w:rFonts w:hint="eastAsia"/>
              </w:rPr>
              <w:t>0.70</w:t>
            </w:r>
          </w:p>
        </w:tc>
        <w:tc>
          <w:tcPr>
            <w:tcW w:w="857" w:type="pct"/>
            <w:vMerge w:val="restart"/>
            <w:vAlign w:val="center"/>
          </w:tcPr>
          <w:p>
            <w:pPr>
              <w:pStyle w:val="32"/>
              <w:rPr>
                <w:szCs w:val="21"/>
              </w:rPr>
            </w:pPr>
            <w:r>
              <w:rPr>
                <w:rFonts w:hint="eastAsia"/>
                <w:szCs w:val="21"/>
              </w:rPr>
              <w:t>半密闭厂房、自然沉降</w:t>
            </w:r>
          </w:p>
        </w:tc>
        <w:tc>
          <w:tcPr>
            <w:tcW w:w="509" w:type="pct"/>
            <w:vAlign w:val="center"/>
          </w:tcPr>
          <w:p>
            <w:pPr>
              <w:pStyle w:val="32"/>
              <w:rPr>
                <w:szCs w:val="21"/>
              </w:rPr>
            </w:pPr>
            <w:r>
              <w:rPr>
                <w:rFonts w:hint="eastAsia"/>
                <w:szCs w:val="21"/>
              </w:rPr>
              <w:t>0.07</w:t>
            </w:r>
          </w:p>
        </w:tc>
        <w:tc>
          <w:tcPr>
            <w:tcW w:w="632" w:type="pct"/>
            <w:vAlign w:val="center"/>
          </w:tcPr>
          <w:p>
            <w:pPr>
              <w:pStyle w:val="32"/>
              <w:rPr>
                <w:szCs w:val="21"/>
              </w:rPr>
            </w:pPr>
            <w:r>
              <w:rPr>
                <w:rFonts w:hint="eastAsia"/>
                <w:szCs w:val="21"/>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926" w:type="pct"/>
            <w:vMerge w:val="continue"/>
            <w:vAlign w:val="center"/>
          </w:tcPr>
          <w:p>
            <w:pPr>
              <w:pStyle w:val="33"/>
            </w:pPr>
          </w:p>
        </w:tc>
        <w:tc>
          <w:tcPr>
            <w:tcW w:w="750" w:type="pct"/>
            <w:vMerge w:val="continue"/>
            <w:vAlign w:val="center"/>
          </w:tcPr>
          <w:p>
            <w:pPr>
              <w:pStyle w:val="33"/>
            </w:pPr>
          </w:p>
        </w:tc>
        <w:tc>
          <w:tcPr>
            <w:tcW w:w="750" w:type="pct"/>
            <w:vAlign w:val="center"/>
          </w:tcPr>
          <w:p>
            <w:pPr>
              <w:pStyle w:val="33"/>
            </w:pPr>
            <w:r>
              <w:rPr>
                <w:rFonts w:hint="eastAsia"/>
              </w:rPr>
              <w:t>NO</w:t>
            </w:r>
            <w:r>
              <w:rPr>
                <w:rFonts w:hint="eastAsia"/>
                <w:vertAlign w:val="subscript"/>
              </w:rPr>
              <w:t>X</w:t>
            </w:r>
          </w:p>
        </w:tc>
        <w:tc>
          <w:tcPr>
            <w:tcW w:w="573" w:type="pct"/>
            <w:vAlign w:val="center"/>
          </w:tcPr>
          <w:p>
            <w:pPr>
              <w:pStyle w:val="33"/>
            </w:pPr>
            <w:r>
              <w:rPr>
                <w:rFonts w:hint="eastAsia"/>
              </w:rPr>
              <w:t>0.026</w:t>
            </w:r>
          </w:p>
        </w:tc>
        <w:tc>
          <w:tcPr>
            <w:tcW w:w="857" w:type="pct"/>
            <w:vMerge w:val="continue"/>
            <w:vAlign w:val="center"/>
          </w:tcPr>
          <w:p>
            <w:pPr>
              <w:pStyle w:val="32"/>
              <w:rPr>
                <w:szCs w:val="21"/>
              </w:rPr>
            </w:pPr>
          </w:p>
        </w:tc>
        <w:tc>
          <w:tcPr>
            <w:tcW w:w="509" w:type="pct"/>
            <w:vAlign w:val="center"/>
          </w:tcPr>
          <w:p>
            <w:pPr>
              <w:pStyle w:val="32"/>
              <w:rPr>
                <w:szCs w:val="21"/>
              </w:rPr>
            </w:pPr>
            <w:r>
              <w:rPr>
                <w:rFonts w:hint="eastAsia"/>
                <w:szCs w:val="21"/>
              </w:rPr>
              <w:t>0.0067</w:t>
            </w:r>
          </w:p>
        </w:tc>
        <w:tc>
          <w:tcPr>
            <w:tcW w:w="632" w:type="pct"/>
            <w:vAlign w:val="center"/>
          </w:tcPr>
          <w:p>
            <w:pPr>
              <w:pStyle w:val="33"/>
            </w:pPr>
            <w:r>
              <w:rPr>
                <w:rFonts w:hint="eastAsia"/>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6" w:type="pct"/>
            <w:vMerge w:val="continue"/>
            <w:vAlign w:val="center"/>
          </w:tcPr>
          <w:p>
            <w:pPr>
              <w:pStyle w:val="33"/>
            </w:pPr>
          </w:p>
        </w:tc>
        <w:tc>
          <w:tcPr>
            <w:tcW w:w="750" w:type="pct"/>
            <w:vMerge w:val="continue"/>
            <w:vAlign w:val="center"/>
          </w:tcPr>
          <w:p>
            <w:pPr>
              <w:pStyle w:val="33"/>
            </w:pPr>
          </w:p>
        </w:tc>
        <w:tc>
          <w:tcPr>
            <w:tcW w:w="750" w:type="pct"/>
            <w:vAlign w:val="center"/>
          </w:tcPr>
          <w:p>
            <w:pPr>
              <w:pStyle w:val="33"/>
            </w:pPr>
            <w:r>
              <w:rPr>
                <w:rFonts w:hint="eastAsia"/>
              </w:rPr>
              <w:t>SO</w:t>
            </w:r>
            <w:r>
              <w:rPr>
                <w:rFonts w:hint="eastAsia"/>
                <w:vertAlign w:val="subscript"/>
              </w:rPr>
              <w:t>2</w:t>
            </w:r>
          </w:p>
        </w:tc>
        <w:tc>
          <w:tcPr>
            <w:tcW w:w="573" w:type="pct"/>
            <w:vAlign w:val="center"/>
          </w:tcPr>
          <w:p>
            <w:pPr>
              <w:pStyle w:val="33"/>
            </w:pPr>
            <w:r>
              <w:rPr>
                <w:rFonts w:hint="eastAsia"/>
              </w:rPr>
              <w:t>0.0022</w:t>
            </w:r>
          </w:p>
        </w:tc>
        <w:tc>
          <w:tcPr>
            <w:tcW w:w="857" w:type="pct"/>
            <w:vMerge w:val="continue"/>
            <w:vAlign w:val="center"/>
          </w:tcPr>
          <w:p>
            <w:pPr>
              <w:pStyle w:val="32"/>
              <w:rPr>
                <w:szCs w:val="21"/>
              </w:rPr>
            </w:pPr>
          </w:p>
        </w:tc>
        <w:tc>
          <w:tcPr>
            <w:tcW w:w="509" w:type="pct"/>
            <w:vAlign w:val="center"/>
          </w:tcPr>
          <w:p>
            <w:pPr>
              <w:pStyle w:val="32"/>
              <w:rPr>
                <w:szCs w:val="21"/>
              </w:rPr>
            </w:pPr>
            <w:r>
              <w:rPr>
                <w:rFonts w:hint="eastAsia"/>
                <w:szCs w:val="21"/>
              </w:rPr>
              <w:t>0.00057</w:t>
            </w:r>
          </w:p>
        </w:tc>
        <w:tc>
          <w:tcPr>
            <w:tcW w:w="632" w:type="pct"/>
            <w:vAlign w:val="center"/>
          </w:tcPr>
          <w:p>
            <w:pPr>
              <w:pStyle w:val="33"/>
            </w:pPr>
            <w:r>
              <w:rPr>
                <w:rFonts w:hint="eastAsia"/>
              </w:rPr>
              <w:t>0.0022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6" w:type="pct"/>
            <w:vAlign w:val="center"/>
          </w:tcPr>
          <w:p>
            <w:pPr>
              <w:pStyle w:val="33"/>
              <w:rPr>
                <w:szCs w:val="21"/>
              </w:rPr>
            </w:pPr>
            <w:r>
              <w:rPr>
                <w:rFonts w:hint="eastAsia"/>
              </w:rPr>
              <w:t>二期工程</w:t>
            </w:r>
            <w:r>
              <w:t>铝灰分离</w:t>
            </w:r>
            <w:r>
              <w:rPr>
                <w:rFonts w:hint="eastAsia"/>
              </w:rPr>
              <w:t>车间</w:t>
            </w:r>
          </w:p>
        </w:tc>
        <w:tc>
          <w:tcPr>
            <w:tcW w:w="750" w:type="pct"/>
            <w:vAlign w:val="center"/>
          </w:tcPr>
          <w:p>
            <w:pPr>
              <w:pStyle w:val="33"/>
              <w:rPr>
                <w:szCs w:val="21"/>
              </w:rPr>
            </w:pPr>
            <w:r>
              <w:rPr>
                <w:rFonts w:hint="eastAsia"/>
              </w:rPr>
              <w:t>55x9=495</w:t>
            </w:r>
          </w:p>
        </w:tc>
        <w:tc>
          <w:tcPr>
            <w:tcW w:w="750" w:type="pct"/>
            <w:vAlign w:val="center"/>
          </w:tcPr>
          <w:p>
            <w:pPr>
              <w:pStyle w:val="33"/>
              <w:rPr>
                <w:szCs w:val="21"/>
              </w:rPr>
            </w:pPr>
            <w:r>
              <w:rPr>
                <w:rFonts w:hint="eastAsia"/>
              </w:rPr>
              <w:t>颗粒物</w:t>
            </w:r>
          </w:p>
        </w:tc>
        <w:tc>
          <w:tcPr>
            <w:tcW w:w="573" w:type="pct"/>
            <w:vAlign w:val="center"/>
          </w:tcPr>
          <w:p>
            <w:pPr>
              <w:pStyle w:val="33"/>
              <w:rPr>
                <w:szCs w:val="21"/>
              </w:rPr>
            </w:pPr>
            <w:r>
              <w:rPr>
                <w:rFonts w:hint="eastAsia"/>
              </w:rPr>
              <w:t>0.053</w:t>
            </w:r>
          </w:p>
        </w:tc>
        <w:tc>
          <w:tcPr>
            <w:tcW w:w="857" w:type="pct"/>
            <w:vAlign w:val="center"/>
          </w:tcPr>
          <w:p>
            <w:pPr>
              <w:pStyle w:val="32"/>
              <w:rPr>
                <w:szCs w:val="21"/>
              </w:rPr>
            </w:pPr>
            <w:r>
              <w:rPr>
                <w:rFonts w:hint="eastAsia"/>
                <w:szCs w:val="21"/>
              </w:rPr>
              <w:t>半密闭厂房、自然沉降</w:t>
            </w:r>
          </w:p>
        </w:tc>
        <w:tc>
          <w:tcPr>
            <w:tcW w:w="509" w:type="pct"/>
            <w:vAlign w:val="center"/>
          </w:tcPr>
          <w:p>
            <w:pPr>
              <w:pStyle w:val="32"/>
              <w:rPr>
                <w:szCs w:val="21"/>
              </w:rPr>
            </w:pPr>
            <w:r>
              <w:rPr>
                <w:rFonts w:hint="eastAsia"/>
                <w:szCs w:val="21"/>
              </w:rPr>
              <w:t>0.01</w:t>
            </w:r>
          </w:p>
        </w:tc>
        <w:tc>
          <w:tcPr>
            <w:tcW w:w="632" w:type="pct"/>
            <w:vAlign w:val="center"/>
          </w:tcPr>
          <w:p>
            <w:pPr>
              <w:pStyle w:val="32"/>
              <w:rPr>
                <w:szCs w:val="21"/>
              </w:rPr>
            </w:pPr>
            <w:r>
              <w:rPr>
                <w:rFonts w:hint="eastAsia"/>
                <w:szCs w:val="21"/>
              </w:rPr>
              <w:t>0.027</w:t>
            </w:r>
          </w:p>
        </w:tc>
      </w:tr>
    </w:tbl>
    <w:p>
      <w:pPr>
        <w:pStyle w:val="7"/>
        <w:ind w:firstLine="480"/>
        <w:sectPr>
          <w:pgSz w:w="16838" w:h="11906" w:orient="landscape"/>
          <w:pgMar w:top="1440" w:right="1440" w:bottom="1440" w:left="1440" w:header="851" w:footer="992" w:gutter="0"/>
          <w:cols w:space="425" w:num="1"/>
          <w:docGrid w:type="lines" w:linePitch="312" w:charSpace="0"/>
        </w:sectPr>
      </w:pPr>
    </w:p>
    <w:p>
      <w:pPr>
        <w:pStyle w:val="9"/>
      </w:pPr>
      <w:r>
        <w:rPr>
          <w:rFonts w:hint="eastAsia"/>
        </w:rPr>
        <w:t>4.4.2.2废水</w:t>
      </w:r>
    </w:p>
    <w:p>
      <w:pPr>
        <w:pStyle w:val="7"/>
        <w:ind w:firstLine="482"/>
        <w:rPr>
          <w:b/>
          <w:bCs/>
        </w:rPr>
      </w:pPr>
      <w:r>
        <w:rPr>
          <w:rFonts w:hint="eastAsia"/>
          <w:b/>
          <w:bCs/>
        </w:rPr>
        <w:t>1、废水产排情况</w:t>
      </w:r>
    </w:p>
    <w:p>
      <w:pPr>
        <w:pStyle w:val="7"/>
        <w:ind w:firstLine="480"/>
      </w:pPr>
      <w:r>
        <w:rPr>
          <w:rFonts w:hint="eastAsia"/>
        </w:rPr>
        <w:t>二期工程生产过程中用水主要为冷却循环用水，各循环系统水循环使用，定期外排废水。项目废水主要为循环冷却系统定期外排废水、初期雨水及员工生活污水。</w:t>
      </w:r>
    </w:p>
    <w:p>
      <w:pPr>
        <w:pStyle w:val="7"/>
        <w:ind w:firstLine="482"/>
        <w:rPr>
          <w:b/>
          <w:bCs/>
        </w:rPr>
      </w:pPr>
      <w:r>
        <w:rPr>
          <w:rFonts w:hint="eastAsia"/>
          <w:b/>
          <w:bCs/>
        </w:rPr>
        <w:t>（1）循环冷却系统定期排水W2-1</w:t>
      </w:r>
    </w:p>
    <w:p>
      <w:pPr>
        <w:pStyle w:val="7"/>
        <w:ind w:firstLine="480"/>
        <w:rPr>
          <w:color w:val="auto"/>
        </w:rPr>
      </w:pPr>
      <w:bookmarkStart w:id="85" w:name="_Hlk49959703"/>
      <w:r>
        <w:rPr>
          <w:rFonts w:hint="eastAsia"/>
          <w:color w:val="auto"/>
        </w:rPr>
        <w:t>铸轧板生产过程中铝液缓慢流入铸轧机内，经铸轧机铸轧成铝板卷。铸轧机采用水间接冷却</w:t>
      </w:r>
      <w:bookmarkEnd w:id="85"/>
      <w:r>
        <w:rPr>
          <w:rFonts w:hint="eastAsia"/>
          <w:color w:val="auto"/>
          <w:lang w:eastAsia="zh-CN"/>
        </w:rPr>
        <w:t>。</w:t>
      </w:r>
      <w:r>
        <w:rPr>
          <w:rFonts w:hint="eastAsia"/>
          <w:color w:val="auto"/>
        </w:rPr>
        <w:t>根据水平衡，项目营运期间循环冷却系统定期排水量为250m</w:t>
      </w:r>
      <w:r>
        <w:rPr>
          <w:rFonts w:hint="eastAsia"/>
          <w:color w:val="auto"/>
          <w:vertAlign w:val="superscript"/>
        </w:rPr>
        <w:t>3</w:t>
      </w:r>
      <w:r>
        <w:rPr>
          <w:rFonts w:hint="eastAsia"/>
          <w:color w:val="auto"/>
        </w:rPr>
        <w:t>/a，排放频次为每年一次。项目循环冷却用水循环过程中为防止水垢附着、设备腐蚀及微生物滋生等问题，需定期往里加入杀菌剂、阻垢剂、杀藻剂等药剂，因此此部分废水主要污染物为COD、SS等</w:t>
      </w:r>
      <w:r>
        <w:rPr>
          <w:rFonts w:hint="eastAsia"/>
          <w:color w:val="auto"/>
          <w:lang w:eastAsia="zh-CN"/>
        </w:rPr>
        <w:t>。</w:t>
      </w:r>
      <w:r>
        <w:rPr>
          <w:rFonts w:hint="eastAsia"/>
          <w:color w:val="auto"/>
          <w:lang w:val="en-US" w:eastAsia="zh-CN"/>
        </w:rPr>
        <w:t>水质参考</w:t>
      </w:r>
      <w:r>
        <w:rPr>
          <w:rFonts w:hint="eastAsia"/>
          <w:color w:val="auto"/>
        </w:rPr>
        <w:t>“山东创新金属科技有限公司年产</w:t>
      </w:r>
      <w:r>
        <w:rPr>
          <w:color w:val="auto"/>
        </w:rPr>
        <w:t>80</w:t>
      </w:r>
      <w:r>
        <w:rPr>
          <w:rFonts w:hint="eastAsia"/>
          <w:color w:val="auto"/>
        </w:rPr>
        <w:t>万吨高强高韧铝合金材料项目”中废水水质。污染物浓度为pH：7.8，COD：10mg/L，SS：5mg/L，BOD</w:t>
      </w:r>
      <w:r>
        <w:rPr>
          <w:rFonts w:hint="eastAsia"/>
          <w:color w:val="auto"/>
          <w:vertAlign w:val="subscript"/>
        </w:rPr>
        <w:t>5</w:t>
      </w:r>
      <w:r>
        <w:rPr>
          <w:rFonts w:hint="eastAsia"/>
          <w:color w:val="auto"/>
        </w:rPr>
        <w:t>：1.7mg/L，氟化物：0.86mg/L，硫化物：0.056mg/L。</w:t>
      </w:r>
    </w:p>
    <w:p>
      <w:pPr>
        <w:pStyle w:val="7"/>
        <w:ind w:firstLine="480"/>
        <w:rPr>
          <w:color w:val="auto"/>
        </w:rPr>
      </w:pPr>
      <w:r>
        <w:rPr>
          <w:rFonts w:hint="eastAsia"/>
          <w:color w:val="auto"/>
        </w:rPr>
        <w:t>根据类比分析，项目循环冷却系统定期排水的水质污染程度较轻，能够满足《污水综合排放标准》（G</w:t>
      </w:r>
      <w:r>
        <w:rPr>
          <w:color w:val="auto"/>
        </w:rPr>
        <w:t>B</w:t>
      </w:r>
      <w:r>
        <w:rPr>
          <w:rFonts w:hint="eastAsia"/>
          <w:color w:val="auto"/>
        </w:rPr>
        <w:t>8978-1996）中的一级排放标准和砚山县第一污水处理厂进水水质要求，经收集后通过市政污水管网进入砚山县第一污水处理厂进行处理。</w:t>
      </w:r>
    </w:p>
    <w:p>
      <w:pPr>
        <w:pStyle w:val="7"/>
        <w:ind w:firstLine="482"/>
        <w:rPr>
          <w:b/>
          <w:bCs/>
        </w:rPr>
      </w:pPr>
      <w:r>
        <w:rPr>
          <w:rFonts w:hint="eastAsia"/>
          <w:b/>
          <w:bCs/>
        </w:rPr>
        <w:t>（2）</w:t>
      </w:r>
      <w:r>
        <w:rPr>
          <w:b/>
          <w:bCs/>
        </w:rPr>
        <w:t>生活污水</w:t>
      </w:r>
      <w:r>
        <w:rPr>
          <w:rFonts w:hint="eastAsia"/>
          <w:b/>
          <w:bCs/>
        </w:rPr>
        <w:t>W2-2</w:t>
      </w:r>
    </w:p>
    <w:p>
      <w:pPr>
        <w:pStyle w:val="7"/>
        <w:ind w:firstLine="480"/>
      </w:pPr>
      <w:r>
        <w:t>项目</w:t>
      </w:r>
      <w:r>
        <w:rPr>
          <w:rFonts w:hint="eastAsia"/>
        </w:rPr>
        <w:t>二期工程</w:t>
      </w:r>
      <w:r>
        <w:t>职工</w:t>
      </w:r>
      <w:r>
        <w:rPr>
          <w:rFonts w:hint="eastAsia"/>
        </w:rPr>
        <w:t>50</w:t>
      </w:r>
      <w:r>
        <w:t>人，厂区生活用水主要为冲厕及盥洗用水、员工洗浴用水等，厂前区生活用水主要是食堂用水、倒班宿舍员工冲厕及盥洗、洗浴用水等生活用水。</w:t>
      </w:r>
    </w:p>
    <w:p>
      <w:pPr>
        <w:pStyle w:val="7"/>
        <w:ind w:firstLine="480"/>
        <w:rPr>
          <w:bCs/>
          <w:kern w:val="0"/>
        </w:rPr>
      </w:pPr>
      <w:r>
        <w:rPr>
          <w:kern w:val="0"/>
        </w:rPr>
        <w:t>厂区盥洗用水、洗浴用水等生活用水量</w:t>
      </w:r>
      <w:r>
        <w:rPr>
          <w:rFonts w:hint="eastAsia"/>
          <w:kern w:val="0"/>
        </w:rPr>
        <w:t>参照《云南省地方标准用水定额》（DB53/T168-2019），在项目内住宿员工用水量按100L/人·d计，则用水量为5m</w:t>
      </w:r>
      <w:r>
        <w:rPr>
          <w:rFonts w:hint="eastAsia"/>
          <w:kern w:val="0"/>
          <w:vertAlign w:val="superscript"/>
        </w:rPr>
        <w:t>3</w:t>
      </w:r>
      <w:r>
        <w:rPr>
          <w:rFonts w:hint="eastAsia"/>
          <w:kern w:val="0"/>
        </w:rPr>
        <w:t>/d，排水系数按0.8计，排水量4m</w:t>
      </w:r>
      <w:r>
        <w:rPr>
          <w:rFonts w:hint="eastAsia"/>
          <w:kern w:val="0"/>
          <w:vertAlign w:val="superscript"/>
        </w:rPr>
        <w:t>3</w:t>
      </w:r>
      <w:r>
        <w:rPr>
          <w:rFonts w:hint="eastAsia"/>
          <w:kern w:val="0"/>
        </w:rPr>
        <w:t>/d。餐饮用水参照《云南省地方标准用水定额》（DB53/T168-2019），按20L/人·d，则用水量为1m</w:t>
      </w:r>
      <w:r>
        <w:rPr>
          <w:rFonts w:hint="eastAsia"/>
          <w:kern w:val="0"/>
          <w:vertAlign w:val="superscript"/>
        </w:rPr>
        <w:t>3</w:t>
      </w:r>
      <w:r>
        <w:rPr>
          <w:rFonts w:hint="eastAsia"/>
          <w:kern w:val="0"/>
        </w:rPr>
        <w:t>/d，排水系数按0.8计，排水量为0.8m</w:t>
      </w:r>
      <w:r>
        <w:rPr>
          <w:rFonts w:hint="eastAsia"/>
          <w:kern w:val="0"/>
          <w:vertAlign w:val="superscript"/>
        </w:rPr>
        <w:t>3</w:t>
      </w:r>
      <w:r>
        <w:rPr>
          <w:rFonts w:hint="eastAsia"/>
          <w:kern w:val="0"/>
        </w:rPr>
        <w:t>/d。生活污水总产生量为4.8</w:t>
      </w:r>
      <w:r>
        <w:rPr>
          <w:kern w:val="0"/>
        </w:rPr>
        <w:t>m</w:t>
      </w:r>
      <w:r>
        <w:rPr>
          <w:kern w:val="0"/>
          <w:vertAlign w:val="superscript"/>
        </w:rPr>
        <w:t>3</w:t>
      </w:r>
      <w:r>
        <w:rPr>
          <w:kern w:val="0"/>
        </w:rPr>
        <w:t>/d</w:t>
      </w:r>
      <w:r>
        <w:rPr>
          <w:rFonts w:hint="eastAsia"/>
          <w:kern w:val="0"/>
        </w:rPr>
        <w:t>。</w:t>
      </w:r>
    </w:p>
    <w:p>
      <w:pPr>
        <w:pStyle w:val="7"/>
        <w:ind w:firstLine="480"/>
      </w:pPr>
      <w:r>
        <w:rPr>
          <w:kern w:val="0"/>
        </w:rPr>
        <w:t>生活污水经过化粪池收集预处理、食堂废水经过隔油池处理</w:t>
      </w:r>
      <w:r>
        <w:rPr>
          <w:rFonts w:hint="eastAsia"/>
          <w:kern w:val="0"/>
        </w:rPr>
        <w:t>达到</w:t>
      </w:r>
      <w:r>
        <w:rPr>
          <w:rFonts w:hint="eastAsia"/>
        </w:rPr>
        <w:t>《污水排入城镇下水道水质标准》（GB/T31962-2015）表1、A等级标准</w:t>
      </w:r>
      <w:r>
        <w:rPr>
          <w:rFonts w:hint="eastAsia"/>
          <w:kern w:val="0"/>
        </w:rPr>
        <w:t>后</w:t>
      </w:r>
      <w:r>
        <w:rPr>
          <w:rFonts w:hint="eastAsia"/>
        </w:rPr>
        <w:t>通过市政污水管网进入砚山县第一污水处理厂进行处理</w:t>
      </w:r>
      <w:r>
        <w:rPr>
          <w:rFonts w:hint="eastAsia"/>
          <w:bCs/>
          <w:kern w:val="0"/>
        </w:rPr>
        <w:t>。</w:t>
      </w:r>
    </w:p>
    <w:p>
      <w:pPr>
        <w:pStyle w:val="7"/>
        <w:ind w:firstLine="482"/>
        <w:rPr>
          <w:b/>
          <w:bCs/>
        </w:rPr>
      </w:pPr>
      <w:r>
        <w:rPr>
          <w:rFonts w:hint="eastAsia"/>
          <w:b/>
          <w:bCs/>
        </w:rPr>
        <w:t>（3）</w:t>
      </w:r>
      <w:r>
        <w:rPr>
          <w:b/>
          <w:bCs/>
        </w:rPr>
        <w:t>初期雨水</w:t>
      </w:r>
      <w:r>
        <w:rPr>
          <w:rFonts w:hint="eastAsia"/>
          <w:b/>
          <w:bCs/>
        </w:rPr>
        <w:t>W2-3</w:t>
      </w:r>
    </w:p>
    <w:p>
      <w:pPr>
        <w:pStyle w:val="7"/>
        <w:ind w:firstLine="480"/>
      </w:pPr>
      <w:r>
        <w:t>按照《有色金属工业环境保护设计技术规范》（GB50988-2014），厂区初期雨水应收集处理，初期雨水收集池容积按以下公式计算</w:t>
      </w:r>
      <w:r>
        <w:rPr>
          <w:rFonts w:hint="eastAsia"/>
          <w:lang w:eastAsia="zh-CN"/>
        </w:rPr>
        <w:t>：</w:t>
      </w:r>
    </w:p>
    <w:p>
      <w:pPr>
        <w:pStyle w:val="7"/>
        <w:ind w:firstLine="480"/>
        <w:rPr>
          <w:vertAlign w:val="superscript"/>
        </w:rPr>
      </w:pPr>
      <w:r>
        <w:t>V＝1.2F.Ix10</w:t>
      </w:r>
      <w:r>
        <w:rPr>
          <w:vertAlign w:val="superscript"/>
        </w:rPr>
        <w:t>-3</w:t>
      </w:r>
    </w:p>
    <w:p>
      <w:pPr>
        <w:pStyle w:val="7"/>
        <w:ind w:firstLine="480"/>
      </w:pPr>
      <w:r>
        <w:t>V</w:t>
      </w:r>
      <w:r>
        <w:rPr>
          <w:rFonts w:hint="eastAsia"/>
        </w:rPr>
        <w:t>：</w:t>
      </w:r>
      <w:r>
        <w:t>初期雨水收集池容积（m</w:t>
      </w:r>
      <w:r>
        <w:rPr>
          <w:vertAlign w:val="superscript"/>
        </w:rPr>
        <w:t>3</w:t>
      </w:r>
      <w:r>
        <w:t>）</w:t>
      </w:r>
    </w:p>
    <w:p>
      <w:pPr>
        <w:pStyle w:val="7"/>
        <w:ind w:firstLine="480"/>
      </w:pPr>
      <w:r>
        <w:t>F</w:t>
      </w:r>
      <w:r>
        <w:rPr>
          <w:rFonts w:hint="eastAsia"/>
        </w:rPr>
        <w:t>：</w:t>
      </w:r>
      <w:r>
        <w:t>受污染的场地面积</w:t>
      </w:r>
    </w:p>
    <w:p>
      <w:pPr>
        <w:pStyle w:val="7"/>
        <w:ind w:firstLine="480"/>
      </w:pPr>
      <w:r>
        <w:t>I</w:t>
      </w:r>
      <w:r>
        <w:rPr>
          <w:rFonts w:hint="eastAsia"/>
        </w:rPr>
        <w:t>：</w:t>
      </w:r>
      <w:r>
        <w:t>初期雨水量（轻金属冶炼或加工按10mm计）</w:t>
      </w:r>
    </w:p>
    <w:p>
      <w:pPr>
        <w:pStyle w:val="7"/>
        <w:ind w:firstLine="480"/>
      </w:pPr>
      <w:r>
        <w:t>受污染场地面积按照</w:t>
      </w:r>
      <w:r>
        <w:rPr>
          <w:rFonts w:hint="eastAsia"/>
        </w:rPr>
        <w:t>生产厂房面积考虑，取为8865</w:t>
      </w:r>
      <w:r>
        <w:t>m</w:t>
      </w:r>
      <w:r>
        <w:rPr>
          <w:vertAlign w:val="superscript"/>
        </w:rPr>
        <w:t>2</w:t>
      </w:r>
      <w:r>
        <w:t>，根据计算，</w:t>
      </w:r>
      <w:r>
        <w:rPr>
          <w:rFonts w:hint="eastAsia"/>
        </w:rPr>
        <w:t>项目二期工程</w:t>
      </w:r>
      <w:r>
        <w:t>初期雨水量为</w:t>
      </w:r>
      <w:r>
        <w:rPr>
          <w:rFonts w:hint="eastAsia"/>
        </w:rPr>
        <w:t>88.65</w:t>
      </w:r>
      <w:r>
        <w:t>m</w:t>
      </w:r>
      <w:r>
        <w:rPr>
          <w:vertAlign w:val="superscript"/>
        </w:rPr>
        <w:t>3</w:t>
      </w:r>
      <w:r>
        <w:rPr>
          <w:rFonts w:hint="eastAsia"/>
        </w:rPr>
        <w:t>/次，根据砚山县气候特征，每年5-10月为雨季，降雨量较为集中，占全年降水量的82.6%，11月至翌年4月为旱季，降水量只占全年降水量的17.4%，故本次评价按照每年下雨天数150天，每次连续下雨3天计，则项目初期雨水产生量为4432.5m</w:t>
      </w:r>
      <w:r>
        <w:rPr>
          <w:rFonts w:hint="eastAsia"/>
          <w:vertAlign w:val="superscript"/>
        </w:rPr>
        <w:t>3</w:t>
      </w:r>
      <w:r>
        <w:rPr>
          <w:rFonts w:hint="eastAsia"/>
        </w:rPr>
        <w:t>/a，</w:t>
      </w:r>
      <w:r>
        <w:t>收集的初期雨水进入厂区初期雨水收集池</w:t>
      </w:r>
      <w:r>
        <w:rPr>
          <w:rFonts w:hint="eastAsia"/>
        </w:rPr>
        <w:t>，</w:t>
      </w:r>
      <w:r>
        <w:t>初期雨水收集池容积为</w:t>
      </w:r>
      <w:r>
        <w:rPr>
          <w:rFonts w:hint="eastAsia"/>
        </w:rPr>
        <w:t>110</w:t>
      </w:r>
      <w:r>
        <w:t>m</w:t>
      </w:r>
      <w:r>
        <w:rPr>
          <w:vertAlign w:val="superscript"/>
        </w:rPr>
        <w:t>3</w:t>
      </w:r>
      <w:r>
        <w:t>，</w:t>
      </w:r>
      <w:r>
        <w:rPr>
          <w:rFonts w:hint="eastAsia"/>
        </w:rPr>
        <w:t>经过沉淀</w:t>
      </w:r>
      <w:r>
        <w:t>处理</w:t>
      </w:r>
      <w:r>
        <w:rPr>
          <w:rFonts w:hint="eastAsia"/>
        </w:rPr>
        <w:t>后用于厂区绿化及道路清扫，剩余部分用于冷却循环系统补充水</w:t>
      </w:r>
      <w:r>
        <w:t>。</w:t>
      </w:r>
    </w:p>
    <w:p>
      <w:pPr>
        <w:pStyle w:val="7"/>
        <w:ind w:firstLine="480"/>
      </w:pPr>
      <w:r>
        <w:rPr>
          <w:rFonts w:hint="eastAsia"/>
        </w:rPr>
        <w:t>初期雨水污染的主要原因为项目废气中的污染物沉降到地面上、厂区路面灰尘、油污等，初期雨水污染物浓度受空气质量、前期降雨情况、下垫面类型和清洁程度等因素影响，变化范围大，存在着不确定性，本次评价参考“山东创新金属科技有限公司年产80万吨高强高韧铝合金材料项目”中初期雨水水质（山东安和安全技术研究所有限公司于2019年4月27日进行的监测），确定项目初期雨水水质为：C</w:t>
      </w:r>
      <w:r>
        <w:t>OD</w:t>
      </w:r>
      <w:r>
        <w:rPr>
          <w:rFonts w:hint="eastAsia"/>
        </w:rPr>
        <w:t>：10mg/</w:t>
      </w:r>
      <w:r>
        <w:t>L</w:t>
      </w:r>
      <w:r>
        <w:rPr>
          <w:rFonts w:hint="eastAsia"/>
        </w:rPr>
        <w:t>、B</w:t>
      </w:r>
      <w:r>
        <w:t>OD</w:t>
      </w:r>
      <w:r>
        <w:rPr>
          <w:rFonts w:hint="eastAsia"/>
          <w:vertAlign w:val="subscript"/>
        </w:rPr>
        <w:t>5</w:t>
      </w:r>
      <w:r>
        <w:rPr>
          <w:rFonts w:hint="eastAsia"/>
        </w:rPr>
        <w:t>：2.5mg/</w:t>
      </w:r>
      <w:r>
        <w:t>L</w:t>
      </w:r>
      <w:r>
        <w:rPr>
          <w:rFonts w:hint="eastAsia"/>
        </w:rPr>
        <w:t>，S</w:t>
      </w:r>
      <w:r>
        <w:t>S</w:t>
      </w:r>
      <w:r>
        <w:rPr>
          <w:rFonts w:hint="eastAsia"/>
        </w:rPr>
        <w:t>：7mg/</w:t>
      </w:r>
      <w:r>
        <w:t>L</w:t>
      </w:r>
      <w:r>
        <w:rPr>
          <w:rFonts w:hint="eastAsia"/>
        </w:rPr>
        <w:t>，氨氮：0.568mg/</w:t>
      </w:r>
      <w:r>
        <w:t>L</w:t>
      </w:r>
      <w:r>
        <w:rPr>
          <w:rFonts w:hint="eastAsia"/>
        </w:rPr>
        <w:t>，水质能够满足</w:t>
      </w:r>
      <w:r>
        <w:rPr>
          <w:kern w:val="0"/>
        </w:rPr>
        <w:t xml:space="preserve">《城市污水再生利用 城市杂用水水质标准》(GB/TI8920-2002) </w:t>
      </w:r>
      <w:r>
        <w:rPr>
          <w:rFonts w:hint="eastAsia"/>
          <w:kern w:val="0"/>
        </w:rPr>
        <w:t>中城市绿化及道路清扫以及《城市污水再生利用工业用水水质》（GB/T19923-2005）的相应标准，可直接用于</w:t>
      </w:r>
      <w:r>
        <w:rPr>
          <w:rFonts w:hint="eastAsia"/>
          <w:bCs/>
        </w:rPr>
        <w:t>厂区绿化及道路清扫，剩余部分用于冷却循环补充水。</w:t>
      </w:r>
    </w:p>
    <w:p>
      <w:pPr>
        <w:pStyle w:val="2"/>
        <w:spacing w:line="360" w:lineRule="auto"/>
        <w:ind w:left="0" w:leftChars="0" w:firstLine="480"/>
      </w:pPr>
      <w:r>
        <w:t>收集的初期雨水进入</w:t>
      </w:r>
      <w:r>
        <w:rPr>
          <w:rFonts w:hint="eastAsia"/>
        </w:rPr>
        <w:t>二期工程</w:t>
      </w:r>
      <w:r>
        <w:t>初期雨水收集池，经</w:t>
      </w:r>
      <w:r>
        <w:rPr>
          <w:rFonts w:hint="eastAsia"/>
        </w:rPr>
        <w:t>沉淀</w:t>
      </w:r>
      <w:r>
        <w:t>处理</w:t>
      </w:r>
      <w:r>
        <w:rPr>
          <w:rFonts w:hint="eastAsia"/>
        </w:rPr>
        <w:t>后</w:t>
      </w:r>
      <w:r>
        <w:t>，</w:t>
      </w:r>
      <w:r>
        <w:rPr>
          <w:rFonts w:hint="eastAsia"/>
          <w:bCs/>
        </w:rPr>
        <w:t>用作晴天厂区绿化及道路清扫剩余部分用于冷却循环补充水，不外排</w:t>
      </w:r>
      <w:r>
        <w:t>。</w:t>
      </w:r>
    </w:p>
    <w:p>
      <w:pPr>
        <w:pStyle w:val="7"/>
        <w:ind w:firstLine="482"/>
        <w:rPr>
          <w:b/>
          <w:bCs/>
        </w:rPr>
      </w:pPr>
      <w:r>
        <w:rPr>
          <w:rFonts w:hint="eastAsia"/>
          <w:b/>
          <w:bCs/>
        </w:rPr>
        <w:t>2、二期工程</w:t>
      </w:r>
      <w:r>
        <w:rPr>
          <w:b/>
          <w:bCs/>
        </w:rPr>
        <w:t>废水产排情况</w:t>
      </w:r>
    </w:p>
    <w:p>
      <w:pPr>
        <w:pStyle w:val="7"/>
        <w:ind w:firstLine="480"/>
      </w:pPr>
      <w:r>
        <w:t>项目产生的</w:t>
      </w:r>
      <w:r>
        <w:rPr>
          <w:rFonts w:hint="eastAsia"/>
        </w:rPr>
        <w:t>初期雨水</w:t>
      </w:r>
      <w:r>
        <w:t>进入厂内</w:t>
      </w:r>
      <w:r>
        <w:rPr>
          <w:rFonts w:hint="eastAsia"/>
        </w:rPr>
        <w:t>二期工程初期雨水收集池</w:t>
      </w:r>
      <w:r>
        <w:t>，</w:t>
      </w:r>
      <w:r>
        <w:rPr>
          <w:rFonts w:hint="eastAsia"/>
        </w:rPr>
        <w:t>沉淀</w:t>
      </w:r>
      <w:r>
        <w:t>处理达</w:t>
      </w:r>
      <w:r>
        <w:rPr>
          <w:rFonts w:hint="eastAsia"/>
        </w:rPr>
        <w:t>到</w:t>
      </w:r>
      <w:r>
        <w:t xml:space="preserve">《城市污水再生利用 城市杂用水水质标准》(GB/TI8920-2002) </w:t>
      </w:r>
      <w:r>
        <w:rPr>
          <w:rFonts w:hint="eastAsia"/>
        </w:rPr>
        <w:t>中城市绿化及道路清扫以及《城市污水再生利用工业用水水质》（GB/T19923-2005）的相应标准后回用于晴天厂区绿化及道路清扫，剩余部分用于冷却循环补充水，不外排</w:t>
      </w:r>
      <w:r>
        <w:t>。</w:t>
      </w:r>
      <w:r>
        <w:rPr>
          <w:rFonts w:hint="eastAsia"/>
        </w:rPr>
        <w:t>生活污水经过化粪池、隔油池预处理后同冷却循环系统定期排水一起通过市政污水管网进入砚山县第一污水处理厂进行处理。项目废水具体产排情况见表4.4-10。</w:t>
      </w:r>
    </w:p>
    <w:p>
      <w:pPr>
        <w:pStyle w:val="7"/>
        <w:ind w:firstLine="480"/>
        <w:sectPr>
          <w:pgSz w:w="11906" w:h="16838"/>
          <w:pgMar w:top="1440" w:right="1800" w:bottom="1440" w:left="1800" w:header="851" w:footer="992" w:gutter="0"/>
          <w:cols w:space="425" w:num="1"/>
          <w:docGrid w:type="lines" w:linePitch="312" w:charSpace="0"/>
        </w:sectPr>
      </w:pPr>
    </w:p>
    <w:p>
      <w:pPr>
        <w:pStyle w:val="31"/>
      </w:pPr>
      <w:r>
        <w:rPr>
          <w:rFonts w:hint="eastAsia"/>
        </w:rPr>
        <w:t>表4.4-10  二期工程废水产生情况一览表</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1397"/>
        <w:gridCol w:w="1576"/>
        <w:gridCol w:w="1295"/>
        <w:gridCol w:w="1262"/>
        <w:gridCol w:w="1072"/>
        <w:gridCol w:w="1298"/>
        <w:gridCol w:w="1635"/>
        <w:gridCol w:w="1672"/>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编号</w:t>
            </w:r>
          </w:p>
        </w:tc>
        <w:tc>
          <w:tcPr>
            <w:tcW w:w="493" w:type="pct"/>
            <w:vMerge w:val="restart"/>
            <w:vAlign w:val="center"/>
          </w:tcPr>
          <w:p>
            <w:pPr>
              <w:pStyle w:val="32"/>
            </w:pPr>
            <w:r>
              <w:rPr>
                <w:rFonts w:hint="eastAsia"/>
              </w:rPr>
              <w:t>污染源名称</w:t>
            </w:r>
          </w:p>
        </w:tc>
        <w:tc>
          <w:tcPr>
            <w:tcW w:w="556" w:type="pct"/>
            <w:vMerge w:val="restart"/>
            <w:vAlign w:val="center"/>
          </w:tcPr>
          <w:p>
            <w:pPr>
              <w:pStyle w:val="32"/>
            </w:pPr>
            <w:r>
              <w:rPr>
                <w:rFonts w:hint="eastAsia"/>
              </w:rPr>
              <w:t>废水量</w:t>
            </w:r>
          </w:p>
        </w:tc>
        <w:tc>
          <w:tcPr>
            <w:tcW w:w="457" w:type="pct"/>
            <w:vMerge w:val="restart"/>
            <w:vAlign w:val="center"/>
          </w:tcPr>
          <w:p>
            <w:pPr>
              <w:pStyle w:val="32"/>
            </w:pPr>
            <w:r>
              <w:rPr>
                <w:rFonts w:hint="eastAsia"/>
              </w:rPr>
              <w:t>污染物名称</w:t>
            </w:r>
          </w:p>
        </w:tc>
        <w:tc>
          <w:tcPr>
            <w:tcW w:w="1281" w:type="pct"/>
            <w:gridSpan w:val="3"/>
            <w:vAlign w:val="center"/>
          </w:tcPr>
          <w:p>
            <w:pPr>
              <w:pStyle w:val="32"/>
            </w:pPr>
            <w:r>
              <w:rPr>
                <w:rFonts w:hint="eastAsia"/>
              </w:rPr>
              <w:t>产生情况</w:t>
            </w:r>
          </w:p>
        </w:tc>
        <w:tc>
          <w:tcPr>
            <w:tcW w:w="577" w:type="pct"/>
            <w:vMerge w:val="restart"/>
            <w:vAlign w:val="center"/>
          </w:tcPr>
          <w:p>
            <w:pPr>
              <w:pStyle w:val="32"/>
            </w:pPr>
            <w:r>
              <w:rPr>
                <w:rFonts w:hint="eastAsia"/>
              </w:rPr>
              <w:t>拟采取的</w:t>
            </w:r>
          </w:p>
          <w:p>
            <w:pPr>
              <w:pStyle w:val="32"/>
            </w:pPr>
            <w:r>
              <w:rPr>
                <w:rFonts w:hint="eastAsia"/>
              </w:rPr>
              <w:t>处理方式</w:t>
            </w:r>
          </w:p>
        </w:tc>
        <w:tc>
          <w:tcPr>
            <w:tcW w:w="590" w:type="pct"/>
            <w:vAlign w:val="center"/>
          </w:tcPr>
          <w:p>
            <w:pPr>
              <w:pStyle w:val="32"/>
            </w:pPr>
            <w:r>
              <w:rPr>
                <w:rFonts w:hint="eastAsia"/>
              </w:rPr>
              <w:t>处理后的情况</w:t>
            </w:r>
          </w:p>
        </w:tc>
        <w:tc>
          <w:tcPr>
            <w:tcW w:w="740" w:type="pct"/>
            <w:vMerge w:val="restart"/>
            <w:vAlign w:val="center"/>
          </w:tcPr>
          <w:p>
            <w:pPr>
              <w:pStyle w:val="32"/>
            </w:pPr>
            <w:r>
              <w:rPr>
                <w:rFonts w:hint="eastAsia"/>
              </w:rPr>
              <w:t>排放方式</w:t>
            </w:r>
          </w:p>
          <w:p>
            <w:pPr>
              <w:pStyle w:val="32"/>
            </w:pPr>
            <w:r>
              <w:rPr>
                <w:rFonts w:hint="eastAsia"/>
              </w:rPr>
              <w:t>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Merge w:val="continue"/>
            <w:vAlign w:val="center"/>
          </w:tcPr>
          <w:p>
            <w:pPr>
              <w:pStyle w:val="32"/>
            </w:pPr>
          </w:p>
        </w:tc>
        <w:tc>
          <w:tcPr>
            <w:tcW w:w="445" w:type="pct"/>
            <w:vAlign w:val="center"/>
          </w:tcPr>
          <w:p>
            <w:pPr>
              <w:pStyle w:val="32"/>
            </w:pPr>
            <w:r>
              <w:t>mg/</w:t>
            </w:r>
            <w:r>
              <w:rPr>
                <w:rFonts w:hint="eastAsia"/>
              </w:rPr>
              <w:t>L</w:t>
            </w:r>
          </w:p>
        </w:tc>
        <w:tc>
          <w:tcPr>
            <w:tcW w:w="378" w:type="pct"/>
            <w:vAlign w:val="center"/>
          </w:tcPr>
          <w:p>
            <w:pPr>
              <w:pStyle w:val="32"/>
            </w:pPr>
            <w:r>
              <w:t>kg/d</w:t>
            </w:r>
          </w:p>
        </w:tc>
        <w:tc>
          <w:tcPr>
            <w:tcW w:w="457" w:type="pct"/>
            <w:vAlign w:val="center"/>
          </w:tcPr>
          <w:p>
            <w:pPr>
              <w:pStyle w:val="32"/>
            </w:pPr>
            <w:r>
              <w:rPr>
                <w:rFonts w:hint="eastAsia"/>
              </w:rPr>
              <w:t>t/a</w:t>
            </w:r>
          </w:p>
        </w:tc>
        <w:tc>
          <w:tcPr>
            <w:tcW w:w="577" w:type="pct"/>
            <w:vMerge w:val="continue"/>
            <w:vAlign w:val="center"/>
          </w:tcPr>
          <w:p>
            <w:pPr>
              <w:pStyle w:val="32"/>
            </w:pPr>
          </w:p>
        </w:tc>
        <w:tc>
          <w:tcPr>
            <w:tcW w:w="590" w:type="pct"/>
            <w:vAlign w:val="center"/>
          </w:tcPr>
          <w:p>
            <w:pPr>
              <w:pStyle w:val="32"/>
            </w:pPr>
            <w:r>
              <w:t>mg/</w:t>
            </w:r>
            <w:r>
              <w:rPr>
                <w:rFonts w:hint="eastAsia"/>
              </w:rPr>
              <w:t>L</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W2-1</w:t>
            </w:r>
          </w:p>
        </w:tc>
        <w:tc>
          <w:tcPr>
            <w:tcW w:w="493" w:type="pct"/>
            <w:vMerge w:val="restart"/>
            <w:vAlign w:val="center"/>
          </w:tcPr>
          <w:p>
            <w:pPr>
              <w:pStyle w:val="32"/>
            </w:pPr>
            <w:r>
              <w:rPr>
                <w:rFonts w:hint="eastAsia"/>
              </w:rPr>
              <w:t>铸轧板生产线冷却循环系统定期排水</w:t>
            </w:r>
          </w:p>
        </w:tc>
        <w:tc>
          <w:tcPr>
            <w:tcW w:w="556" w:type="pct"/>
            <w:vMerge w:val="restart"/>
            <w:vAlign w:val="center"/>
          </w:tcPr>
          <w:p>
            <w:pPr>
              <w:pStyle w:val="32"/>
            </w:pPr>
            <w:r>
              <w:rPr>
                <w:rFonts w:hint="eastAsia"/>
              </w:rPr>
              <w:t>250</w:t>
            </w:r>
            <w:r>
              <w:t>m</w:t>
            </w:r>
            <w:r>
              <w:rPr>
                <w:vertAlign w:val="superscript"/>
              </w:rPr>
              <w:t>3</w:t>
            </w:r>
            <w:r>
              <w:t>/</w:t>
            </w:r>
            <w:r>
              <w:rPr>
                <w:rFonts w:hint="eastAsia"/>
              </w:rPr>
              <w:t>a</w:t>
            </w:r>
          </w:p>
        </w:tc>
        <w:tc>
          <w:tcPr>
            <w:tcW w:w="457" w:type="pct"/>
            <w:vAlign w:val="center"/>
          </w:tcPr>
          <w:p>
            <w:pPr>
              <w:pStyle w:val="32"/>
            </w:pPr>
            <w:r>
              <w:rPr>
                <w:rFonts w:hint="eastAsia"/>
              </w:rPr>
              <w:t>C</w:t>
            </w:r>
            <w:r>
              <w:t>OD</w:t>
            </w:r>
          </w:p>
        </w:tc>
        <w:tc>
          <w:tcPr>
            <w:tcW w:w="445" w:type="pct"/>
            <w:vAlign w:val="center"/>
          </w:tcPr>
          <w:p>
            <w:pPr>
              <w:pStyle w:val="32"/>
            </w:pPr>
            <w:r>
              <w:rPr>
                <w:rFonts w:hint="eastAsia"/>
              </w:rPr>
              <w:t>10</w:t>
            </w:r>
          </w:p>
        </w:tc>
        <w:tc>
          <w:tcPr>
            <w:tcW w:w="378" w:type="pct"/>
            <w:vAlign w:val="center"/>
          </w:tcPr>
          <w:p>
            <w:pPr>
              <w:pStyle w:val="32"/>
            </w:pPr>
            <w:r>
              <w:rPr>
                <w:rFonts w:hint="eastAsia"/>
              </w:rPr>
              <w:t>/</w:t>
            </w:r>
          </w:p>
        </w:tc>
        <w:tc>
          <w:tcPr>
            <w:tcW w:w="1296" w:type="dxa"/>
            <w:vAlign w:val="center"/>
          </w:tcPr>
          <w:p>
            <w:pPr>
              <w:pStyle w:val="32"/>
            </w:pPr>
            <w:r>
              <w:rPr>
                <w:rFonts w:hint="eastAsia"/>
              </w:rPr>
              <w:t>0.0025</w:t>
            </w:r>
          </w:p>
        </w:tc>
        <w:tc>
          <w:tcPr>
            <w:tcW w:w="577" w:type="pct"/>
            <w:vMerge w:val="restart"/>
            <w:vAlign w:val="center"/>
          </w:tcPr>
          <w:p>
            <w:pPr>
              <w:pStyle w:val="32"/>
            </w:pPr>
            <w:r>
              <w:rPr>
                <w:rFonts w:hint="eastAsia"/>
              </w:rPr>
              <w:t>循环水池沉淀处理</w:t>
            </w:r>
          </w:p>
        </w:tc>
        <w:tc>
          <w:tcPr>
            <w:tcW w:w="590" w:type="pct"/>
            <w:vAlign w:val="center"/>
          </w:tcPr>
          <w:p>
            <w:pPr>
              <w:pStyle w:val="32"/>
            </w:pPr>
            <w:r>
              <w:rPr>
                <w:rFonts w:hint="eastAsia"/>
              </w:rPr>
              <w:t>10</w:t>
            </w:r>
          </w:p>
        </w:tc>
        <w:tc>
          <w:tcPr>
            <w:tcW w:w="740" w:type="pct"/>
            <w:vMerge w:val="restart"/>
            <w:vAlign w:val="center"/>
          </w:tcPr>
          <w:p>
            <w:pPr>
              <w:pStyle w:val="32"/>
            </w:pPr>
            <w:r>
              <w:rPr>
                <w:rFonts w:hint="eastAsia"/>
              </w:rPr>
              <w:t>通过市政污水管网进入砚山县第一污水处理厂处理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氨氮</w:t>
            </w:r>
          </w:p>
        </w:tc>
        <w:tc>
          <w:tcPr>
            <w:tcW w:w="445" w:type="pct"/>
            <w:vAlign w:val="center"/>
          </w:tcPr>
          <w:p>
            <w:pPr>
              <w:pStyle w:val="32"/>
            </w:pPr>
            <w:r>
              <w:rPr>
                <w:rFonts w:hint="eastAsia"/>
              </w:rPr>
              <w:t>0.248</w:t>
            </w:r>
          </w:p>
        </w:tc>
        <w:tc>
          <w:tcPr>
            <w:tcW w:w="378" w:type="pct"/>
            <w:vAlign w:val="center"/>
          </w:tcPr>
          <w:p>
            <w:pPr>
              <w:pStyle w:val="32"/>
            </w:pPr>
            <w:r>
              <w:rPr>
                <w:rFonts w:hint="eastAsia"/>
              </w:rPr>
              <w:t>/</w:t>
            </w:r>
          </w:p>
        </w:tc>
        <w:tc>
          <w:tcPr>
            <w:tcW w:w="1296" w:type="dxa"/>
            <w:vAlign w:val="center"/>
          </w:tcPr>
          <w:p>
            <w:pPr>
              <w:pStyle w:val="32"/>
            </w:pPr>
            <w:r>
              <w:t>0.000</w:t>
            </w:r>
            <w:r>
              <w:rPr>
                <w:rFonts w:hint="eastAsia"/>
              </w:rPr>
              <w:t>06</w:t>
            </w:r>
          </w:p>
        </w:tc>
        <w:tc>
          <w:tcPr>
            <w:tcW w:w="577" w:type="pct"/>
            <w:vMerge w:val="continue"/>
            <w:vAlign w:val="center"/>
          </w:tcPr>
          <w:p>
            <w:pPr>
              <w:pStyle w:val="32"/>
            </w:pPr>
          </w:p>
        </w:tc>
        <w:tc>
          <w:tcPr>
            <w:tcW w:w="590" w:type="pct"/>
            <w:vAlign w:val="center"/>
          </w:tcPr>
          <w:p>
            <w:pPr>
              <w:pStyle w:val="32"/>
            </w:pPr>
            <w:r>
              <w:rPr>
                <w:rFonts w:hint="eastAsia"/>
              </w:rPr>
              <w:t>0.248</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氟化物</w:t>
            </w:r>
          </w:p>
        </w:tc>
        <w:tc>
          <w:tcPr>
            <w:tcW w:w="445" w:type="pct"/>
            <w:vAlign w:val="center"/>
          </w:tcPr>
          <w:p>
            <w:pPr>
              <w:pStyle w:val="32"/>
            </w:pPr>
            <w:r>
              <w:rPr>
                <w:rFonts w:hint="eastAsia"/>
              </w:rPr>
              <w:t>0.86</w:t>
            </w:r>
          </w:p>
        </w:tc>
        <w:tc>
          <w:tcPr>
            <w:tcW w:w="378" w:type="pct"/>
            <w:vAlign w:val="center"/>
          </w:tcPr>
          <w:p>
            <w:pPr>
              <w:pStyle w:val="32"/>
            </w:pPr>
            <w:r>
              <w:rPr>
                <w:rFonts w:hint="eastAsia"/>
              </w:rPr>
              <w:t>/</w:t>
            </w:r>
          </w:p>
        </w:tc>
        <w:tc>
          <w:tcPr>
            <w:tcW w:w="1296" w:type="dxa"/>
            <w:vAlign w:val="center"/>
          </w:tcPr>
          <w:p>
            <w:pPr>
              <w:pStyle w:val="32"/>
            </w:pPr>
            <w:r>
              <w:t>0.000</w:t>
            </w:r>
            <w:r>
              <w:rPr>
                <w:rFonts w:hint="eastAsia"/>
              </w:rPr>
              <w:t>22</w:t>
            </w:r>
            <w:r>
              <w:t xml:space="preserve"> </w:t>
            </w:r>
          </w:p>
        </w:tc>
        <w:tc>
          <w:tcPr>
            <w:tcW w:w="577" w:type="pct"/>
            <w:vMerge w:val="continue"/>
            <w:vAlign w:val="center"/>
          </w:tcPr>
          <w:p>
            <w:pPr>
              <w:pStyle w:val="32"/>
            </w:pPr>
          </w:p>
        </w:tc>
        <w:tc>
          <w:tcPr>
            <w:tcW w:w="590" w:type="pct"/>
            <w:vAlign w:val="center"/>
          </w:tcPr>
          <w:p>
            <w:pPr>
              <w:pStyle w:val="32"/>
            </w:pPr>
            <w:r>
              <w:rPr>
                <w:rFonts w:hint="eastAsia"/>
              </w:rPr>
              <w:t>0.86</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w:t>
            </w:r>
            <w:r>
              <w:rPr>
                <w:rFonts w:hint="eastAsia"/>
              </w:rPr>
              <w:t>5</w:t>
            </w:r>
          </w:p>
        </w:tc>
        <w:tc>
          <w:tcPr>
            <w:tcW w:w="445" w:type="pct"/>
            <w:vAlign w:val="center"/>
          </w:tcPr>
          <w:p>
            <w:pPr>
              <w:pStyle w:val="32"/>
            </w:pPr>
            <w:r>
              <w:rPr>
                <w:rFonts w:hint="eastAsia"/>
              </w:rPr>
              <w:t>1.7</w:t>
            </w:r>
          </w:p>
        </w:tc>
        <w:tc>
          <w:tcPr>
            <w:tcW w:w="378" w:type="pct"/>
            <w:vAlign w:val="center"/>
          </w:tcPr>
          <w:p>
            <w:pPr>
              <w:pStyle w:val="32"/>
            </w:pPr>
            <w:r>
              <w:rPr>
                <w:rFonts w:hint="eastAsia"/>
              </w:rPr>
              <w:t>/</w:t>
            </w:r>
          </w:p>
        </w:tc>
        <w:tc>
          <w:tcPr>
            <w:tcW w:w="1296" w:type="dxa"/>
            <w:vAlign w:val="center"/>
          </w:tcPr>
          <w:p>
            <w:pPr>
              <w:pStyle w:val="32"/>
            </w:pPr>
            <w:r>
              <w:t>0.000</w:t>
            </w:r>
            <w:r>
              <w:rPr>
                <w:rFonts w:hint="eastAsia"/>
              </w:rPr>
              <w:t>43</w:t>
            </w:r>
            <w:r>
              <w:t xml:space="preserve"> </w:t>
            </w:r>
          </w:p>
        </w:tc>
        <w:tc>
          <w:tcPr>
            <w:tcW w:w="577" w:type="pct"/>
            <w:vMerge w:val="continue"/>
            <w:vAlign w:val="center"/>
          </w:tcPr>
          <w:p>
            <w:pPr>
              <w:pStyle w:val="32"/>
            </w:pPr>
          </w:p>
        </w:tc>
        <w:tc>
          <w:tcPr>
            <w:tcW w:w="590" w:type="pct"/>
            <w:vAlign w:val="center"/>
          </w:tcPr>
          <w:p>
            <w:pPr>
              <w:pStyle w:val="32"/>
            </w:pPr>
            <w:r>
              <w:rPr>
                <w:rFonts w:hint="eastAsia"/>
              </w:rPr>
              <w:t>1.7</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S</w:t>
            </w:r>
            <w:r>
              <w:t>S</w:t>
            </w:r>
          </w:p>
        </w:tc>
        <w:tc>
          <w:tcPr>
            <w:tcW w:w="445" w:type="pct"/>
            <w:vAlign w:val="center"/>
          </w:tcPr>
          <w:p>
            <w:pPr>
              <w:pStyle w:val="32"/>
            </w:pPr>
            <w:r>
              <w:rPr>
                <w:rFonts w:hint="eastAsia"/>
              </w:rPr>
              <w:t>5</w:t>
            </w:r>
          </w:p>
        </w:tc>
        <w:tc>
          <w:tcPr>
            <w:tcW w:w="378" w:type="pct"/>
            <w:vAlign w:val="center"/>
          </w:tcPr>
          <w:p>
            <w:pPr>
              <w:pStyle w:val="32"/>
            </w:pPr>
            <w:r>
              <w:rPr>
                <w:rFonts w:hint="eastAsia"/>
              </w:rPr>
              <w:t>/</w:t>
            </w:r>
          </w:p>
        </w:tc>
        <w:tc>
          <w:tcPr>
            <w:tcW w:w="1296" w:type="dxa"/>
            <w:vAlign w:val="center"/>
          </w:tcPr>
          <w:p>
            <w:pPr>
              <w:pStyle w:val="32"/>
            </w:pPr>
            <w:r>
              <w:t>0.00</w:t>
            </w:r>
            <w:r>
              <w:rPr>
                <w:rFonts w:hint="eastAsia"/>
              </w:rPr>
              <w:t>13</w:t>
            </w:r>
          </w:p>
        </w:tc>
        <w:tc>
          <w:tcPr>
            <w:tcW w:w="577" w:type="pct"/>
            <w:vMerge w:val="continue"/>
            <w:vAlign w:val="center"/>
          </w:tcPr>
          <w:p>
            <w:pPr>
              <w:pStyle w:val="32"/>
            </w:pPr>
          </w:p>
        </w:tc>
        <w:tc>
          <w:tcPr>
            <w:tcW w:w="590" w:type="pct"/>
            <w:vAlign w:val="center"/>
          </w:tcPr>
          <w:p>
            <w:pPr>
              <w:pStyle w:val="32"/>
            </w:pPr>
            <w:r>
              <w:rPr>
                <w:rFonts w:hint="eastAsia"/>
              </w:rPr>
              <w:t>2</w:t>
            </w:r>
          </w:p>
        </w:tc>
        <w:tc>
          <w:tcPr>
            <w:tcW w:w="740" w:type="pct"/>
            <w:vMerge w:val="continue"/>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W2-2</w:t>
            </w:r>
          </w:p>
        </w:tc>
        <w:tc>
          <w:tcPr>
            <w:tcW w:w="493" w:type="pct"/>
            <w:vMerge w:val="restart"/>
            <w:vAlign w:val="center"/>
          </w:tcPr>
          <w:p>
            <w:pPr>
              <w:pStyle w:val="32"/>
            </w:pPr>
            <w:r>
              <w:rPr>
                <w:rFonts w:hint="eastAsia"/>
              </w:rPr>
              <w:t>生活污水</w:t>
            </w:r>
          </w:p>
        </w:tc>
        <w:tc>
          <w:tcPr>
            <w:tcW w:w="556" w:type="pct"/>
            <w:vMerge w:val="restart"/>
            <w:vAlign w:val="center"/>
          </w:tcPr>
          <w:p>
            <w:pPr>
              <w:pStyle w:val="32"/>
            </w:pPr>
            <w:r>
              <w:rPr>
                <w:rFonts w:hint="eastAsia"/>
              </w:rPr>
              <w:t>1584</w:t>
            </w:r>
            <w:r>
              <w:t>m</w:t>
            </w:r>
            <w:r>
              <w:rPr>
                <w:vertAlign w:val="superscript"/>
              </w:rPr>
              <w:t>3</w:t>
            </w:r>
            <w:r>
              <w:t>/</w:t>
            </w:r>
            <w:r>
              <w:rPr>
                <w:rFonts w:hint="eastAsia"/>
              </w:rPr>
              <w:t>a</w:t>
            </w:r>
          </w:p>
        </w:tc>
        <w:tc>
          <w:tcPr>
            <w:tcW w:w="457" w:type="pct"/>
            <w:vAlign w:val="center"/>
          </w:tcPr>
          <w:p>
            <w:pPr>
              <w:pStyle w:val="32"/>
            </w:pPr>
            <w:r>
              <w:rPr>
                <w:rFonts w:hint="eastAsia"/>
              </w:rPr>
              <w:t>pH</w:t>
            </w:r>
          </w:p>
        </w:tc>
        <w:tc>
          <w:tcPr>
            <w:tcW w:w="445" w:type="pct"/>
            <w:vAlign w:val="center"/>
          </w:tcPr>
          <w:p>
            <w:pPr>
              <w:pStyle w:val="32"/>
            </w:pPr>
            <w:r>
              <w:rPr>
                <w:rFonts w:hint="eastAsia"/>
              </w:rPr>
              <w:t>6～9</w:t>
            </w:r>
          </w:p>
        </w:tc>
        <w:tc>
          <w:tcPr>
            <w:tcW w:w="378" w:type="pct"/>
          </w:tcPr>
          <w:p>
            <w:pPr>
              <w:pStyle w:val="32"/>
            </w:pPr>
            <w:r>
              <w:rPr>
                <w:rFonts w:hint="eastAsia"/>
              </w:rPr>
              <w:t>/</w:t>
            </w:r>
          </w:p>
        </w:tc>
        <w:tc>
          <w:tcPr>
            <w:tcW w:w="457" w:type="pct"/>
          </w:tcPr>
          <w:p>
            <w:pPr>
              <w:pStyle w:val="32"/>
            </w:pPr>
            <w:r>
              <w:rPr>
                <w:rFonts w:hint="eastAsia"/>
              </w:rPr>
              <w:t>/</w:t>
            </w:r>
          </w:p>
        </w:tc>
        <w:tc>
          <w:tcPr>
            <w:tcW w:w="577" w:type="pct"/>
            <w:vMerge w:val="restart"/>
            <w:shd w:val="clear" w:color="auto" w:fill="auto"/>
            <w:vAlign w:val="center"/>
          </w:tcPr>
          <w:p>
            <w:pPr>
              <w:pStyle w:val="32"/>
            </w:pPr>
            <w:r>
              <w:rPr>
                <w:rFonts w:hint="eastAsia"/>
              </w:rPr>
              <w:t>生活污水经过化粪池、隔油池预处理</w:t>
            </w:r>
          </w:p>
        </w:tc>
        <w:tc>
          <w:tcPr>
            <w:tcW w:w="590" w:type="pct"/>
            <w:shd w:val="clear" w:color="auto" w:fill="auto"/>
            <w:vAlign w:val="center"/>
          </w:tcPr>
          <w:p>
            <w:pPr>
              <w:pStyle w:val="32"/>
            </w:pPr>
            <w:r>
              <w:rPr>
                <w:rFonts w:hint="eastAsia"/>
              </w:rPr>
              <w:t>6~9</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w:t>
            </w:r>
            <w:r>
              <w:rPr>
                <w:rFonts w:hint="eastAsia"/>
              </w:rPr>
              <w:t>5</w:t>
            </w:r>
          </w:p>
        </w:tc>
        <w:tc>
          <w:tcPr>
            <w:tcW w:w="445" w:type="pct"/>
            <w:vAlign w:val="center"/>
          </w:tcPr>
          <w:p>
            <w:pPr>
              <w:pStyle w:val="32"/>
            </w:pPr>
            <w:r>
              <w:rPr>
                <w:rFonts w:hint="eastAsia"/>
              </w:rPr>
              <w:t>200</w:t>
            </w:r>
          </w:p>
        </w:tc>
        <w:tc>
          <w:tcPr>
            <w:tcW w:w="1073" w:type="dxa"/>
            <w:vAlign w:val="center"/>
          </w:tcPr>
          <w:p>
            <w:pPr>
              <w:widowControl/>
              <w:jc w:val="center"/>
              <w:textAlignment w:val="center"/>
            </w:pPr>
            <w:r>
              <w:rPr>
                <w:kern w:val="0"/>
                <w:sz w:val="21"/>
                <w:szCs w:val="21"/>
                <w:lang w:bidi="ar"/>
              </w:rPr>
              <w:t>0.96</w:t>
            </w:r>
          </w:p>
        </w:tc>
        <w:tc>
          <w:tcPr>
            <w:tcW w:w="1296" w:type="dxa"/>
          </w:tcPr>
          <w:p>
            <w:pPr>
              <w:pStyle w:val="32"/>
            </w:pPr>
            <w:r>
              <w:t>0.3</w:t>
            </w:r>
            <w:r>
              <w:rPr>
                <w:rFonts w:hint="eastAsia"/>
              </w:rPr>
              <w:t>2</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150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S</w:t>
            </w:r>
            <w:r>
              <w:t>S</w:t>
            </w:r>
          </w:p>
        </w:tc>
        <w:tc>
          <w:tcPr>
            <w:tcW w:w="445" w:type="pct"/>
            <w:vAlign w:val="center"/>
          </w:tcPr>
          <w:p>
            <w:pPr>
              <w:pStyle w:val="32"/>
            </w:pPr>
            <w:r>
              <w:rPr>
                <w:rFonts w:hint="eastAsia"/>
              </w:rPr>
              <w:t>300</w:t>
            </w:r>
          </w:p>
        </w:tc>
        <w:tc>
          <w:tcPr>
            <w:tcW w:w="1073" w:type="dxa"/>
            <w:vAlign w:val="center"/>
          </w:tcPr>
          <w:p>
            <w:pPr>
              <w:widowControl/>
              <w:jc w:val="center"/>
              <w:textAlignment w:val="center"/>
            </w:pPr>
            <w:r>
              <w:rPr>
                <w:kern w:val="0"/>
                <w:sz w:val="21"/>
                <w:szCs w:val="21"/>
                <w:lang w:bidi="ar"/>
              </w:rPr>
              <w:t>1.44</w:t>
            </w:r>
          </w:p>
        </w:tc>
        <w:tc>
          <w:tcPr>
            <w:tcW w:w="1296" w:type="dxa"/>
          </w:tcPr>
          <w:p>
            <w:pPr>
              <w:pStyle w:val="32"/>
            </w:pPr>
            <w:r>
              <w:t>0.4</w:t>
            </w:r>
            <w:r>
              <w:rPr>
                <w:rFonts w:hint="eastAsia"/>
              </w:rPr>
              <w:t>8</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90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COD</w:t>
            </w:r>
          </w:p>
        </w:tc>
        <w:tc>
          <w:tcPr>
            <w:tcW w:w="445" w:type="pct"/>
            <w:vAlign w:val="center"/>
          </w:tcPr>
          <w:p>
            <w:pPr>
              <w:pStyle w:val="32"/>
            </w:pPr>
            <w:r>
              <w:rPr>
                <w:rFonts w:hint="eastAsia"/>
              </w:rPr>
              <w:t>350</w:t>
            </w:r>
          </w:p>
        </w:tc>
        <w:tc>
          <w:tcPr>
            <w:tcW w:w="1073" w:type="dxa"/>
            <w:vAlign w:val="center"/>
          </w:tcPr>
          <w:p>
            <w:pPr>
              <w:widowControl/>
              <w:jc w:val="center"/>
              <w:textAlignment w:val="center"/>
            </w:pPr>
            <w:r>
              <w:rPr>
                <w:kern w:val="0"/>
                <w:sz w:val="21"/>
                <w:szCs w:val="21"/>
                <w:lang w:bidi="ar"/>
              </w:rPr>
              <w:t>1.68</w:t>
            </w:r>
          </w:p>
        </w:tc>
        <w:tc>
          <w:tcPr>
            <w:tcW w:w="1296" w:type="dxa"/>
          </w:tcPr>
          <w:p>
            <w:pPr>
              <w:pStyle w:val="32"/>
            </w:pPr>
            <w:r>
              <w:t>0.55</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300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NH</w:t>
            </w:r>
            <w:r>
              <w:rPr>
                <w:rFonts w:hint="eastAsia"/>
                <w:vertAlign w:val="subscript"/>
              </w:rPr>
              <w:t>3</w:t>
            </w:r>
            <w:r>
              <w:rPr>
                <w:rFonts w:hint="eastAsia"/>
              </w:rPr>
              <w:t>-N</w:t>
            </w:r>
          </w:p>
        </w:tc>
        <w:tc>
          <w:tcPr>
            <w:tcW w:w="445" w:type="pct"/>
            <w:vAlign w:val="center"/>
          </w:tcPr>
          <w:p>
            <w:pPr>
              <w:pStyle w:val="32"/>
            </w:pPr>
            <w:r>
              <w:rPr>
                <w:rFonts w:hint="eastAsia"/>
              </w:rPr>
              <w:t>20</w:t>
            </w:r>
          </w:p>
        </w:tc>
        <w:tc>
          <w:tcPr>
            <w:tcW w:w="1073" w:type="dxa"/>
            <w:vAlign w:val="center"/>
          </w:tcPr>
          <w:p>
            <w:pPr>
              <w:widowControl/>
              <w:jc w:val="center"/>
              <w:textAlignment w:val="center"/>
            </w:pPr>
            <w:r>
              <w:rPr>
                <w:kern w:val="0"/>
                <w:sz w:val="21"/>
                <w:szCs w:val="21"/>
                <w:lang w:bidi="ar"/>
              </w:rPr>
              <w:t>0.096</w:t>
            </w:r>
          </w:p>
        </w:tc>
        <w:tc>
          <w:tcPr>
            <w:tcW w:w="1296" w:type="dxa"/>
          </w:tcPr>
          <w:p>
            <w:pPr>
              <w:pStyle w:val="32"/>
            </w:pPr>
            <w:r>
              <w:t>0.03</w:t>
            </w:r>
            <w:r>
              <w:rPr>
                <w:rFonts w:hint="eastAsia"/>
              </w:rPr>
              <w:t>2</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15</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动植物油</w:t>
            </w:r>
          </w:p>
        </w:tc>
        <w:tc>
          <w:tcPr>
            <w:tcW w:w="445" w:type="pct"/>
            <w:vAlign w:val="center"/>
          </w:tcPr>
          <w:p>
            <w:pPr>
              <w:pStyle w:val="32"/>
            </w:pPr>
            <w:r>
              <w:rPr>
                <w:rFonts w:hint="eastAsia"/>
              </w:rPr>
              <w:t>70</w:t>
            </w:r>
          </w:p>
        </w:tc>
        <w:tc>
          <w:tcPr>
            <w:tcW w:w="1073" w:type="dxa"/>
            <w:vAlign w:val="center"/>
          </w:tcPr>
          <w:p>
            <w:pPr>
              <w:widowControl/>
              <w:jc w:val="center"/>
              <w:textAlignment w:val="center"/>
            </w:pPr>
            <w:r>
              <w:rPr>
                <w:kern w:val="0"/>
                <w:sz w:val="21"/>
                <w:szCs w:val="21"/>
                <w:lang w:bidi="ar"/>
              </w:rPr>
              <w:t>0.3</w:t>
            </w:r>
            <w:r>
              <w:rPr>
                <w:rFonts w:hint="eastAsia"/>
                <w:kern w:val="0"/>
                <w:sz w:val="21"/>
                <w:szCs w:val="21"/>
                <w:lang w:bidi="ar"/>
              </w:rPr>
              <w:t>4</w:t>
            </w:r>
            <w:r>
              <w:rPr>
                <w:kern w:val="0"/>
                <w:sz w:val="21"/>
                <w:szCs w:val="21"/>
                <w:lang w:bidi="ar"/>
              </w:rPr>
              <w:t xml:space="preserve"> </w:t>
            </w:r>
          </w:p>
        </w:tc>
        <w:tc>
          <w:tcPr>
            <w:tcW w:w="1296" w:type="dxa"/>
          </w:tcPr>
          <w:p>
            <w:pPr>
              <w:pStyle w:val="32"/>
            </w:pPr>
            <w:r>
              <w:t>0.11</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rPr>
                <w:rFonts w:hint="eastAsia"/>
              </w:rPr>
              <w:t>8</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restart"/>
            <w:vAlign w:val="center"/>
          </w:tcPr>
          <w:p>
            <w:pPr>
              <w:pStyle w:val="32"/>
            </w:pPr>
            <w:r>
              <w:rPr>
                <w:rFonts w:hint="eastAsia"/>
              </w:rPr>
              <w:t>W2-3</w:t>
            </w:r>
          </w:p>
        </w:tc>
        <w:tc>
          <w:tcPr>
            <w:tcW w:w="493" w:type="pct"/>
            <w:vMerge w:val="restart"/>
            <w:vAlign w:val="center"/>
          </w:tcPr>
          <w:p>
            <w:pPr>
              <w:pStyle w:val="32"/>
            </w:pPr>
            <w:r>
              <w:rPr>
                <w:rFonts w:hint="eastAsia"/>
              </w:rPr>
              <w:t>初期雨水</w:t>
            </w:r>
          </w:p>
        </w:tc>
        <w:tc>
          <w:tcPr>
            <w:tcW w:w="556" w:type="pct"/>
            <w:vMerge w:val="restart"/>
            <w:vAlign w:val="center"/>
          </w:tcPr>
          <w:p>
            <w:pPr>
              <w:pStyle w:val="32"/>
            </w:pPr>
            <w:r>
              <w:rPr>
                <w:rFonts w:hint="eastAsia"/>
              </w:rPr>
              <w:t>88.65</w:t>
            </w:r>
            <w:r>
              <w:t>m</w:t>
            </w:r>
            <w:r>
              <w:rPr>
                <w:vertAlign w:val="superscript"/>
              </w:rPr>
              <w:t>3</w:t>
            </w:r>
            <w:r>
              <w:t>/</w:t>
            </w:r>
            <w:r>
              <w:rPr>
                <w:rFonts w:hint="eastAsia"/>
              </w:rPr>
              <w:t>次（4432.5</w:t>
            </w:r>
            <w:r>
              <w:t>m</w:t>
            </w:r>
            <w:r>
              <w:rPr>
                <w:vertAlign w:val="superscript"/>
              </w:rPr>
              <w:t>3</w:t>
            </w:r>
            <w:r>
              <w:t>/</w:t>
            </w:r>
            <w:r>
              <w:rPr>
                <w:rFonts w:hint="eastAsia"/>
              </w:rPr>
              <w:t>a）</w:t>
            </w:r>
          </w:p>
        </w:tc>
        <w:tc>
          <w:tcPr>
            <w:tcW w:w="457" w:type="pct"/>
            <w:vAlign w:val="center"/>
          </w:tcPr>
          <w:p>
            <w:pPr>
              <w:pStyle w:val="32"/>
            </w:pPr>
            <w:r>
              <w:rPr>
                <w:rFonts w:hint="eastAsia"/>
              </w:rPr>
              <w:t>氨氮</w:t>
            </w:r>
          </w:p>
        </w:tc>
        <w:tc>
          <w:tcPr>
            <w:tcW w:w="445" w:type="pct"/>
            <w:vAlign w:val="center"/>
          </w:tcPr>
          <w:p>
            <w:pPr>
              <w:pStyle w:val="32"/>
            </w:pPr>
            <w:r>
              <w:t>0.568</w:t>
            </w:r>
          </w:p>
        </w:tc>
        <w:tc>
          <w:tcPr>
            <w:tcW w:w="378" w:type="pct"/>
          </w:tcPr>
          <w:p>
            <w:pPr>
              <w:pStyle w:val="32"/>
            </w:pPr>
            <w:r>
              <w:rPr>
                <w:rFonts w:hint="eastAsia"/>
              </w:rPr>
              <w:t>/</w:t>
            </w:r>
          </w:p>
        </w:tc>
        <w:tc>
          <w:tcPr>
            <w:tcW w:w="457" w:type="pct"/>
            <w:vAlign w:val="center"/>
          </w:tcPr>
          <w:p>
            <w:pPr>
              <w:pStyle w:val="32"/>
            </w:pPr>
            <w:r>
              <w:t>0.0</w:t>
            </w:r>
            <w:r>
              <w:rPr>
                <w:rFonts w:hint="eastAsia"/>
              </w:rPr>
              <w:t>25</w:t>
            </w:r>
          </w:p>
        </w:tc>
        <w:tc>
          <w:tcPr>
            <w:tcW w:w="577" w:type="pct"/>
            <w:vMerge w:val="restart"/>
            <w:shd w:val="clear" w:color="auto" w:fill="auto"/>
            <w:vAlign w:val="center"/>
          </w:tcPr>
          <w:p>
            <w:pPr>
              <w:pStyle w:val="32"/>
            </w:pPr>
            <w:r>
              <w:rPr>
                <w:rFonts w:hint="eastAsia"/>
              </w:rPr>
              <w:t>初期雨水收集池沉淀处理</w:t>
            </w:r>
          </w:p>
        </w:tc>
        <w:tc>
          <w:tcPr>
            <w:tcW w:w="590" w:type="pct"/>
            <w:shd w:val="clear" w:color="auto" w:fill="auto"/>
            <w:vAlign w:val="center"/>
          </w:tcPr>
          <w:p>
            <w:pPr>
              <w:pStyle w:val="32"/>
            </w:pPr>
            <w:r>
              <w:t>0.568</w:t>
            </w:r>
          </w:p>
        </w:tc>
        <w:tc>
          <w:tcPr>
            <w:tcW w:w="740" w:type="pct"/>
            <w:vMerge w:val="restart"/>
            <w:shd w:val="clear" w:color="auto" w:fill="auto"/>
            <w:vAlign w:val="center"/>
          </w:tcPr>
          <w:p>
            <w:pPr>
              <w:pStyle w:val="32"/>
            </w:pPr>
            <w:r>
              <w:rPr>
                <w:rFonts w:hint="eastAsia"/>
              </w:rPr>
              <w:t>回用于晴天厂区绿化和道路清扫，剩余部分用于冷却循环补充水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B</w:t>
            </w:r>
            <w:r>
              <w:t>OD5</w:t>
            </w:r>
          </w:p>
        </w:tc>
        <w:tc>
          <w:tcPr>
            <w:tcW w:w="445" w:type="pct"/>
            <w:vAlign w:val="center"/>
          </w:tcPr>
          <w:p>
            <w:pPr>
              <w:pStyle w:val="32"/>
            </w:pPr>
            <w:r>
              <w:rPr>
                <w:rFonts w:hint="eastAsia"/>
              </w:rPr>
              <w:t>2</w:t>
            </w:r>
            <w:r>
              <w:t>.5</w:t>
            </w:r>
          </w:p>
        </w:tc>
        <w:tc>
          <w:tcPr>
            <w:tcW w:w="378" w:type="pct"/>
          </w:tcPr>
          <w:p>
            <w:pPr>
              <w:pStyle w:val="32"/>
            </w:pPr>
            <w:r>
              <w:rPr>
                <w:rFonts w:hint="eastAsia"/>
              </w:rPr>
              <w:t>/</w:t>
            </w:r>
          </w:p>
        </w:tc>
        <w:tc>
          <w:tcPr>
            <w:tcW w:w="457" w:type="pct"/>
            <w:vAlign w:val="center"/>
          </w:tcPr>
          <w:p>
            <w:pPr>
              <w:pStyle w:val="32"/>
            </w:pPr>
            <w:r>
              <w:rPr>
                <w:rFonts w:hint="eastAsia"/>
              </w:rPr>
              <w:t>0.011</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t>2.5</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rPr>
                <w:rFonts w:hint="eastAsia"/>
              </w:rPr>
              <w:t>COD</w:t>
            </w:r>
          </w:p>
        </w:tc>
        <w:tc>
          <w:tcPr>
            <w:tcW w:w="445" w:type="pct"/>
            <w:vAlign w:val="center"/>
          </w:tcPr>
          <w:p>
            <w:pPr>
              <w:pStyle w:val="32"/>
            </w:pPr>
            <w:r>
              <w:t>10</w:t>
            </w:r>
          </w:p>
        </w:tc>
        <w:tc>
          <w:tcPr>
            <w:tcW w:w="378" w:type="pct"/>
            <w:vAlign w:val="center"/>
          </w:tcPr>
          <w:p>
            <w:pPr>
              <w:pStyle w:val="32"/>
            </w:pPr>
            <w:r>
              <w:rPr>
                <w:rFonts w:hint="eastAsia"/>
              </w:rPr>
              <w:t>/</w:t>
            </w:r>
          </w:p>
        </w:tc>
        <w:tc>
          <w:tcPr>
            <w:tcW w:w="457" w:type="pct"/>
            <w:vAlign w:val="center"/>
          </w:tcPr>
          <w:p>
            <w:pPr>
              <w:pStyle w:val="32"/>
            </w:pPr>
            <w:r>
              <w:rPr>
                <w:rFonts w:hint="eastAsia"/>
              </w:rPr>
              <w:t>0.044</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t>1</w:t>
            </w:r>
            <w:r>
              <w:rPr>
                <w:rFonts w:hint="eastAsia"/>
              </w:rPr>
              <w:t>0</w:t>
            </w:r>
          </w:p>
        </w:tc>
        <w:tc>
          <w:tcPr>
            <w:tcW w:w="740" w:type="pct"/>
            <w:vMerge w:val="continue"/>
            <w:shd w:val="clear" w:color="auto" w:fill="auto"/>
            <w:vAlign w:val="center"/>
          </w:tcPr>
          <w:p>
            <w:pPr>
              <w:pStyle w:val="3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 w:type="pct"/>
            <w:vMerge w:val="continue"/>
            <w:vAlign w:val="center"/>
          </w:tcPr>
          <w:p>
            <w:pPr>
              <w:pStyle w:val="32"/>
            </w:pPr>
          </w:p>
        </w:tc>
        <w:tc>
          <w:tcPr>
            <w:tcW w:w="493" w:type="pct"/>
            <w:vMerge w:val="continue"/>
            <w:vAlign w:val="center"/>
          </w:tcPr>
          <w:p>
            <w:pPr>
              <w:pStyle w:val="32"/>
            </w:pPr>
          </w:p>
        </w:tc>
        <w:tc>
          <w:tcPr>
            <w:tcW w:w="556" w:type="pct"/>
            <w:vMerge w:val="continue"/>
            <w:vAlign w:val="center"/>
          </w:tcPr>
          <w:p>
            <w:pPr>
              <w:pStyle w:val="32"/>
            </w:pPr>
          </w:p>
        </w:tc>
        <w:tc>
          <w:tcPr>
            <w:tcW w:w="457" w:type="pct"/>
            <w:vAlign w:val="center"/>
          </w:tcPr>
          <w:p>
            <w:pPr>
              <w:pStyle w:val="32"/>
            </w:pPr>
            <w:r>
              <w:t>SS</w:t>
            </w:r>
          </w:p>
        </w:tc>
        <w:tc>
          <w:tcPr>
            <w:tcW w:w="445" w:type="pct"/>
            <w:vAlign w:val="center"/>
          </w:tcPr>
          <w:p>
            <w:pPr>
              <w:pStyle w:val="32"/>
            </w:pPr>
            <w:r>
              <w:t>7</w:t>
            </w:r>
          </w:p>
        </w:tc>
        <w:tc>
          <w:tcPr>
            <w:tcW w:w="378" w:type="pct"/>
            <w:vAlign w:val="center"/>
          </w:tcPr>
          <w:p>
            <w:pPr>
              <w:pStyle w:val="32"/>
            </w:pPr>
            <w:r>
              <w:rPr>
                <w:rFonts w:hint="eastAsia"/>
              </w:rPr>
              <w:t>/</w:t>
            </w:r>
          </w:p>
        </w:tc>
        <w:tc>
          <w:tcPr>
            <w:tcW w:w="457" w:type="pct"/>
            <w:vAlign w:val="center"/>
          </w:tcPr>
          <w:p>
            <w:pPr>
              <w:pStyle w:val="32"/>
            </w:pPr>
            <w:r>
              <w:rPr>
                <w:rFonts w:hint="eastAsia"/>
              </w:rPr>
              <w:t>0.031</w:t>
            </w:r>
          </w:p>
        </w:tc>
        <w:tc>
          <w:tcPr>
            <w:tcW w:w="577" w:type="pct"/>
            <w:vMerge w:val="continue"/>
            <w:shd w:val="clear" w:color="auto" w:fill="auto"/>
            <w:vAlign w:val="center"/>
          </w:tcPr>
          <w:p>
            <w:pPr>
              <w:pStyle w:val="32"/>
            </w:pPr>
          </w:p>
        </w:tc>
        <w:tc>
          <w:tcPr>
            <w:tcW w:w="590" w:type="pct"/>
            <w:shd w:val="clear" w:color="auto" w:fill="auto"/>
            <w:vAlign w:val="center"/>
          </w:tcPr>
          <w:p>
            <w:pPr>
              <w:pStyle w:val="32"/>
            </w:pPr>
            <w:r>
              <w:t>2</w:t>
            </w:r>
          </w:p>
        </w:tc>
        <w:tc>
          <w:tcPr>
            <w:tcW w:w="740" w:type="pct"/>
            <w:vMerge w:val="continue"/>
            <w:shd w:val="clear" w:color="auto" w:fill="auto"/>
            <w:vAlign w:val="center"/>
          </w:tcPr>
          <w:p>
            <w:pPr>
              <w:pStyle w:val="32"/>
            </w:pPr>
          </w:p>
        </w:tc>
      </w:tr>
    </w:tbl>
    <w:p>
      <w:pPr>
        <w:pStyle w:val="2"/>
        <w:spacing w:line="360" w:lineRule="auto"/>
        <w:ind w:left="0" w:leftChars="0" w:firstLine="480"/>
        <w:sectPr>
          <w:pgSz w:w="16838" w:h="11906" w:orient="landscape"/>
          <w:pgMar w:top="1800" w:right="1440" w:bottom="1800" w:left="1440" w:header="851" w:footer="992" w:gutter="0"/>
          <w:cols w:space="425" w:num="1"/>
          <w:docGrid w:type="lines" w:linePitch="312" w:charSpace="0"/>
        </w:sectPr>
      </w:pPr>
    </w:p>
    <w:p>
      <w:pPr>
        <w:pStyle w:val="9"/>
      </w:pPr>
      <w:r>
        <w:rPr>
          <w:rFonts w:hint="eastAsia"/>
        </w:rPr>
        <w:t>4.4.2.3噪声</w:t>
      </w:r>
    </w:p>
    <w:p>
      <w:pPr>
        <w:pStyle w:val="7"/>
        <w:ind w:firstLine="480"/>
      </w:pPr>
      <w:r>
        <w:rPr>
          <w:rFonts w:hint="eastAsia"/>
        </w:rPr>
        <w:t>本项目主要噪声源包括车床、铝灰分离机、风机等，设备源强声压级为75～95dB(A)。本项目采取的降噪措施主要包括基础减震、隔声罩、厂房隔声等。本项目主要噪声源情况见表4.4-11。</w:t>
      </w:r>
    </w:p>
    <w:p>
      <w:pPr>
        <w:pStyle w:val="31"/>
      </w:pPr>
      <w:r>
        <w:rPr>
          <w:rFonts w:hint="eastAsia"/>
        </w:rPr>
        <w:t>表4.4-11  项目主要噪声污染源产排情况一览表 单位：（dB）</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1577"/>
        <w:gridCol w:w="1340"/>
        <w:gridCol w:w="1460"/>
        <w:gridCol w:w="1069"/>
        <w:gridCol w:w="2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序号</w:t>
            </w:r>
          </w:p>
        </w:tc>
        <w:tc>
          <w:tcPr>
            <w:tcW w:w="925" w:type="pct"/>
            <w:vAlign w:val="center"/>
          </w:tcPr>
          <w:p>
            <w:pPr>
              <w:pStyle w:val="32"/>
            </w:pPr>
            <w:r>
              <w:rPr>
                <w:rFonts w:hint="eastAsia"/>
              </w:rPr>
              <w:t>噪声源</w:t>
            </w:r>
          </w:p>
        </w:tc>
        <w:tc>
          <w:tcPr>
            <w:tcW w:w="786" w:type="pct"/>
            <w:vAlign w:val="center"/>
          </w:tcPr>
          <w:p>
            <w:pPr>
              <w:pStyle w:val="32"/>
            </w:pPr>
            <w:r>
              <w:rPr>
                <w:rFonts w:hint="eastAsia"/>
              </w:rPr>
              <w:t>声级dB（A）</w:t>
            </w:r>
          </w:p>
        </w:tc>
        <w:tc>
          <w:tcPr>
            <w:tcW w:w="856" w:type="pct"/>
            <w:vAlign w:val="center"/>
          </w:tcPr>
          <w:p>
            <w:pPr>
              <w:pStyle w:val="32"/>
            </w:pPr>
            <w:r>
              <w:rPr>
                <w:rFonts w:hint="eastAsia"/>
              </w:rPr>
              <w:t>设备台数</w:t>
            </w:r>
          </w:p>
        </w:tc>
        <w:tc>
          <w:tcPr>
            <w:tcW w:w="627" w:type="pct"/>
            <w:vAlign w:val="center"/>
          </w:tcPr>
          <w:p>
            <w:pPr>
              <w:pStyle w:val="32"/>
            </w:pPr>
            <w:r>
              <w:rPr>
                <w:rFonts w:hint="eastAsia"/>
              </w:rPr>
              <w:t>排放规律</w:t>
            </w:r>
          </w:p>
        </w:tc>
        <w:tc>
          <w:tcPr>
            <w:tcW w:w="1331" w:type="pct"/>
            <w:vAlign w:val="center"/>
          </w:tcPr>
          <w:p>
            <w:pPr>
              <w:pStyle w:val="32"/>
            </w:pPr>
            <w:r>
              <w:rPr>
                <w:rFonts w:hint="eastAsia"/>
              </w:rPr>
              <w:t>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1</w:t>
            </w:r>
          </w:p>
        </w:tc>
        <w:tc>
          <w:tcPr>
            <w:tcW w:w="925" w:type="pct"/>
            <w:vAlign w:val="center"/>
          </w:tcPr>
          <w:p>
            <w:pPr>
              <w:pStyle w:val="32"/>
            </w:pPr>
            <w:r>
              <w:rPr>
                <w:rFonts w:hint="eastAsia"/>
              </w:rPr>
              <w:t>磨床</w:t>
            </w:r>
          </w:p>
        </w:tc>
        <w:tc>
          <w:tcPr>
            <w:tcW w:w="786" w:type="pct"/>
            <w:vAlign w:val="center"/>
          </w:tcPr>
          <w:p>
            <w:pPr>
              <w:pStyle w:val="32"/>
            </w:pPr>
            <w:r>
              <w:rPr>
                <w:rFonts w:hint="eastAsia"/>
              </w:rPr>
              <w:t>95</w:t>
            </w:r>
          </w:p>
        </w:tc>
        <w:tc>
          <w:tcPr>
            <w:tcW w:w="856" w:type="pct"/>
            <w:vAlign w:val="center"/>
          </w:tcPr>
          <w:p>
            <w:pPr>
              <w:pStyle w:val="32"/>
            </w:pPr>
            <w:r>
              <w:rPr>
                <w:rFonts w:hint="eastAsia"/>
              </w:rPr>
              <w:t>1</w:t>
            </w:r>
          </w:p>
        </w:tc>
        <w:tc>
          <w:tcPr>
            <w:tcW w:w="627" w:type="pct"/>
            <w:vAlign w:val="center"/>
          </w:tcPr>
          <w:p>
            <w:pPr>
              <w:pStyle w:val="32"/>
            </w:pPr>
            <w:r>
              <w:rPr>
                <w:rFonts w:hint="eastAsia"/>
              </w:rPr>
              <w:t>间断</w:t>
            </w:r>
          </w:p>
        </w:tc>
        <w:tc>
          <w:tcPr>
            <w:tcW w:w="1331" w:type="pct"/>
            <w:vAlign w:val="center"/>
          </w:tcPr>
          <w:p>
            <w:pPr>
              <w:pStyle w:val="32"/>
            </w:pPr>
            <w:r>
              <w:rPr>
                <w:rFonts w:hint="eastAsia"/>
              </w:rPr>
              <w:t>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2</w:t>
            </w:r>
          </w:p>
        </w:tc>
        <w:tc>
          <w:tcPr>
            <w:tcW w:w="925" w:type="pct"/>
            <w:vAlign w:val="center"/>
          </w:tcPr>
          <w:p>
            <w:pPr>
              <w:pStyle w:val="32"/>
            </w:pPr>
            <w:r>
              <w:rPr>
                <w:rFonts w:hint="eastAsia"/>
              </w:rPr>
              <w:t>车床</w:t>
            </w:r>
          </w:p>
        </w:tc>
        <w:tc>
          <w:tcPr>
            <w:tcW w:w="786" w:type="pct"/>
            <w:vAlign w:val="center"/>
          </w:tcPr>
          <w:p>
            <w:pPr>
              <w:pStyle w:val="32"/>
            </w:pPr>
            <w:r>
              <w:rPr>
                <w:rFonts w:hint="eastAsia"/>
              </w:rPr>
              <w:t>95</w:t>
            </w:r>
          </w:p>
        </w:tc>
        <w:tc>
          <w:tcPr>
            <w:tcW w:w="856" w:type="pct"/>
            <w:vAlign w:val="center"/>
          </w:tcPr>
          <w:p>
            <w:pPr>
              <w:pStyle w:val="32"/>
            </w:pPr>
            <w:r>
              <w:rPr>
                <w:rFonts w:hint="eastAsia"/>
              </w:rPr>
              <w:t>1</w:t>
            </w:r>
          </w:p>
        </w:tc>
        <w:tc>
          <w:tcPr>
            <w:tcW w:w="627" w:type="pct"/>
            <w:vAlign w:val="center"/>
          </w:tcPr>
          <w:p>
            <w:pPr>
              <w:pStyle w:val="32"/>
            </w:pPr>
            <w:r>
              <w:rPr>
                <w:rFonts w:hint="eastAsia"/>
              </w:rPr>
              <w:t>间断</w:t>
            </w:r>
          </w:p>
        </w:tc>
        <w:tc>
          <w:tcPr>
            <w:tcW w:w="1331" w:type="pct"/>
            <w:vAlign w:val="center"/>
          </w:tcPr>
          <w:p>
            <w:pPr>
              <w:pStyle w:val="32"/>
            </w:pPr>
            <w:r>
              <w:rPr>
                <w:rFonts w:hint="eastAsia"/>
              </w:rPr>
              <w:t>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3</w:t>
            </w:r>
          </w:p>
        </w:tc>
        <w:tc>
          <w:tcPr>
            <w:tcW w:w="925" w:type="pct"/>
            <w:vAlign w:val="center"/>
          </w:tcPr>
          <w:p>
            <w:pPr>
              <w:pStyle w:val="32"/>
            </w:pPr>
            <w:r>
              <w:rPr>
                <w:rFonts w:hint="eastAsia"/>
              </w:rPr>
              <w:t>铝灰分离机</w:t>
            </w:r>
          </w:p>
        </w:tc>
        <w:tc>
          <w:tcPr>
            <w:tcW w:w="786" w:type="pct"/>
            <w:vAlign w:val="center"/>
          </w:tcPr>
          <w:p>
            <w:pPr>
              <w:pStyle w:val="32"/>
            </w:pPr>
            <w:r>
              <w:rPr>
                <w:rFonts w:hint="eastAsia"/>
              </w:rPr>
              <w:t>90</w:t>
            </w:r>
          </w:p>
        </w:tc>
        <w:tc>
          <w:tcPr>
            <w:tcW w:w="856" w:type="pct"/>
            <w:vAlign w:val="center"/>
          </w:tcPr>
          <w:p>
            <w:pPr>
              <w:pStyle w:val="32"/>
            </w:pPr>
            <w:r>
              <w:rPr>
                <w:rFonts w:hint="eastAsia"/>
              </w:rPr>
              <w:t>2</w:t>
            </w:r>
          </w:p>
        </w:tc>
        <w:tc>
          <w:tcPr>
            <w:tcW w:w="627" w:type="pct"/>
            <w:vAlign w:val="center"/>
          </w:tcPr>
          <w:p>
            <w:pPr>
              <w:pStyle w:val="32"/>
            </w:pPr>
            <w:r>
              <w:rPr>
                <w:rFonts w:hint="eastAsia"/>
              </w:rPr>
              <w:t>连续</w:t>
            </w:r>
          </w:p>
        </w:tc>
        <w:tc>
          <w:tcPr>
            <w:tcW w:w="1331" w:type="pct"/>
            <w:vAlign w:val="center"/>
          </w:tcPr>
          <w:p>
            <w:pPr>
              <w:pStyle w:val="32"/>
            </w:pPr>
            <w:r>
              <w:rPr>
                <w:rFonts w:hint="eastAsia"/>
              </w:rPr>
              <w:t>隔声、减震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4</w:t>
            </w:r>
          </w:p>
        </w:tc>
        <w:tc>
          <w:tcPr>
            <w:tcW w:w="925" w:type="pct"/>
            <w:vAlign w:val="center"/>
          </w:tcPr>
          <w:p>
            <w:pPr>
              <w:pStyle w:val="32"/>
            </w:pPr>
            <w:r>
              <w:rPr>
                <w:rFonts w:hint="eastAsia"/>
              </w:rPr>
              <w:t>冷却塔</w:t>
            </w:r>
          </w:p>
        </w:tc>
        <w:tc>
          <w:tcPr>
            <w:tcW w:w="786" w:type="pct"/>
            <w:vAlign w:val="center"/>
          </w:tcPr>
          <w:p>
            <w:pPr>
              <w:pStyle w:val="32"/>
            </w:pPr>
            <w:r>
              <w:rPr>
                <w:rFonts w:hint="eastAsia"/>
              </w:rPr>
              <w:t>75</w:t>
            </w:r>
          </w:p>
        </w:tc>
        <w:tc>
          <w:tcPr>
            <w:tcW w:w="856" w:type="pct"/>
            <w:vAlign w:val="center"/>
          </w:tcPr>
          <w:p>
            <w:pPr>
              <w:pStyle w:val="32"/>
            </w:pPr>
            <w:r>
              <w:rPr>
                <w:rFonts w:hint="eastAsia"/>
              </w:rPr>
              <w:t>1</w:t>
            </w:r>
          </w:p>
        </w:tc>
        <w:tc>
          <w:tcPr>
            <w:tcW w:w="627" w:type="pct"/>
            <w:vAlign w:val="center"/>
          </w:tcPr>
          <w:p>
            <w:pPr>
              <w:pStyle w:val="32"/>
            </w:pPr>
            <w:r>
              <w:rPr>
                <w:rFonts w:hint="eastAsia"/>
              </w:rPr>
              <w:t>连续</w:t>
            </w:r>
          </w:p>
        </w:tc>
        <w:tc>
          <w:tcPr>
            <w:tcW w:w="1331" w:type="pct"/>
            <w:vAlign w:val="center"/>
          </w:tcPr>
          <w:p>
            <w:pPr>
              <w:pStyle w:val="32"/>
            </w:pPr>
            <w:r>
              <w:rPr>
                <w:rFonts w:hint="eastAsia"/>
              </w:rPr>
              <w:t>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72" w:type="pct"/>
            <w:vAlign w:val="center"/>
          </w:tcPr>
          <w:p>
            <w:pPr>
              <w:pStyle w:val="32"/>
            </w:pPr>
            <w:r>
              <w:rPr>
                <w:rFonts w:hint="eastAsia"/>
              </w:rPr>
              <w:t>5</w:t>
            </w:r>
          </w:p>
        </w:tc>
        <w:tc>
          <w:tcPr>
            <w:tcW w:w="925" w:type="pct"/>
            <w:vAlign w:val="center"/>
          </w:tcPr>
          <w:p>
            <w:pPr>
              <w:pStyle w:val="32"/>
            </w:pPr>
            <w:r>
              <w:rPr>
                <w:rFonts w:hint="eastAsia"/>
              </w:rPr>
              <w:t>风机</w:t>
            </w:r>
          </w:p>
        </w:tc>
        <w:tc>
          <w:tcPr>
            <w:tcW w:w="786" w:type="pct"/>
            <w:vAlign w:val="center"/>
          </w:tcPr>
          <w:p>
            <w:pPr>
              <w:pStyle w:val="32"/>
            </w:pPr>
            <w:r>
              <w:rPr>
                <w:rFonts w:hint="eastAsia"/>
              </w:rPr>
              <w:t>90</w:t>
            </w:r>
          </w:p>
        </w:tc>
        <w:tc>
          <w:tcPr>
            <w:tcW w:w="856" w:type="pct"/>
            <w:vAlign w:val="center"/>
          </w:tcPr>
          <w:p>
            <w:pPr>
              <w:pStyle w:val="32"/>
            </w:pPr>
            <w:r>
              <w:rPr>
                <w:rFonts w:hint="eastAsia"/>
              </w:rPr>
              <w:t>2</w:t>
            </w:r>
          </w:p>
        </w:tc>
        <w:tc>
          <w:tcPr>
            <w:tcW w:w="627" w:type="pct"/>
            <w:vAlign w:val="center"/>
          </w:tcPr>
          <w:p>
            <w:pPr>
              <w:pStyle w:val="32"/>
            </w:pPr>
            <w:r>
              <w:rPr>
                <w:rFonts w:hint="eastAsia"/>
              </w:rPr>
              <w:t>连续</w:t>
            </w:r>
          </w:p>
        </w:tc>
        <w:tc>
          <w:tcPr>
            <w:tcW w:w="1331" w:type="pct"/>
            <w:vAlign w:val="center"/>
          </w:tcPr>
          <w:p>
            <w:pPr>
              <w:pStyle w:val="32"/>
            </w:pPr>
            <w:r>
              <w:rPr>
                <w:rFonts w:hint="eastAsia"/>
              </w:rPr>
              <w:t>隔声、消声、减震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0" w:type="auto"/>
          </w:tcPr>
          <w:p>
            <w:pPr>
              <w:pStyle w:val="32"/>
            </w:pPr>
            <w:r>
              <w:rPr>
                <w:rFonts w:hint="eastAsia"/>
              </w:rPr>
              <w:t>6</w:t>
            </w:r>
          </w:p>
        </w:tc>
        <w:tc>
          <w:tcPr>
            <w:tcW w:w="0" w:type="auto"/>
            <w:vAlign w:val="center"/>
          </w:tcPr>
          <w:p>
            <w:pPr>
              <w:pStyle w:val="32"/>
            </w:pPr>
            <w:r>
              <w:rPr>
                <w:rFonts w:hint="eastAsia"/>
              </w:rPr>
              <w:t>循环水泵</w:t>
            </w:r>
          </w:p>
        </w:tc>
        <w:tc>
          <w:tcPr>
            <w:tcW w:w="0" w:type="auto"/>
            <w:vAlign w:val="center"/>
          </w:tcPr>
          <w:p>
            <w:pPr>
              <w:pStyle w:val="32"/>
            </w:pPr>
            <w:r>
              <w:rPr>
                <w:rFonts w:hint="eastAsia"/>
              </w:rPr>
              <w:t>85</w:t>
            </w:r>
          </w:p>
        </w:tc>
        <w:tc>
          <w:tcPr>
            <w:tcW w:w="0" w:type="auto"/>
            <w:vAlign w:val="center"/>
          </w:tcPr>
          <w:p>
            <w:pPr>
              <w:pStyle w:val="32"/>
            </w:pPr>
            <w:r>
              <w:rPr>
                <w:rFonts w:hint="eastAsia"/>
              </w:rPr>
              <w:t>1</w:t>
            </w:r>
          </w:p>
        </w:tc>
        <w:tc>
          <w:tcPr>
            <w:tcW w:w="0" w:type="auto"/>
            <w:vAlign w:val="center"/>
          </w:tcPr>
          <w:p>
            <w:pPr>
              <w:pStyle w:val="32"/>
            </w:pPr>
            <w:r>
              <w:rPr>
                <w:rFonts w:hint="eastAsia"/>
              </w:rPr>
              <w:t>连续</w:t>
            </w:r>
          </w:p>
        </w:tc>
        <w:tc>
          <w:tcPr>
            <w:tcW w:w="0" w:type="auto"/>
            <w:vAlign w:val="center"/>
          </w:tcPr>
          <w:p>
            <w:pPr>
              <w:pStyle w:val="32"/>
            </w:pPr>
            <w:r>
              <w:rPr>
                <w:rFonts w:hint="eastAsia"/>
              </w:rPr>
              <w:t>隔声、消声、减震</w:t>
            </w:r>
          </w:p>
        </w:tc>
      </w:tr>
    </w:tbl>
    <w:p>
      <w:pPr>
        <w:pStyle w:val="7"/>
        <w:ind w:firstLine="480"/>
      </w:pPr>
      <w:r>
        <w:rPr>
          <w:rFonts w:hint="eastAsia"/>
        </w:rPr>
        <w:t>项目防治噪声污染的措施主要有：</w:t>
      </w:r>
    </w:p>
    <w:p>
      <w:pPr>
        <w:pStyle w:val="7"/>
        <w:ind w:firstLine="480"/>
      </w:pPr>
      <w:r>
        <w:rPr>
          <w:rFonts w:hint="eastAsia"/>
        </w:rPr>
        <w:t>（1）在工艺设备选型时，应尽可能选用低噪声设备，并对发声设备采取防震、消声、隔音措施。</w:t>
      </w:r>
    </w:p>
    <w:p>
      <w:pPr>
        <w:pStyle w:val="7"/>
        <w:ind w:firstLine="480"/>
      </w:pPr>
      <w:r>
        <w:rPr>
          <w:rFonts w:hint="eastAsia"/>
        </w:rPr>
        <w:t>（2）车间内合理布置高低噪声设备，对有强噪声源的车间做成封闭式围护结构，在噪声较大的岗位设置隔声值班室，以保护操作工身体健康。</w:t>
      </w:r>
    </w:p>
    <w:p>
      <w:pPr>
        <w:pStyle w:val="7"/>
        <w:ind w:firstLine="480"/>
      </w:pPr>
      <w:r>
        <w:rPr>
          <w:rFonts w:hint="eastAsia"/>
        </w:rPr>
        <w:t>（3）车间尽量少设门窗，墙面采用吸声材料，在工作时，门窗应处于关闭状态。</w:t>
      </w:r>
    </w:p>
    <w:p>
      <w:pPr>
        <w:pStyle w:val="7"/>
        <w:ind w:firstLine="480"/>
      </w:pPr>
      <w:r>
        <w:rPr>
          <w:rFonts w:hint="eastAsia"/>
        </w:rPr>
        <w:t>（4）避免夜间产生较大噪声的生产活动。对于噪声较大的铝灰分离机、风机等设独立设备间进行隔声，风机采用柔性接头、加装减震垫，水泵进行基础减震等。</w:t>
      </w:r>
    </w:p>
    <w:p>
      <w:pPr>
        <w:pStyle w:val="7"/>
        <w:ind w:firstLine="480"/>
      </w:pPr>
      <w:r>
        <w:rPr>
          <w:rFonts w:hint="eastAsia"/>
        </w:rPr>
        <w:t>（5）加强厂内绿化，在厂界区内侧种植高大常绿树种，车间周围加大绿化力度，提高绿化率，从而使噪声最大限度地随距离自然衰减。</w:t>
      </w:r>
    </w:p>
    <w:p>
      <w:pPr>
        <w:pStyle w:val="9"/>
      </w:pPr>
      <w:r>
        <w:rPr>
          <w:rFonts w:hint="eastAsia"/>
        </w:rPr>
        <w:t>4.4.2.4固废</w:t>
      </w:r>
    </w:p>
    <w:p>
      <w:pPr>
        <w:pStyle w:val="7"/>
        <w:ind w:firstLine="480"/>
      </w:pPr>
      <w:r>
        <w:rPr>
          <w:rFonts w:hint="eastAsia"/>
        </w:rPr>
        <w:t>二期工程营运后产生的固废主要为生产固废及职工生活垃圾，其中生产固废包括一般工业固体废物及危险废物。</w:t>
      </w:r>
    </w:p>
    <w:p>
      <w:pPr>
        <w:pStyle w:val="7"/>
        <w:ind w:firstLine="480"/>
      </w:pPr>
      <w:r>
        <w:rPr>
          <w:rFonts w:hint="eastAsia"/>
        </w:rPr>
        <w:t>（1）铝灰（S2-1）：铝灰分离车间扣除回收铝锭和铝灰分离排气筒粉尘产生量后剩余部分为铝灰，则铝灰产生量约为668.798t/a。根据“国家危险废物名录（2021年版）”规定“电解铝铝液转移、精炼、合金化、铸造过程熔体表面产生的铝灰渣，以及回收铝过程产生的盐渣和二次铝灰”属于危险废物，废物代号“321-024-48”，交由具有此类危险废物处置资质的公司（如文山铝业铝灰处置中心等）进行处理。</w:t>
      </w:r>
    </w:p>
    <w:p>
      <w:pPr>
        <w:pStyle w:val="7"/>
        <w:ind w:firstLine="480"/>
      </w:pPr>
      <w:r>
        <w:rPr>
          <w:rFonts w:hint="eastAsia"/>
        </w:rPr>
        <w:t>（2）熔保炉及铝灰分离除尘系统收集尘（S1-2）：二期工程熔保炉除尘系统布袋除尘器收集的烟（粉）尘，产生量约为339.57t/a，铝灰分离除尘系统收集尘产生量约为5.18t/a，则除尘系统收集尘总量为344.75t/a。根据“国家危险废物名录（2021年版）”规定“铝灰热回收铝过程烟气处理集（除）尘装置收集的粉尘，铝冶炼和再生过程烟气（包括：再生铝熔炼烟气、铝液熔体净化、除杂、合金化、铸造烟气）处理集（除）尘装置收集的粉尘”属于危险废物，废物代号“321-034-48”，因此，本项目布袋除尘器收集的粉尘属于危险废物，袋装后暂存危废间，定期交有资质单位处置（如文山铝业铝灰处置中心等）。</w:t>
      </w:r>
    </w:p>
    <w:p>
      <w:pPr>
        <w:pStyle w:val="7"/>
        <w:ind w:firstLine="480"/>
      </w:pPr>
      <w:r>
        <w:rPr>
          <w:rFonts w:hint="eastAsia"/>
        </w:rPr>
        <w:t>（3）废过滤板（S2-3）：项目过滤工序的废过滤板产生量为2.5t/a。云南创新合金有限公司“年产120万吨轻质高强铝合金材料项目”与</w:t>
      </w:r>
      <w:r>
        <w:t>本项目生产工艺、原料、燃料等相</w:t>
      </w:r>
      <w:r>
        <w:rPr>
          <w:rFonts w:hint="eastAsia"/>
        </w:rPr>
        <w:t>同，参考该项目对废过滤板的危废鉴别检测报告（见附件10），废过滤板各项检测项目的检测值均低于《危险废物鉴别标准 浸出毒性鉴别》（GB5085.3-2007）中浸出液最高允许浓度值。pH也没有超出《危险废物鉴别标准  腐蚀性鉴别》（GB5085.1-2007）中的范围值，废过滤板不属于危险废物。废过滤板属于一般工业固体废物，由更换厂家回收处置。</w:t>
      </w:r>
    </w:p>
    <w:p>
      <w:pPr>
        <w:pStyle w:val="7"/>
        <w:ind w:firstLine="480"/>
      </w:pPr>
      <w:r>
        <w:rPr>
          <w:rFonts w:hint="eastAsia"/>
        </w:rPr>
        <w:t>（4）不合格产品（S2-4）：项目检验过程中产生的不合格产品，产生量约为720t/a，此部分固废属于一般固废废物，经集中收集后作为原材料回用。</w:t>
      </w:r>
    </w:p>
    <w:p>
      <w:pPr>
        <w:pStyle w:val="7"/>
        <w:ind w:firstLine="480"/>
      </w:pPr>
      <w:r>
        <w:rPr>
          <w:rFonts w:hint="eastAsia"/>
        </w:rPr>
        <w:t>（5）下脚料（S2-5）：项目锯切过程中产生的下脚料，产生量约为300t/a，此部分固废属于一般固废废物，经集中收集后作为原材料回用</w:t>
      </w:r>
    </w:p>
    <w:p>
      <w:pPr>
        <w:pStyle w:val="7"/>
        <w:ind w:firstLine="480"/>
      </w:pPr>
      <w:r>
        <w:rPr>
          <w:rFonts w:hint="eastAsia"/>
        </w:rPr>
        <w:t>（6）废包装物（S2-6）：项目产品包装过程有部分废包装物产生，项目废包装物产生量为1t/a，经收集后作外售处理。</w:t>
      </w:r>
    </w:p>
    <w:p>
      <w:pPr>
        <w:pStyle w:val="7"/>
        <w:ind w:firstLine="480"/>
        <w:rPr>
          <w:rFonts w:hint="eastAsia"/>
          <w:color w:val="auto"/>
        </w:rPr>
      </w:pPr>
      <w:r>
        <w:rPr>
          <w:rFonts w:hint="eastAsia"/>
        </w:rPr>
        <w:t>（7）废润滑油、废机油（S2-7）：项目生产设备较多，设备维修、保养会产生废润滑油、废机油，属于危险废物，危废类别：HW08废矿物油与含矿物油废物，危废代码：900-214-08。项目建成后废润滑油、废机油的产生总量为0.5t/a，更换后采用桶装暂存于危废暂存间内，委托具有此类危险废物处置资质的公司进行</w:t>
      </w:r>
      <w:r>
        <w:rPr>
          <w:rFonts w:hint="eastAsia"/>
          <w:color w:val="auto"/>
        </w:rPr>
        <w:t>处理。</w:t>
      </w:r>
    </w:p>
    <w:p>
      <w:pPr>
        <w:pStyle w:val="7"/>
        <w:ind w:firstLine="480"/>
        <w:rPr>
          <w:color w:val="auto"/>
        </w:rPr>
      </w:pPr>
      <w:r>
        <w:rPr>
          <w:rFonts w:hint="eastAsia"/>
          <w:color w:val="auto"/>
        </w:rPr>
        <w:t>（8）废酸液（S</w:t>
      </w:r>
      <w:r>
        <w:rPr>
          <w:rFonts w:hint="eastAsia"/>
          <w:color w:val="auto"/>
          <w:lang w:val="en-US" w:eastAsia="zh-CN"/>
        </w:rPr>
        <w:t>2</w:t>
      </w:r>
      <w:r>
        <w:rPr>
          <w:rFonts w:hint="eastAsia"/>
          <w:color w:val="auto"/>
        </w:rPr>
        <w:t>-</w:t>
      </w:r>
      <w:r>
        <w:rPr>
          <w:color w:val="auto"/>
        </w:rPr>
        <w:t>8</w:t>
      </w:r>
      <w:r>
        <w:rPr>
          <w:rFonts w:hint="eastAsia"/>
          <w:color w:val="auto"/>
        </w:rPr>
        <w:t>）：项目在检验过程中使用盐酸、硝酸、氢氟酸，检验过程中会产生废酸液，根据建设单位提供的资料，废酸液产生量为0.</w:t>
      </w:r>
      <w:r>
        <w:rPr>
          <w:rFonts w:hint="eastAsia"/>
          <w:color w:val="auto"/>
          <w:lang w:val="en-US" w:eastAsia="zh-CN"/>
        </w:rPr>
        <w:t>07</w:t>
      </w:r>
      <w:r>
        <w:rPr>
          <w:rFonts w:hint="eastAsia"/>
          <w:color w:val="auto"/>
        </w:rPr>
        <w:t>t/a，废酸液属于危险废物，危废类别：HW34 废酸，危废代码：900-300-34使用酸进行清洗产生的废酸液。废酸液收集后交由具有此类危险废物处置资质的公司进行处理。</w:t>
      </w:r>
    </w:p>
    <w:p>
      <w:pPr>
        <w:pStyle w:val="7"/>
        <w:ind w:firstLine="480"/>
        <w:rPr>
          <w:color w:val="auto"/>
        </w:rPr>
      </w:pPr>
      <w:r>
        <w:rPr>
          <w:rFonts w:hint="eastAsia"/>
          <w:color w:val="auto"/>
        </w:rPr>
        <w:t>（9）废碱液（S</w:t>
      </w:r>
      <w:r>
        <w:rPr>
          <w:rFonts w:hint="eastAsia"/>
          <w:color w:val="auto"/>
          <w:lang w:val="en-US" w:eastAsia="zh-CN"/>
        </w:rPr>
        <w:t>2</w:t>
      </w:r>
      <w:r>
        <w:rPr>
          <w:rFonts w:hint="eastAsia"/>
          <w:color w:val="auto"/>
        </w:rPr>
        <w:t>-</w:t>
      </w:r>
      <w:r>
        <w:rPr>
          <w:color w:val="auto"/>
        </w:rPr>
        <w:t>9</w:t>
      </w:r>
      <w:r>
        <w:rPr>
          <w:rFonts w:hint="eastAsia"/>
          <w:color w:val="auto"/>
        </w:rPr>
        <w:t>）：项目在检验过程中会产生废碱液，根据建设单位提供的资料，废碱液产生量为</w:t>
      </w:r>
      <w:r>
        <w:rPr>
          <w:rFonts w:hint="eastAsia"/>
          <w:color w:val="auto"/>
          <w:lang w:val="en-US" w:eastAsia="zh-CN"/>
        </w:rPr>
        <w:t>1</w:t>
      </w:r>
      <w:r>
        <w:rPr>
          <w:rFonts w:hint="eastAsia"/>
          <w:color w:val="auto"/>
        </w:rPr>
        <w:t>t/a，废碱液属于危险废物，危废类别：HW35 其他废物，危废代码：900-352-35使用碱进行清洗产生的废碱液。废碱液收集后交由具有此类危险废物处置资质的公司进行处理。</w:t>
      </w:r>
    </w:p>
    <w:p>
      <w:pPr>
        <w:pStyle w:val="7"/>
        <w:ind w:firstLine="480"/>
        <w:rPr>
          <w:color w:val="auto"/>
        </w:rPr>
      </w:pPr>
      <w:r>
        <w:rPr>
          <w:rFonts w:hint="eastAsia"/>
          <w:color w:val="auto"/>
        </w:rPr>
        <w:t>（</w:t>
      </w:r>
      <w:r>
        <w:rPr>
          <w:rFonts w:hint="eastAsia"/>
          <w:color w:val="auto"/>
          <w:lang w:val="en-US" w:eastAsia="zh-CN"/>
        </w:rPr>
        <w:t>10</w:t>
      </w:r>
      <w:r>
        <w:rPr>
          <w:rFonts w:hint="eastAsia"/>
          <w:color w:val="auto"/>
        </w:rPr>
        <w:t>）初期雨水收集池和铸轧板循环冷却水池污泥（S2-</w:t>
      </w:r>
      <w:r>
        <w:rPr>
          <w:rFonts w:hint="eastAsia"/>
          <w:color w:val="auto"/>
          <w:lang w:val="en-US" w:eastAsia="zh-CN"/>
        </w:rPr>
        <w:t>10</w:t>
      </w:r>
      <w:r>
        <w:rPr>
          <w:rFonts w:hint="eastAsia"/>
          <w:color w:val="auto"/>
        </w:rPr>
        <w:t>）：项目初期雨水收集池和圆铸锭循环冷却水池产生的污泥属于一般废物，根据建设单位提供资料，污泥产生量为0.5t/a，环卫部门定期统一清理，按照一般工业固废处置要求进行处理。</w:t>
      </w:r>
    </w:p>
    <w:p>
      <w:pPr>
        <w:pStyle w:val="7"/>
        <w:ind w:firstLine="480"/>
      </w:pPr>
      <w:r>
        <w:rPr>
          <w:rFonts w:hint="eastAsia"/>
          <w:color w:val="auto"/>
        </w:rPr>
        <w:t>（</w:t>
      </w:r>
      <w:r>
        <w:rPr>
          <w:rFonts w:hint="eastAsia"/>
          <w:color w:val="auto"/>
          <w:lang w:val="en-US" w:eastAsia="zh-CN"/>
        </w:rPr>
        <w:t>11</w:t>
      </w:r>
      <w:r>
        <w:rPr>
          <w:rFonts w:hint="eastAsia"/>
          <w:color w:val="auto"/>
        </w:rPr>
        <w:t>）生活垃圾（S2-</w:t>
      </w:r>
      <w:r>
        <w:rPr>
          <w:rFonts w:hint="eastAsia"/>
          <w:color w:val="auto"/>
          <w:lang w:val="en-US" w:eastAsia="zh-CN"/>
        </w:rPr>
        <w:t>11</w:t>
      </w:r>
      <w:r>
        <w:rPr>
          <w:rFonts w:hint="eastAsia"/>
          <w:color w:val="auto"/>
        </w:rPr>
        <w:t>）：本项目劳动定员50人，生活垃圾产生量按照0.5kg/人•d估算，项目年工作时间为330天，则生活垃圾</w:t>
      </w:r>
      <w:r>
        <w:rPr>
          <w:rFonts w:hint="eastAsia"/>
        </w:rPr>
        <w:t>产生量为8.3t/a，生活垃圾收入垃圾箱由环卫部门定期清理。</w:t>
      </w:r>
    </w:p>
    <w:p>
      <w:pPr>
        <w:pStyle w:val="7"/>
        <w:ind w:firstLine="480"/>
        <w:sectPr>
          <w:pgSz w:w="11906" w:h="16838"/>
          <w:pgMar w:top="1440" w:right="1800" w:bottom="1440" w:left="1800" w:header="851" w:footer="992" w:gutter="0"/>
          <w:cols w:space="425" w:num="1"/>
          <w:docGrid w:type="lines" w:linePitch="312" w:charSpace="0"/>
        </w:sectPr>
      </w:pPr>
      <w:r>
        <w:rPr>
          <w:rFonts w:hint="eastAsia"/>
        </w:rPr>
        <w:t>一期工程固废产生及排放情况见表4.4-12。</w:t>
      </w:r>
    </w:p>
    <w:p>
      <w:pPr>
        <w:pStyle w:val="31"/>
      </w:pPr>
      <w:r>
        <w:rPr>
          <w:rFonts w:hint="eastAsia"/>
        </w:rPr>
        <w:t>表4.4-12  项目</w:t>
      </w:r>
      <w:r>
        <w:rPr>
          <w:rFonts w:hint="eastAsia"/>
          <w:lang w:val="en-US" w:eastAsia="zh-CN"/>
        </w:rPr>
        <w:t>二期工程</w:t>
      </w:r>
      <w:r>
        <w:rPr>
          <w:rFonts w:hint="eastAsia"/>
        </w:rPr>
        <w:t>固废产生及排放情况一览表</w:t>
      </w:r>
    </w:p>
    <w:tbl>
      <w:tblPr>
        <w:tblStyle w:val="27"/>
        <w:tblW w:w="5292" w:type="pct"/>
        <w:jc w:val="center"/>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Layout w:type="fixed"/>
        <w:tblCellMar>
          <w:top w:w="0" w:type="dxa"/>
          <w:left w:w="108" w:type="dxa"/>
          <w:bottom w:w="0" w:type="dxa"/>
          <w:right w:w="108" w:type="dxa"/>
        </w:tblCellMar>
      </w:tblPr>
      <w:tblGrid>
        <w:gridCol w:w="1204"/>
        <w:gridCol w:w="2182"/>
        <w:gridCol w:w="2313"/>
        <w:gridCol w:w="1485"/>
        <w:gridCol w:w="2850"/>
        <w:gridCol w:w="1926"/>
        <w:gridCol w:w="3042"/>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tcBorders>
              <w:top w:val="single" w:color="000000" w:sz="2" w:space="0"/>
              <w:bottom w:val="single" w:color="auto" w:sz="4" w:space="0"/>
            </w:tcBorders>
            <w:vAlign w:val="center"/>
          </w:tcPr>
          <w:p>
            <w:pPr>
              <w:pStyle w:val="33"/>
            </w:pPr>
            <w:r>
              <w:t>固废性质</w:t>
            </w:r>
          </w:p>
        </w:tc>
        <w:tc>
          <w:tcPr>
            <w:tcW w:w="727" w:type="pct"/>
            <w:tcBorders>
              <w:top w:val="single" w:color="000000" w:sz="2" w:space="0"/>
            </w:tcBorders>
            <w:vAlign w:val="center"/>
          </w:tcPr>
          <w:p>
            <w:pPr>
              <w:pStyle w:val="33"/>
            </w:pPr>
            <w:r>
              <w:t>固体废物名称</w:t>
            </w:r>
          </w:p>
        </w:tc>
        <w:tc>
          <w:tcPr>
            <w:tcW w:w="770" w:type="pct"/>
            <w:tcBorders>
              <w:top w:val="single" w:color="000000" w:sz="2" w:space="0"/>
            </w:tcBorders>
            <w:vAlign w:val="center"/>
          </w:tcPr>
          <w:p>
            <w:pPr>
              <w:pStyle w:val="33"/>
            </w:pPr>
            <w:r>
              <w:t>废物类别</w:t>
            </w:r>
          </w:p>
        </w:tc>
        <w:tc>
          <w:tcPr>
            <w:tcW w:w="494" w:type="pct"/>
            <w:tcBorders>
              <w:top w:val="single" w:color="000000" w:sz="2" w:space="0"/>
            </w:tcBorders>
            <w:vAlign w:val="center"/>
          </w:tcPr>
          <w:p>
            <w:pPr>
              <w:pStyle w:val="33"/>
            </w:pPr>
            <w:r>
              <w:t>产生量（t/a）</w:t>
            </w:r>
          </w:p>
        </w:tc>
        <w:tc>
          <w:tcPr>
            <w:tcW w:w="949" w:type="pct"/>
            <w:tcBorders>
              <w:top w:val="single" w:color="000000" w:sz="2" w:space="0"/>
            </w:tcBorders>
            <w:vAlign w:val="center"/>
          </w:tcPr>
          <w:p>
            <w:pPr>
              <w:pStyle w:val="33"/>
            </w:pPr>
            <w:r>
              <w:t>处置方式</w:t>
            </w:r>
          </w:p>
        </w:tc>
        <w:tc>
          <w:tcPr>
            <w:tcW w:w="641" w:type="pct"/>
            <w:tcBorders>
              <w:top w:val="single" w:color="000000" w:sz="2" w:space="0"/>
            </w:tcBorders>
            <w:vAlign w:val="center"/>
          </w:tcPr>
          <w:p>
            <w:pPr>
              <w:pStyle w:val="33"/>
            </w:pPr>
            <w:r>
              <w:t>处置量（t/a）</w:t>
            </w:r>
          </w:p>
        </w:tc>
        <w:tc>
          <w:tcPr>
            <w:tcW w:w="1013" w:type="pct"/>
            <w:tcBorders>
              <w:top w:val="single" w:color="000000" w:sz="2" w:space="0"/>
            </w:tcBorders>
            <w:vAlign w:val="center"/>
          </w:tcPr>
          <w:p>
            <w:pPr>
              <w:pStyle w:val="33"/>
            </w:pPr>
            <w:r>
              <w:t>最终去向</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trHeight w:val="607" w:hRule="atLeast"/>
          <w:jc w:val="center"/>
        </w:trPr>
        <w:tc>
          <w:tcPr>
            <w:tcW w:w="401" w:type="pct"/>
            <w:vMerge w:val="restart"/>
            <w:tcBorders>
              <w:top w:val="single" w:color="000000" w:sz="2" w:space="0"/>
            </w:tcBorders>
            <w:vAlign w:val="center"/>
          </w:tcPr>
          <w:p>
            <w:pPr>
              <w:pStyle w:val="33"/>
            </w:pPr>
            <w:r>
              <w:t>危险废物</w:t>
            </w:r>
          </w:p>
        </w:tc>
        <w:tc>
          <w:tcPr>
            <w:tcW w:w="727" w:type="pct"/>
            <w:tcBorders>
              <w:top w:val="single" w:color="000000" w:sz="2" w:space="0"/>
            </w:tcBorders>
            <w:vAlign w:val="center"/>
          </w:tcPr>
          <w:p>
            <w:pPr>
              <w:pStyle w:val="33"/>
            </w:pPr>
            <w:r>
              <w:rPr>
                <w:rFonts w:hint="eastAsia"/>
              </w:rPr>
              <w:t>铝灰</w:t>
            </w:r>
            <w:r>
              <w:t>（S</w:t>
            </w:r>
            <w:r>
              <w:rPr>
                <w:rFonts w:hint="eastAsia"/>
              </w:rPr>
              <w:t>2-1</w:t>
            </w:r>
            <w:r>
              <w:t>）</w:t>
            </w:r>
          </w:p>
        </w:tc>
        <w:tc>
          <w:tcPr>
            <w:tcW w:w="770" w:type="pct"/>
            <w:tcBorders>
              <w:top w:val="single" w:color="000000" w:sz="2" w:space="0"/>
            </w:tcBorders>
            <w:vAlign w:val="center"/>
          </w:tcPr>
          <w:p>
            <w:pPr>
              <w:pStyle w:val="33"/>
            </w:pPr>
            <w:r>
              <w:rPr>
                <w:rFonts w:hint="eastAsia"/>
              </w:rPr>
              <w:t>HW48，321-026-48</w:t>
            </w:r>
          </w:p>
        </w:tc>
        <w:tc>
          <w:tcPr>
            <w:tcW w:w="494" w:type="pct"/>
            <w:tcBorders>
              <w:top w:val="single" w:color="000000" w:sz="2" w:space="0"/>
            </w:tcBorders>
            <w:vAlign w:val="center"/>
          </w:tcPr>
          <w:p>
            <w:pPr>
              <w:pStyle w:val="33"/>
            </w:pPr>
            <w:r>
              <w:rPr>
                <w:rFonts w:hint="eastAsia"/>
              </w:rPr>
              <w:t>668.798</w:t>
            </w:r>
          </w:p>
        </w:tc>
        <w:tc>
          <w:tcPr>
            <w:tcW w:w="949" w:type="pct"/>
            <w:tcBorders>
              <w:top w:val="single" w:color="000000" w:sz="2" w:space="0"/>
            </w:tcBorders>
            <w:vAlign w:val="center"/>
          </w:tcPr>
          <w:p>
            <w:pPr>
              <w:pStyle w:val="33"/>
            </w:pPr>
            <w:r>
              <w:rPr>
                <w:rFonts w:hint="eastAsia"/>
              </w:rPr>
              <w:t>暂存于厂内危废暂存间</w:t>
            </w:r>
            <w:r>
              <w:t>，委托有资质的单位进行处理处置</w:t>
            </w:r>
          </w:p>
        </w:tc>
        <w:tc>
          <w:tcPr>
            <w:tcW w:w="641" w:type="pct"/>
            <w:tcBorders>
              <w:top w:val="single" w:color="000000" w:sz="2" w:space="0"/>
            </w:tcBorders>
            <w:vAlign w:val="center"/>
          </w:tcPr>
          <w:p>
            <w:pPr>
              <w:pStyle w:val="33"/>
            </w:pPr>
            <w:r>
              <w:rPr>
                <w:rFonts w:hint="eastAsia"/>
              </w:rPr>
              <w:t>668.798</w:t>
            </w:r>
          </w:p>
        </w:tc>
        <w:tc>
          <w:tcPr>
            <w:tcW w:w="1013" w:type="pct"/>
            <w:tcBorders>
              <w:top w:val="single" w:color="000000" w:sz="2" w:space="0"/>
            </w:tcBorders>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tcBorders>
              <w:top w:val="single" w:color="000000" w:sz="2" w:space="0"/>
            </w:tcBorders>
            <w:vAlign w:val="center"/>
          </w:tcPr>
          <w:p>
            <w:pPr>
              <w:pStyle w:val="33"/>
            </w:pPr>
            <w:r>
              <w:rPr>
                <w:rFonts w:hint="eastAsia"/>
              </w:rPr>
              <w:t>熔保炉除尘系统</w:t>
            </w:r>
            <w:r>
              <w:t>收集尘（S</w:t>
            </w:r>
            <w:r>
              <w:rPr>
                <w:rFonts w:hint="eastAsia"/>
              </w:rPr>
              <w:t>2-</w:t>
            </w:r>
            <w:r>
              <w:t>2）</w:t>
            </w:r>
          </w:p>
        </w:tc>
        <w:tc>
          <w:tcPr>
            <w:tcW w:w="770" w:type="pct"/>
            <w:tcBorders>
              <w:top w:val="single" w:color="000000" w:sz="2" w:space="0"/>
            </w:tcBorders>
            <w:vAlign w:val="center"/>
          </w:tcPr>
          <w:p>
            <w:pPr>
              <w:pStyle w:val="33"/>
            </w:pPr>
            <w:r>
              <w:rPr>
                <w:rFonts w:hint="eastAsia"/>
              </w:rPr>
              <w:t>HW48，</w:t>
            </w:r>
            <w:r>
              <w:t>321-0</w:t>
            </w:r>
            <w:r>
              <w:rPr>
                <w:rFonts w:hint="eastAsia"/>
              </w:rPr>
              <w:t>3</w:t>
            </w:r>
            <w:r>
              <w:t>4-48</w:t>
            </w:r>
          </w:p>
        </w:tc>
        <w:tc>
          <w:tcPr>
            <w:tcW w:w="494" w:type="pct"/>
            <w:tcBorders>
              <w:top w:val="single" w:color="000000" w:sz="2" w:space="0"/>
            </w:tcBorders>
            <w:vAlign w:val="center"/>
          </w:tcPr>
          <w:p>
            <w:pPr>
              <w:pStyle w:val="33"/>
            </w:pPr>
            <w:r>
              <w:rPr>
                <w:rFonts w:hint="eastAsia"/>
              </w:rPr>
              <w:t>344.75</w:t>
            </w:r>
          </w:p>
        </w:tc>
        <w:tc>
          <w:tcPr>
            <w:tcW w:w="949" w:type="pct"/>
            <w:tcBorders>
              <w:top w:val="single" w:color="000000" w:sz="2" w:space="0"/>
            </w:tcBorders>
            <w:vAlign w:val="center"/>
          </w:tcPr>
          <w:p>
            <w:pPr>
              <w:pStyle w:val="33"/>
            </w:pPr>
            <w:r>
              <w:t>经集中收集后定期外售处理</w:t>
            </w:r>
          </w:p>
        </w:tc>
        <w:tc>
          <w:tcPr>
            <w:tcW w:w="641" w:type="pct"/>
            <w:tcBorders>
              <w:top w:val="single" w:color="000000" w:sz="2" w:space="0"/>
            </w:tcBorders>
            <w:vAlign w:val="center"/>
          </w:tcPr>
          <w:p>
            <w:pPr>
              <w:pStyle w:val="33"/>
            </w:pPr>
            <w:r>
              <w:rPr>
                <w:rFonts w:hint="eastAsia"/>
              </w:rPr>
              <w:t>344.75</w:t>
            </w:r>
          </w:p>
        </w:tc>
        <w:tc>
          <w:tcPr>
            <w:tcW w:w="1013" w:type="pct"/>
            <w:tcBorders>
              <w:top w:val="single" w:color="000000" w:sz="2" w:space="0"/>
            </w:tcBorders>
            <w:vAlign w:val="center"/>
          </w:tcPr>
          <w:p>
            <w:pPr>
              <w:pStyle w:val="33"/>
            </w:pPr>
            <w:r>
              <w:t>外售其他厂家用作生产氧化铝原料</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pPr>
            <w:r>
              <w:t>废润滑油、废机油（S</w:t>
            </w:r>
            <w:r>
              <w:rPr>
                <w:rFonts w:hint="eastAsia"/>
              </w:rPr>
              <w:t>2-</w:t>
            </w:r>
            <w:r>
              <w:t>7）</w:t>
            </w:r>
          </w:p>
        </w:tc>
        <w:tc>
          <w:tcPr>
            <w:tcW w:w="770" w:type="pct"/>
            <w:vAlign w:val="center"/>
          </w:tcPr>
          <w:p>
            <w:pPr>
              <w:pStyle w:val="33"/>
            </w:pPr>
            <w:r>
              <w:t>HW08</w:t>
            </w:r>
            <w:r>
              <w:rPr>
                <w:rFonts w:hint="eastAsia"/>
              </w:rPr>
              <w:t>，</w:t>
            </w:r>
            <w:r>
              <w:t>900-214-08</w:t>
            </w:r>
          </w:p>
        </w:tc>
        <w:tc>
          <w:tcPr>
            <w:tcW w:w="494" w:type="pct"/>
            <w:vAlign w:val="center"/>
          </w:tcPr>
          <w:p>
            <w:pPr>
              <w:pStyle w:val="33"/>
            </w:pPr>
            <w:r>
              <w:rPr>
                <w:rFonts w:hint="eastAsia"/>
              </w:rPr>
              <w:t>0.5</w:t>
            </w:r>
          </w:p>
        </w:tc>
        <w:tc>
          <w:tcPr>
            <w:tcW w:w="949" w:type="pct"/>
            <w:vAlign w:val="center"/>
          </w:tcPr>
          <w:p>
            <w:pPr>
              <w:pStyle w:val="33"/>
            </w:pPr>
            <w:r>
              <w:t>暂存在厂内危废暂存间，委托有资质的单位进行处理处置</w:t>
            </w:r>
          </w:p>
        </w:tc>
        <w:tc>
          <w:tcPr>
            <w:tcW w:w="641" w:type="pct"/>
            <w:vAlign w:val="center"/>
          </w:tcPr>
          <w:p>
            <w:pPr>
              <w:pStyle w:val="33"/>
            </w:pPr>
            <w:r>
              <w:rPr>
                <w:rFonts w:hint="eastAsia"/>
              </w:rPr>
              <w:t>0.5</w:t>
            </w:r>
          </w:p>
        </w:tc>
        <w:tc>
          <w:tcPr>
            <w:tcW w:w="1013"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废酸液（S1-</w:t>
            </w:r>
            <w:r>
              <w:rPr>
                <w:color w:val="auto"/>
              </w:rPr>
              <w:t>8</w:t>
            </w:r>
            <w:r>
              <w:rPr>
                <w:rFonts w:hint="eastAsia"/>
                <w:color w:val="auto"/>
              </w:rPr>
              <w:t>）</w:t>
            </w:r>
          </w:p>
        </w:tc>
        <w:tc>
          <w:tcPr>
            <w:tcW w:w="770"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HW34，900-300-34</w:t>
            </w:r>
          </w:p>
        </w:tc>
        <w:tc>
          <w:tcPr>
            <w:tcW w:w="494" w:type="pct"/>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rPr>
              <w:t>0.</w:t>
            </w:r>
            <w:r>
              <w:rPr>
                <w:rFonts w:hint="eastAsia"/>
                <w:color w:val="auto"/>
                <w:lang w:val="en-US" w:eastAsia="zh-CN"/>
              </w:rPr>
              <w:t>07</w:t>
            </w:r>
          </w:p>
        </w:tc>
        <w:tc>
          <w:tcPr>
            <w:tcW w:w="949"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暂存在厂内危废暂存间，委托有资质的单位进行处理处置</w:t>
            </w:r>
          </w:p>
        </w:tc>
        <w:tc>
          <w:tcPr>
            <w:tcW w:w="1926" w:type="dxa"/>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rPr>
              <w:t>0.</w:t>
            </w:r>
            <w:r>
              <w:rPr>
                <w:rFonts w:hint="eastAsia"/>
                <w:color w:val="auto"/>
                <w:lang w:val="en-US" w:eastAsia="zh-CN"/>
              </w:rPr>
              <w:t>07</w:t>
            </w:r>
          </w:p>
        </w:tc>
        <w:tc>
          <w:tcPr>
            <w:tcW w:w="1013"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废碱液（S1-</w:t>
            </w:r>
            <w:r>
              <w:rPr>
                <w:color w:val="auto"/>
              </w:rPr>
              <w:t>9</w:t>
            </w:r>
            <w:r>
              <w:rPr>
                <w:rFonts w:hint="eastAsia"/>
                <w:color w:val="auto"/>
              </w:rPr>
              <w:t>）</w:t>
            </w:r>
          </w:p>
        </w:tc>
        <w:tc>
          <w:tcPr>
            <w:tcW w:w="770"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HW35，900-352-35</w:t>
            </w:r>
          </w:p>
        </w:tc>
        <w:tc>
          <w:tcPr>
            <w:tcW w:w="494"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949"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暂存在厂内危废暂存间，委托有资质的单位进行处理处置</w:t>
            </w:r>
          </w:p>
        </w:tc>
        <w:tc>
          <w:tcPr>
            <w:tcW w:w="1926" w:type="dxa"/>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1013"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restart"/>
            <w:tcBorders>
              <w:top w:val="single" w:color="auto" w:sz="4" w:space="0"/>
            </w:tcBorders>
            <w:vAlign w:val="center"/>
          </w:tcPr>
          <w:p>
            <w:pPr>
              <w:pStyle w:val="33"/>
            </w:pPr>
            <w:r>
              <w:t>一般废物</w:t>
            </w:r>
          </w:p>
        </w:tc>
        <w:tc>
          <w:tcPr>
            <w:tcW w:w="727" w:type="pct"/>
            <w:vAlign w:val="center"/>
          </w:tcPr>
          <w:p>
            <w:pPr>
              <w:pStyle w:val="33"/>
              <w:rPr>
                <w:color w:val="auto"/>
              </w:rPr>
            </w:pPr>
            <w:r>
              <w:rPr>
                <w:color w:val="auto"/>
              </w:rPr>
              <w:t>废过滤板（S</w:t>
            </w:r>
            <w:r>
              <w:rPr>
                <w:rFonts w:hint="eastAsia"/>
                <w:color w:val="auto"/>
              </w:rPr>
              <w:t>2-</w:t>
            </w:r>
            <w:r>
              <w:rPr>
                <w:color w:val="auto"/>
              </w:rPr>
              <w:t>3）</w:t>
            </w:r>
          </w:p>
        </w:tc>
        <w:tc>
          <w:tcPr>
            <w:tcW w:w="770" w:type="pct"/>
            <w:vAlign w:val="center"/>
          </w:tcPr>
          <w:p>
            <w:pPr>
              <w:pStyle w:val="33"/>
              <w:rPr>
                <w:color w:val="auto"/>
              </w:rPr>
            </w:pPr>
            <w:r>
              <w:rPr>
                <w:color w:val="auto"/>
              </w:rPr>
              <w:t>一般工业固废</w:t>
            </w:r>
          </w:p>
        </w:tc>
        <w:tc>
          <w:tcPr>
            <w:tcW w:w="494" w:type="pct"/>
            <w:vAlign w:val="center"/>
          </w:tcPr>
          <w:p>
            <w:pPr>
              <w:pStyle w:val="33"/>
              <w:rPr>
                <w:color w:val="auto"/>
              </w:rPr>
            </w:pPr>
            <w:r>
              <w:rPr>
                <w:rFonts w:hint="eastAsia"/>
                <w:color w:val="auto"/>
              </w:rPr>
              <w:t>2.5</w:t>
            </w:r>
          </w:p>
        </w:tc>
        <w:tc>
          <w:tcPr>
            <w:tcW w:w="949" w:type="pct"/>
            <w:vAlign w:val="center"/>
          </w:tcPr>
          <w:p>
            <w:pPr>
              <w:pStyle w:val="33"/>
              <w:rPr>
                <w:color w:val="auto"/>
              </w:rPr>
            </w:pPr>
            <w:r>
              <w:rPr>
                <w:rFonts w:hint="eastAsia"/>
                <w:color w:val="auto"/>
              </w:rPr>
              <w:t>由厂家回收</w:t>
            </w:r>
          </w:p>
        </w:tc>
        <w:tc>
          <w:tcPr>
            <w:tcW w:w="641" w:type="pct"/>
            <w:vAlign w:val="center"/>
          </w:tcPr>
          <w:p>
            <w:pPr>
              <w:pStyle w:val="33"/>
              <w:rPr>
                <w:color w:val="auto"/>
              </w:rPr>
            </w:pPr>
            <w:r>
              <w:rPr>
                <w:rFonts w:hint="eastAsia"/>
                <w:color w:val="auto"/>
              </w:rPr>
              <w:t>2.5</w:t>
            </w:r>
          </w:p>
        </w:tc>
        <w:tc>
          <w:tcPr>
            <w:tcW w:w="1013" w:type="pct"/>
            <w:vAlign w:val="center"/>
          </w:tcPr>
          <w:p>
            <w:pPr>
              <w:pStyle w:val="33"/>
              <w:rPr>
                <w:color w:val="auto"/>
              </w:rPr>
            </w:pPr>
            <w:r>
              <w:rPr>
                <w:rFonts w:hint="eastAsia"/>
                <w:color w:val="auto"/>
              </w:rPr>
              <w:t>厂家回收</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rPr>
                <w:color w:val="auto"/>
              </w:rPr>
            </w:pPr>
            <w:r>
              <w:rPr>
                <w:color w:val="auto"/>
              </w:rPr>
              <w:t>不合格产品（S</w:t>
            </w:r>
            <w:r>
              <w:rPr>
                <w:rFonts w:hint="eastAsia"/>
                <w:color w:val="auto"/>
              </w:rPr>
              <w:t>2-5</w:t>
            </w:r>
            <w:r>
              <w:rPr>
                <w:color w:val="auto"/>
              </w:rPr>
              <w:t>）</w:t>
            </w:r>
          </w:p>
        </w:tc>
        <w:tc>
          <w:tcPr>
            <w:tcW w:w="770" w:type="pct"/>
            <w:vAlign w:val="center"/>
          </w:tcPr>
          <w:p>
            <w:pPr>
              <w:pStyle w:val="33"/>
              <w:rPr>
                <w:color w:val="auto"/>
              </w:rPr>
            </w:pPr>
            <w:r>
              <w:rPr>
                <w:color w:val="auto"/>
              </w:rPr>
              <w:t>一般工业固废</w:t>
            </w:r>
          </w:p>
        </w:tc>
        <w:tc>
          <w:tcPr>
            <w:tcW w:w="494" w:type="pct"/>
            <w:vAlign w:val="center"/>
          </w:tcPr>
          <w:p>
            <w:pPr>
              <w:pStyle w:val="33"/>
              <w:rPr>
                <w:color w:val="auto"/>
              </w:rPr>
            </w:pPr>
            <w:r>
              <w:rPr>
                <w:rFonts w:hint="eastAsia"/>
                <w:color w:val="auto"/>
              </w:rPr>
              <w:t>720</w:t>
            </w:r>
          </w:p>
        </w:tc>
        <w:tc>
          <w:tcPr>
            <w:tcW w:w="949" w:type="pct"/>
            <w:vAlign w:val="center"/>
          </w:tcPr>
          <w:p>
            <w:pPr>
              <w:pStyle w:val="33"/>
              <w:rPr>
                <w:color w:val="auto"/>
              </w:rPr>
            </w:pPr>
            <w:r>
              <w:rPr>
                <w:color w:val="auto"/>
              </w:rPr>
              <w:t>集中收集后作为原材料回用</w:t>
            </w:r>
          </w:p>
        </w:tc>
        <w:tc>
          <w:tcPr>
            <w:tcW w:w="641" w:type="pct"/>
            <w:vAlign w:val="center"/>
          </w:tcPr>
          <w:p>
            <w:pPr>
              <w:pStyle w:val="33"/>
              <w:rPr>
                <w:color w:val="auto"/>
              </w:rPr>
            </w:pPr>
            <w:r>
              <w:rPr>
                <w:rFonts w:hint="eastAsia"/>
                <w:color w:val="auto"/>
              </w:rPr>
              <w:t>720</w:t>
            </w:r>
          </w:p>
        </w:tc>
        <w:tc>
          <w:tcPr>
            <w:tcW w:w="1013" w:type="pct"/>
            <w:vAlign w:val="center"/>
          </w:tcPr>
          <w:p>
            <w:pPr>
              <w:pStyle w:val="33"/>
              <w:rPr>
                <w:color w:val="auto"/>
              </w:rPr>
            </w:pPr>
            <w:r>
              <w:rPr>
                <w:color w:val="auto"/>
              </w:rP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rPr>
                <w:color w:val="auto"/>
              </w:rPr>
            </w:pPr>
            <w:r>
              <w:rPr>
                <w:color w:val="auto"/>
              </w:rPr>
              <w:t>下脚料（S</w:t>
            </w:r>
            <w:r>
              <w:rPr>
                <w:rFonts w:hint="eastAsia"/>
                <w:color w:val="auto"/>
              </w:rPr>
              <w:t>2-4</w:t>
            </w:r>
            <w:r>
              <w:rPr>
                <w:color w:val="auto"/>
              </w:rPr>
              <w:t>）</w:t>
            </w:r>
          </w:p>
        </w:tc>
        <w:tc>
          <w:tcPr>
            <w:tcW w:w="770" w:type="pct"/>
            <w:vAlign w:val="center"/>
          </w:tcPr>
          <w:p>
            <w:pPr>
              <w:pStyle w:val="33"/>
              <w:rPr>
                <w:color w:val="auto"/>
              </w:rPr>
            </w:pPr>
            <w:r>
              <w:rPr>
                <w:color w:val="auto"/>
              </w:rPr>
              <w:t>一般工业固废</w:t>
            </w:r>
          </w:p>
        </w:tc>
        <w:tc>
          <w:tcPr>
            <w:tcW w:w="494" w:type="pct"/>
            <w:vAlign w:val="center"/>
          </w:tcPr>
          <w:p>
            <w:pPr>
              <w:pStyle w:val="33"/>
              <w:rPr>
                <w:color w:val="auto"/>
              </w:rPr>
            </w:pPr>
            <w:r>
              <w:rPr>
                <w:rFonts w:hint="eastAsia"/>
                <w:color w:val="auto"/>
              </w:rPr>
              <w:t>300</w:t>
            </w:r>
          </w:p>
        </w:tc>
        <w:tc>
          <w:tcPr>
            <w:tcW w:w="949" w:type="pct"/>
            <w:vAlign w:val="center"/>
          </w:tcPr>
          <w:p>
            <w:pPr>
              <w:pStyle w:val="33"/>
              <w:rPr>
                <w:color w:val="auto"/>
              </w:rPr>
            </w:pPr>
            <w:r>
              <w:rPr>
                <w:color w:val="auto"/>
              </w:rPr>
              <w:t>集中收集后作为原材料回用</w:t>
            </w:r>
          </w:p>
        </w:tc>
        <w:tc>
          <w:tcPr>
            <w:tcW w:w="641" w:type="pct"/>
            <w:vAlign w:val="center"/>
          </w:tcPr>
          <w:p>
            <w:pPr>
              <w:pStyle w:val="33"/>
              <w:rPr>
                <w:color w:val="auto"/>
              </w:rPr>
            </w:pPr>
            <w:r>
              <w:rPr>
                <w:rFonts w:hint="eastAsia"/>
                <w:color w:val="auto"/>
              </w:rPr>
              <w:t>300</w:t>
            </w:r>
          </w:p>
        </w:tc>
        <w:tc>
          <w:tcPr>
            <w:tcW w:w="1013" w:type="pct"/>
            <w:vAlign w:val="center"/>
          </w:tcPr>
          <w:p>
            <w:pPr>
              <w:pStyle w:val="33"/>
              <w:rPr>
                <w:color w:val="auto"/>
              </w:rPr>
            </w:pPr>
            <w:r>
              <w:rPr>
                <w:color w:val="auto"/>
              </w:rP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rPr>
                <w:color w:val="auto"/>
              </w:rPr>
            </w:pPr>
            <w:r>
              <w:rPr>
                <w:color w:val="auto"/>
              </w:rPr>
              <w:t>废包装材料（S</w:t>
            </w:r>
            <w:r>
              <w:rPr>
                <w:rFonts w:hint="eastAsia"/>
                <w:color w:val="auto"/>
              </w:rPr>
              <w:t>2-</w:t>
            </w:r>
            <w:r>
              <w:rPr>
                <w:color w:val="auto"/>
              </w:rPr>
              <w:t>6）</w:t>
            </w:r>
          </w:p>
        </w:tc>
        <w:tc>
          <w:tcPr>
            <w:tcW w:w="770" w:type="pct"/>
            <w:vAlign w:val="center"/>
          </w:tcPr>
          <w:p>
            <w:pPr>
              <w:pStyle w:val="33"/>
              <w:rPr>
                <w:color w:val="auto"/>
              </w:rPr>
            </w:pPr>
            <w:r>
              <w:rPr>
                <w:color w:val="auto"/>
              </w:rPr>
              <w:t>一般工业固废</w:t>
            </w:r>
          </w:p>
        </w:tc>
        <w:tc>
          <w:tcPr>
            <w:tcW w:w="494" w:type="pct"/>
            <w:vAlign w:val="center"/>
          </w:tcPr>
          <w:p>
            <w:pPr>
              <w:pStyle w:val="33"/>
              <w:rPr>
                <w:color w:val="auto"/>
              </w:rPr>
            </w:pPr>
            <w:r>
              <w:rPr>
                <w:rFonts w:hint="eastAsia"/>
                <w:color w:val="auto"/>
              </w:rPr>
              <w:t>1</w:t>
            </w:r>
          </w:p>
        </w:tc>
        <w:tc>
          <w:tcPr>
            <w:tcW w:w="949" w:type="pct"/>
            <w:vAlign w:val="center"/>
          </w:tcPr>
          <w:p>
            <w:pPr>
              <w:pStyle w:val="33"/>
              <w:rPr>
                <w:color w:val="auto"/>
              </w:rPr>
            </w:pPr>
            <w:r>
              <w:rPr>
                <w:color w:val="auto"/>
              </w:rPr>
              <w:t>收集后作外售处理</w:t>
            </w:r>
          </w:p>
        </w:tc>
        <w:tc>
          <w:tcPr>
            <w:tcW w:w="641" w:type="pct"/>
            <w:vAlign w:val="center"/>
          </w:tcPr>
          <w:p>
            <w:pPr>
              <w:pStyle w:val="33"/>
              <w:rPr>
                <w:color w:val="auto"/>
              </w:rPr>
            </w:pPr>
            <w:r>
              <w:rPr>
                <w:rFonts w:hint="eastAsia"/>
                <w:color w:val="auto"/>
              </w:rPr>
              <w:t>1</w:t>
            </w:r>
          </w:p>
        </w:tc>
        <w:tc>
          <w:tcPr>
            <w:tcW w:w="1013" w:type="pct"/>
            <w:vAlign w:val="center"/>
          </w:tcPr>
          <w:p>
            <w:pPr>
              <w:pStyle w:val="33"/>
              <w:rPr>
                <w:color w:val="auto"/>
              </w:rPr>
            </w:pPr>
            <w:r>
              <w:rPr>
                <w:color w:val="auto"/>
              </w:rPr>
              <w:t>定期外卖</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401" w:type="pct"/>
            <w:vMerge w:val="continue"/>
            <w:vAlign w:val="center"/>
          </w:tcPr>
          <w:p>
            <w:pPr>
              <w:pStyle w:val="33"/>
            </w:pPr>
          </w:p>
        </w:tc>
        <w:tc>
          <w:tcPr>
            <w:tcW w:w="727" w:type="pct"/>
            <w:vAlign w:val="center"/>
          </w:tcPr>
          <w:p>
            <w:pPr>
              <w:pStyle w:val="33"/>
              <w:rPr>
                <w:color w:val="auto"/>
              </w:rPr>
            </w:pPr>
            <w:r>
              <w:rPr>
                <w:rFonts w:hint="eastAsia"/>
                <w:color w:val="auto"/>
              </w:rPr>
              <w:t>初期雨水收集池和圆铸锭循环冷却水池污泥</w:t>
            </w:r>
            <w:r>
              <w:rPr>
                <w:color w:val="auto"/>
              </w:rPr>
              <w:t>（S</w:t>
            </w:r>
            <w:r>
              <w:rPr>
                <w:rFonts w:hint="eastAsia"/>
                <w:color w:val="auto"/>
              </w:rPr>
              <w:t>2-</w:t>
            </w:r>
            <w:r>
              <w:rPr>
                <w:rFonts w:hint="eastAsia"/>
                <w:color w:val="auto"/>
                <w:lang w:val="en-US" w:eastAsia="zh-CN"/>
              </w:rPr>
              <w:t>10</w:t>
            </w:r>
            <w:r>
              <w:rPr>
                <w:color w:val="auto"/>
              </w:rPr>
              <w:t>）</w:t>
            </w:r>
          </w:p>
        </w:tc>
        <w:tc>
          <w:tcPr>
            <w:tcW w:w="770" w:type="pct"/>
            <w:vAlign w:val="center"/>
          </w:tcPr>
          <w:p>
            <w:pPr>
              <w:pStyle w:val="33"/>
              <w:rPr>
                <w:color w:val="auto"/>
              </w:rPr>
            </w:pPr>
            <w:r>
              <w:rPr>
                <w:color w:val="auto"/>
              </w:rPr>
              <w:t>一般</w:t>
            </w:r>
            <w:r>
              <w:rPr>
                <w:rFonts w:hint="eastAsia"/>
                <w:color w:val="auto"/>
              </w:rPr>
              <w:t>工业</w:t>
            </w:r>
            <w:r>
              <w:rPr>
                <w:color w:val="auto"/>
              </w:rPr>
              <w:t>固废</w:t>
            </w:r>
          </w:p>
        </w:tc>
        <w:tc>
          <w:tcPr>
            <w:tcW w:w="494" w:type="pct"/>
            <w:vAlign w:val="center"/>
          </w:tcPr>
          <w:p>
            <w:pPr>
              <w:pStyle w:val="33"/>
              <w:rPr>
                <w:color w:val="auto"/>
              </w:rPr>
            </w:pPr>
            <w:r>
              <w:rPr>
                <w:rFonts w:hint="eastAsia"/>
                <w:color w:val="auto"/>
              </w:rPr>
              <w:t>0.5</w:t>
            </w:r>
          </w:p>
        </w:tc>
        <w:tc>
          <w:tcPr>
            <w:tcW w:w="949" w:type="pct"/>
            <w:vAlign w:val="center"/>
          </w:tcPr>
          <w:p>
            <w:pPr>
              <w:pStyle w:val="33"/>
              <w:rPr>
                <w:color w:val="auto"/>
              </w:rPr>
            </w:pPr>
            <w:r>
              <w:rPr>
                <w:color w:val="auto"/>
              </w:rPr>
              <w:t>环卫部门定期清理</w:t>
            </w:r>
          </w:p>
        </w:tc>
        <w:tc>
          <w:tcPr>
            <w:tcW w:w="641" w:type="pct"/>
            <w:vAlign w:val="center"/>
          </w:tcPr>
          <w:p>
            <w:pPr>
              <w:pStyle w:val="33"/>
              <w:rPr>
                <w:color w:val="auto"/>
              </w:rPr>
            </w:pPr>
            <w:r>
              <w:rPr>
                <w:rFonts w:hint="eastAsia"/>
                <w:color w:val="auto"/>
              </w:rPr>
              <w:t>0.5</w:t>
            </w:r>
          </w:p>
        </w:tc>
        <w:tc>
          <w:tcPr>
            <w:tcW w:w="1013" w:type="pct"/>
            <w:vAlign w:val="center"/>
          </w:tcPr>
          <w:p>
            <w:pPr>
              <w:pStyle w:val="33"/>
              <w:rPr>
                <w:color w:val="auto"/>
              </w:rPr>
            </w:pPr>
            <w:r>
              <w:rPr>
                <w:color w:val="auto"/>
              </w:rPr>
              <w:t>生活垃圾填埋场</w:t>
            </w:r>
            <w:r>
              <w:rPr>
                <w:rFonts w:hint="eastAsia"/>
                <w:color w:val="auto"/>
              </w:rPr>
              <w:t>，按照一般工业固废处置要求进行处理</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trHeight w:val="262" w:hRule="atLeast"/>
          <w:jc w:val="center"/>
        </w:trPr>
        <w:tc>
          <w:tcPr>
            <w:tcW w:w="401" w:type="pct"/>
            <w:vMerge w:val="continue"/>
            <w:vAlign w:val="center"/>
          </w:tcPr>
          <w:p>
            <w:pPr>
              <w:pStyle w:val="33"/>
            </w:pPr>
          </w:p>
        </w:tc>
        <w:tc>
          <w:tcPr>
            <w:tcW w:w="727" w:type="pct"/>
            <w:vAlign w:val="center"/>
          </w:tcPr>
          <w:p>
            <w:pPr>
              <w:pStyle w:val="33"/>
              <w:rPr>
                <w:color w:val="auto"/>
              </w:rPr>
            </w:pPr>
            <w:r>
              <w:rPr>
                <w:color w:val="auto"/>
              </w:rPr>
              <w:t>生活垃圾（S</w:t>
            </w:r>
            <w:r>
              <w:rPr>
                <w:rFonts w:hint="eastAsia"/>
                <w:color w:val="auto"/>
              </w:rPr>
              <w:t>2-</w:t>
            </w:r>
            <w:r>
              <w:rPr>
                <w:rFonts w:hint="eastAsia"/>
                <w:color w:val="auto"/>
                <w:lang w:val="en-US" w:eastAsia="zh-CN"/>
              </w:rPr>
              <w:t>11</w:t>
            </w:r>
            <w:r>
              <w:rPr>
                <w:color w:val="auto"/>
              </w:rPr>
              <w:t>）</w:t>
            </w:r>
          </w:p>
        </w:tc>
        <w:tc>
          <w:tcPr>
            <w:tcW w:w="770" w:type="pct"/>
            <w:vAlign w:val="center"/>
          </w:tcPr>
          <w:p>
            <w:pPr>
              <w:pStyle w:val="33"/>
              <w:rPr>
                <w:color w:val="auto"/>
              </w:rPr>
            </w:pPr>
            <w:r>
              <w:rPr>
                <w:color w:val="auto"/>
              </w:rPr>
              <w:t>一般固废</w:t>
            </w:r>
          </w:p>
        </w:tc>
        <w:tc>
          <w:tcPr>
            <w:tcW w:w="494" w:type="pct"/>
            <w:vAlign w:val="center"/>
          </w:tcPr>
          <w:p>
            <w:pPr>
              <w:pStyle w:val="33"/>
              <w:rPr>
                <w:color w:val="auto"/>
              </w:rPr>
            </w:pPr>
            <w:r>
              <w:rPr>
                <w:rFonts w:hint="eastAsia"/>
                <w:color w:val="auto"/>
              </w:rPr>
              <w:t>8.3</w:t>
            </w:r>
          </w:p>
        </w:tc>
        <w:tc>
          <w:tcPr>
            <w:tcW w:w="949" w:type="pct"/>
            <w:vAlign w:val="center"/>
          </w:tcPr>
          <w:p>
            <w:pPr>
              <w:pStyle w:val="33"/>
              <w:rPr>
                <w:color w:val="auto"/>
              </w:rPr>
            </w:pPr>
            <w:r>
              <w:rPr>
                <w:color w:val="auto"/>
              </w:rPr>
              <w:t>环卫部门定期清理</w:t>
            </w:r>
          </w:p>
        </w:tc>
        <w:tc>
          <w:tcPr>
            <w:tcW w:w="641" w:type="pct"/>
            <w:vAlign w:val="center"/>
          </w:tcPr>
          <w:p>
            <w:pPr>
              <w:pStyle w:val="33"/>
              <w:rPr>
                <w:color w:val="auto"/>
              </w:rPr>
            </w:pPr>
            <w:r>
              <w:rPr>
                <w:rFonts w:hint="eastAsia"/>
                <w:color w:val="auto"/>
              </w:rPr>
              <w:t>8.3</w:t>
            </w:r>
          </w:p>
        </w:tc>
        <w:tc>
          <w:tcPr>
            <w:tcW w:w="1013" w:type="pct"/>
            <w:vAlign w:val="center"/>
          </w:tcPr>
          <w:p>
            <w:pPr>
              <w:pStyle w:val="33"/>
              <w:rPr>
                <w:color w:val="auto"/>
              </w:rPr>
            </w:pPr>
            <w:r>
              <w:rPr>
                <w:color w:val="auto"/>
              </w:rPr>
              <w:t>生活垃圾填埋场</w:t>
            </w:r>
          </w:p>
        </w:tc>
      </w:tr>
    </w:tbl>
    <w:p>
      <w:pPr>
        <w:pStyle w:val="7"/>
        <w:ind w:firstLine="480"/>
        <w:sectPr>
          <w:pgSz w:w="16838" w:h="11906" w:orient="landscape"/>
          <w:pgMar w:top="1800" w:right="1440" w:bottom="1800" w:left="1440" w:header="851" w:footer="992" w:gutter="0"/>
          <w:cols w:space="425" w:num="1"/>
          <w:docGrid w:type="lines" w:linePitch="312" w:charSpace="0"/>
        </w:sectPr>
      </w:pPr>
    </w:p>
    <w:p>
      <w:pPr>
        <w:pStyle w:val="5"/>
      </w:pPr>
      <w:bookmarkStart w:id="86" w:name="_Toc26774"/>
      <w:r>
        <w:rPr>
          <w:rFonts w:hint="eastAsia"/>
        </w:rPr>
        <w:t>4.5污染物控制及达标排放分析</w:t>
      </w:r>
      <w:bookmarkEnd w:id="86"/>
    </w:p>
    <w:p>
      <w:pPr>
        <w:pStyle w:val="8"/>
      </w:pPr>
      <w:r>
        <w:rPr>
          <w:rFonts w:hint="eastAsia"/>
        </w:rPr>
        <w:t>4.5.1一期工程污染物控制及达标排放分析</w:t>
      </w:r>
    </w:p>
    <w:p>
      <w:pPr>
        <w:pStyle w:val="9"/>
      </w:pPr>
      <w:r>
        <w:rPr>
          <w:rFonts w:hint="eastAsia"/>
        </w:rPr>
        <w:t>4.5.1.1废气</w:t>
      </w:r>
    </w:p>
    <w:p>
      <w:pPr>
        <w:pStyle w:val="7"/>
        <w:ind w:firstLine="482"/>
        <w:rPr>
          <w:b/>
          <w:bCs/>
        </w:rPr>
      </w:pPr>
      <w:r>
        <w:rPr>
          <w:b/>
          <w:bCs/>
        </w:rPr>
        <w:t>1、P1</w:t>
      </w:r>
      <w:r>
        <w:rPr>
          <w:rFonts w:hint="eastAsia"/>
          <w:b/>
          <w:bCs/>
        </w:rPr>
        <w:t>-1</w:t>
      </w:r>
      <w:r>
        <w:rPr>
          <w:b/>
          <w:bCs/>
        </w:rPr>
        <w:t>排气筒达标分析</w:t>
      </w:r>
    </w:p>
    <w:p>
      <w:pPr>
        <w:pStyle w:val="7"/>
        <w:ind w:firstLine="480"/>
      </w:pPr>
      <w:r>
        <w:t>P1排气筒排放的污染源有熔保炉（熔炼炉、保温炉）天然气燃烧废气G</w:t>
      </w:r>
      <w:r>
        <w:rPr>
          <w:rFonts w:hint="eastAsia"/>
        </w:rPr>
        <w:t>1-</w:t>
      </w:r>
      <w:r>
        <w:t>1、精炼废气G</w:t>
      </w:r>
      <w:r>
        <w:rPr>
          <w:rFonts w:hint="eastAsia"/>
        </w:rPr>
        <w:t>1-</w:t>
      </w:r>
      <w:r>
        <w:t>2、扒渣废气G</w:t>
      </w:r>
      <w:r>
        <w:rPr>
          <w:rFonts w:hint="eastAsia"/>
        </w:rPr>
        <w:t>1-</w:t>
      </w:r>
      <w:r>
        <w:t>3，主要污染物有颗粒物、SO</w:t>
      </w:r>
      <w:r>
        <w:rPr>
          <w:vertAlign w:val="subscript"/>
        </w:rPr>
        <w:t>2</w:t>
      </w:r>
      <w:r>
        <w:t>、NOx、氟化物、HCl、Cl</w:t>
      </w:r>
      <w:r>
        <w:rPr>
          <w:vertAlign w:val="subscript"/>
        </w:rPr>
        <w:t>2</w:t>
      </w:r>
      <w:r>
        <w:t>。废气收集后经过石灰粉+布袋除尘器处理后排放，排气筒高度为3</w:t>
      </w:r>
      <w:r>
        <w:rPr>
          <w:rFonts w:hint="eastAsia"/>
        </w:rPr>
        <w:t>5</w:t>
      </w:r>
      <w:r>
        <w:t>m，风机风量为1</w:t>
      </w:r>
      <w:r>
        <w:rPr>
          <w:rFonts w:hint="eastAsia"/>
        </w:rPr>
        <w:t>3</w:t>
      </w:r>
      <w:r>
        <w:t>0000m</w:t>
      </w:r>
      <w:r>
        <w:rPr>
          <w:vertAlign w:val="superscript"/>
        </w:rPr>
        <w:t>3</w:t>
      </w:r>
      <w:r>
        <w:t>/h。根据工程分析，P</w:t>
      </w:r>
      <w:r>
        <w:rPr>
          <w:rFonts w:hint="eastAsia"/>
        </w:rPr>
        <w:t>1-</w:t>
      </w:r>
      <w:r>
        <w:t>1排气筒各污染物排放情况如下：颗粒物排放速率</w:t>
      </w:r>
      <w:r>
        <w:rPr>
          <w:rFonts w:hint="eastAsia"/>
        </w:rPr>
        <w:t>12</w:t>
      </w:r>
      <w:r>
        <w:t>kg/h，排放浓度</w:t>
      </w:r>
      <w:r>
        <w:rPr>
          <w:rFonts w:hint="eastAsia"/>
        </w:rPr>
        <w:t>92.33</w:t>
      </w:r>
      <w:r>
        <w:t>mg/m</w:t>
      </w:r>
      <w:r>
        <w:rPr>
          <w:vertAlign w:val="superscript"/>
        </w:rPr>
        <w:t>3</w:t>
      </w:r>
      <w:r>
        <w:t>；SO</w:t>
      </w:r>
      <w:r>
        <w:rPr>
          <w:vertAlign w:val="subscript"/>
        </w:rPr>
        <w:t>2</w:t>
      </w:r>
      <w:r>
        <w:t>排放速率</w:t>
      </w:r>
      <w:r>
        <w:rPr>
          <w:rFonts w:hint="eastAsia"/>
        </w:rPr>
        <w:t>1.28</w:t>
      </w:r>
      <w:r>
        <w:t>kg/h，排放浓度</w:t>
      </w:r>
      <w:r>
        <w:rPr>
          <w:rFonts w:hint="eastAsia"/>
        </w:rPr>
        <w:t>9.85</w:t>
      </w:r>
      <w:r>
        <w:t>mg/m</w:t>
      </w:r>
      <w:r>
        <w:rPr>
          <w:vertAlign w:val="superscript"/>
        </w:rPr>
        <w:t>3</w:t>
      </w:r>
      <w:r>
        <w:t>；NO</w:t>
      </w:r>
      <w:r>
        <w:rPr>
          <w:vertAlign w:val="subscript"/>
        </w:rPr>
        <w:t>x</w:t>
      </w:r>
      <w:r>
        <w:t>排放速率</w:t>
      </w:r>
      <w:r>
        <w:rPr>
          <w:rFonts w:hint="eastAsia"/>
        </w:rPr>
        <w:t>5.08</w:t>
      </w:r>
      <w:r>
        <w:t>kg/h，排放浓度</w:t>
      </w:r>
      <w:r>
        <w:rPr>
          <w:rFonts w:hint="eastAsia"/>
        </w:rPr>
        <w:t>39.07</w:t>
      </w:r>
      <w:r>
        <w:t>mg/m</w:t>
      </w:r>
      <w:r>
        <w:rPr>
          <w:vertAlign w:val="superscript"/>
        </w:rPr>
        <w:t>3</w:t>
      </w:r>
      <w:r>
        <w:t>；氟化物排放速率0.00</w:t>
      </w:r>
      <w:r>
        <w:rPr>
          <w:rFonts w:hint="eastAsia"/>
        </w:rPr>
        <w:t>42</w:t>
      </w:r>
      <w:r>
        <w:t>kg/h，排放浓度</w:t>
      </w:r>
      <w:r>
        <w:rPr>
          <w:rFonts w:hint="eastAsia"/>
        </w:rPr>
        <w:t>0.033</w:t>
      </w:r>
      <w:r>
        <w:t>mg/m</w:t>
      </w:r>
      <w:r>
        <w:rPr>
          <w:vertAlign w:val="superscript"/>
        </w:rPr>
        <w:t>3</w:t>
      </w:r>
      <w:r>
        <w:t>；HCl排放速率0.</w:t>
      </w:r>
      <w:r>
        <w:rPr>
          <w:rFonts w:hint="eastAsia"/>
        </w:rPr>
        <w:t>21</w:t>
      </w:r>
      <w:r>
        <w:t>kg/h，排放浓度</w:t>
      </w:r>
      <w:r>
        <w:rPr>
          <w:rFonts w:hint="eastAsia"/>
        </w:rPr>
        <w:t>1.64</w:t>
      </w:r>
      <w:r>
        <w:t>mg/m</w:t>
      </w:r>
      <w:r>
        <w:rPr>
          <w:vertAlign w:val="superscript"/>
        </w:rPr>
        <w:t>3</w:t>
      </w:r>
      <w:r>
        <w:t>；Cl</w:t>
      </w:r>
      <w:r>
        <w:rPr>
          <w:vertAlign w:val="subscript"/>
        </w:rPr>
        <w:t>2</w:t>
      </w:r>
      <w:r>
        <w:t>排放速率</w:t>
      </w:r>
      <w:r>
        <w:rPr>
          <w:rFonts w:hint="eastAsia"/>
        </w:rPr>
        <w:t>0.12</w:t>
      </w:r>
      <w:r>
        <w:t>kg/h，排放浓度</w:t>
      </w:r>
      <w:r>
        <w:rPr>
          <w:rFonts w:hint="eastAsia"/>
        </w:rPr>
        <w:t>0.89</w:t>
      </w:r>
      <w:r>
        <w:t>mg/m</w:t>
      </w:r>
      <w:r>
        <w:rPr>
          <w:vertAlign w:val="superscript"/>
        </w:rPr>
        <w:t>3</w:t>
      </w:r>
      <w:r>
        <w:t>。颗粒物、SO</w:t>
      </w:r>
      <w:r>
        <w:rPr>
          <w:vertAlign w:val="subscript"/>
        </w:rPr>
        <w:t>2</w:t>
      </w:r>
      <w:r>
        <w:rPr>
          <w:rFonts w:hint="eastAsia"/>
        </w:rPr>
        <w:t>、</w:t>
      </w:r>
      <w:r>
        <w:rPr>
          <w:bCs/>
        </w:rPr>
        <w:t>氟化物、</w:t>
      </w:r>
      <w:r>
        <w:t>能够满足</w:t>
      </w:r>
      <w:r>
        <w:rPr>
          <w:bCs/>
        </w:rPr>
        <w:t>《工业炉窑大气污染物排放标准》（GB9078-1996），NO</w:t>
      </w:r>
      <w:r>
        <w:rPr>
          <w:rFonts w:hint="eastAsia"/>
          <w:bCs/>
          <w:vertAlign w:val="subscript"/>
        </w:rPr>
        <w:t>x</w:t>
      </w:r>
      <w:r>
        <w:rPr>
          <w:bCs/>
        </w:rPr>
        <w:t>、HCl、Cl</w:t>
      </w:r>
      <w:r>
        <w:rPr>
          <w:bCs/>
          <w:vertAlign w:val="subscript"/>
        </w:rPr>
        <w:t>2</w:t>
      </w:r>
      <w:r>
        <w:rPr>
          <w:bCs/>
        </w:rPr>
        <w:t>排放能满足</w:t>
      </w:r>
      <w:r>
        <w:t>《大气污染物综合排放标准》（GB16297-1996）表2二级标准的要求。</w:t>
      </w:r>
    </w:p>
    <w:p>
      <w:pPr>
        <w:pStyle w:val="7"/>
        <w:ind w:firstLine="482"/>
        <w:rPr>
          <w:b/>
          <w:bCs/>
        </w:rPr>
      </w:pPr>
      <w:r>
        <w:rPr>
          <w:rFonts w:hint="eastAsia"/>
          <w:b/>
          <w:bCs/>
        </w:rPr>
        <w:t>2、</w:t>
      </w:r>
      <w:r>
        <w:rPr>
          <w:b/>
          <w:bCs/>
        </w:rPr>
        <w:t>P</w:t>
      </w:r>
      <w:r>
        <w:rPr>
          <w:rFonts w:hint="eastAsia"/>
          <w:b/>
          <w:bCs/>
        </w:rPr>
        <w:t>1-2</w:t>
      </w:r>
      <w:r>
        <w:rPr>
          <w:b/>
          <w:bCs/>
        </w:rPr>
        <w:t>排气筒达标分析</w:t>
      </w:r>
    </w:p>
    <w:p>
      <w:pPr>
        <w:pStyle w:val="7"/>
        <w:ind w:firstLine="480"/>
      </w:pPr>
      <w:r>
        <w:t>P</w:t>
      </w:r>
      <w:r>
        <w:rPr>
          <w:rFonts w:hint="eastAsia"/>
        </w:rPr>
        <w:t>1-2</w:t>
      </w:r>
      <w:r>
        <w:t>排气筒排放的污染源有</w:t>
      </w:r>
      <w:r>
        <w:rPr>
          <w:rFonts w:hint="eastAsia"/>
        </w:rPr>
        <w:t>铝灰分离废气</w:t>
      </w:r>
      <w:r>
        <w:t>G</w:t>
      </w:r>
      <w:r>
        <w:rPr>
          <w:rFonts w:hint="eastAsia"/>
        </w:rPr>
        <w:t>1-4</w:t>
      </w:r>
      <w:r>
        <w:t>，主要污染物有颗粒物。废气收集后经过布袋除尘器处理后排放，排气筒高度为</w:t>
      </w:r>
      <w:r>
        <w:rPr>
          <w:rFonts w:hint="eastAsia"/>
        </w:rPr>
        <w:t>2</w:t>
      </w:r>
      <w:r>
        <w:t>0m，风机风量为10000m</w:t>
      </w:r>
      <w:r>
        <w:rPr>
          <w:vertAlign w:val="superscript"/>
        </w:rPr>
        <w:t>3</w:t>
      </w:r>
      <w:r>
        <w:t>/h。根据工程分析，P</w:t>
      </w:r>
      <w:r>
        <w:rPr>
          <w:rFonts w:hint="eastAsia"/>
        </w:rPr>
        <w:t>1-2</w:t>
      </w:r>
      <w:r>
        <w:t>排气筒各污染物排放情况如下：颗粒物排放速率</w:t>
      </w:r>
      <w:r>
        <w:rPr>
          <w:rFonts w:hint="eastAsia"/>
        </w:rPr>
        <w:t>0.21</w:t>
      </w:r>
      <w:r>
        <w:t>kg/h，排放浓度</w:t>
      </w:r>
      <w:r>
        <w:rPr>
          <w:rFonts w:hint="eastAsia"/>
        </w:rPr>
        <w:t>21.36</w:t>
      </w:r>
      <w:r>
        <w:t>mg/m</w:t>
      </w:r>
      <w:r>
        <w:rPr>
          <w:vertAlign w:val="superscript"/>
        </w:rPr>
        <w:t>3</w:t>
      </w:r>
      <w:r>
        <w:rPr>
          <w:rFonts w:hint="eastAsia"/>
        </w:rPr>
        <w:t>，颗粒物排放</w:t>
      </w:r>
      <w:r>
        <w:rPr>
          <w:bCs/>
        </w:rPr>
        <w:t>能满足</w:t>
      </w:r>
      <w:r>
        <w:t>《大气污染物综合排放标准》（GB16297-1996）表2二级标准的要求</w:t>
      </w:r>
      <w:r>
        <w:rPr>
          <w:rFonts w:hint="eastAsia"/>
        </w:rPr>
        <w:t>。</w:t>
      </w:r>
    </w:p>
    <w:p>
      <w:pPr>
        <w:pStyle w:val="7"/>
        <w:ind w:firstLine="482"/>
        <w:rPr>
          <w:b/>
          <w:bCs/>
        </w:rPr>
      </w:pPr>
      <w:r>
        <w:rPr>
          <w:rFonts w:hint="eastAsia"/>
          <w:b/>
          <w:bCs/>
        </w:rPr>
        <w:t>3</w:t>
      </w:r>
      <w:r>
        <w:rPr>
          <w:b/>
          <w:bCs/>
        </w:rPr>
        <w:t>、P</w:t>
      </w:r>
      <w:r>
        <w:rPr>
          <w:rFonts w:hint="eastAsia"/>
          <w:b/>
          <w:bCs/>
        </w:rPr>
        <w:t>1-3</w:t>
      </w:r>
      <w:r>
        <w:rPr>
          <w:b/>
          <w:bCs/>
        </w:rPr>
        <w:t>排气筒达标分析</w:t>
      </w:r>
    </w:p>
    <w:p>
      <w:pPr>
        <w:pStyle w:val="7"/>
        <w:ind w:firstLine="480"/>
      </w:pPr>
      <w:r>
        <w:t>P</w:t>
      </w:r>
      <w:r>
        <w:rPr>
          <w:rFonts w:hint="eastAsia"/>
        </w:rPr>
        <w:t>1-3</w:t>
      </w:r>
      <w:r>
        <w:t>排气筒排放的污染源</w:t>
      </w:r>
      <w:r>
        <w:rPr>
          <w:rFonts w:hint="eastAsia"/>
        </w:rPr>
        <w:t>为圆铸锭批次式均质炉</w:t>
      </w:r>
      <w:r>
        <w:t>天然气燃烧废气G</w:t>
      </w:r>
      <w:r>
        <w:rPr>
          <w:rFonts w:hint="eastAsia"/>
        </w:rPr>
        <w:t>1-5，</w:t>
      </w:r>
      <w:r>
        <w:t>主要污染物有颗粒物、SO</w:t>
      </w:r>
      <w:r>
        <w:rPr>
          <w:vertAlign w:val="subscript"/>
        </w:rPr>
        <w:t>2</w:t>
      </w:r>
      <w:r>
        <w:t>、NOx。废气收集后经过</w:t>
      </w:r>
      <w:r>
        <w:rPr>
          <w:rFonts w:hint="eastAsia"/>
        </w:rPr>
        <w:t>P1-3排气筒</w:t>
      </w:r>
      <w:r>
        <w:t>排放，排气筒高度为</w:t>
      </w:r>
      <w:r>
        <w:rPr>
          <w:rFonts w:hint="eastAsia"/>
        </w:rPr>
        <w:t>25</w:t>
      </w:r>
      <w:r>
        <w:t>m，</w:t>
      </w:r>
      <w:r>
        <w:rPr>
          <w:rFonts w:hint="eastAsia"/>
        </w:rPr>
        <w:t>废气</w:t>
      </w:r>
      <w:r>
        <w:t>量为</w:t>
      </w:r>
      <w:r>
        <w:rPr>
          <w:rFonts w:hint="eastAsia"/>
        </w:rPr>
        <w:t>6095.12</w:t>
      </w:r>
      <w:r>
        <w:t>m</w:t>
      </w:r>
      <w:r>
        <w:rPr>
          <w:vertAlign w:val="superscript"/>
        </w:rPr>
        <w:t>3</w:t>
      </w:r>
      <w:r>
        <w:t>/h。根据工程分析，P</w:t>
      </w:r>
      <w:r>
        <w:rPr>
          <w:rFonts w:hint="eastAsia"/>
        </w:rPr>
        <w:t>1-3</w:t>
      </w:r>
      <w:r>
        <w:t>排气筒各污染物排放情况如下：颗粒物排放速率</w:t>
      </w:r>
      <w:r>
        <w:rPr>
          <w:rFonts w:hint="eastAsia"/>
        </w:rPr>
        <w:t>0.14</w:t>
      </w:r>
      <w:r>
        <w:t>kg/h，排放浓度</w:t>
      </w:r>
      <w:r>
        <w:rPr>
          <w:rFonts w:hint="eastAsia"/>
        </w:rPr>
        <w:t>22.27</w:t>
      </w:r>
      <w:r>
        <w:t>mg/m</w:t>
      </w:r>
      <w:r>
        <w:rPr>
          <w:vertAlign w:val="superscript"/>
        </w:rPr>
        <w:t>3</w:t>
      </w:r>
      <w:r>
        <w:t>；SO</w:t>
      </w:r>
      <w:r>
        <w:rPr>
          <w:vertAlign w:val="subscript"/>
        </w:rPr>
        <w:t>2</w:t>
      </w:r>
      <w:r>
        <w:t>排放速率</w:t>
      </w:r>
      <w:r>
        <w:rPr>
          <w:rFonts w:hint="eastAsia"/>
        </w:rPr>
        <w:t>0.23</w:t>
      </w:r>
      <w:r>
        <w:t>kg/h，排放浓度</w:t>
      </w:r>
      <w:r>
        <w:rPr>
          <w:rFonts w:hint="eastAsia"/>
        </w:rPr>
        <w:t>37.1</w:t>
      </w:r>
      <w:r>
        <w:t>2mg/m</w:t>
      </w:r>
      <w:r>
        <w:rPr>
          <w:vertAlign w:val="superscript"/>
        </w:rPr>
        <w:t>3</w:t>
      </w:r>
      <w:r>
        <w:t>；NO</w:t>
      </w:r>
      <w:r>
        <w:rPr>
          <w:vertAlign w:val="subscript"/>
        </w:rPr>
        <w:t>x</w:t>
      </w:r>
      <w:r>
        <w:t>排放速率</w:t>
      </w:r>
      <w:r>
        <w:rPr>
          <w:rFonts w:hint="eastAsia"/>
        </w:rPr>
        <w:t>0.90</w:t>
      </w:r>
      <w:r>
        <w:t>kg/h，排放浓度</w:t>
      </w:r>
      <w:r>
        <w:rPr>
          <w:rFonts w:hint="eastAsia"/>
        </w:rPr>
        <w:t>147.28</w:t>
      </w:r>
      <w:r>
        <w:t>mg/m</w:t>
      </w:r>
      <w:r>
        <w:rPr>
          <w:vertAlign w:val="superscript"/>
        </w:rPr>
        <w:t>3</w:t>
      </w:r>
      <w:r>
        <w:rPr>
          <w:rFonts w:hint="eastAsia"/>
        </w:rPr>
        <w:t>。</w:t>
      </w:r>
      <w:r>
        <w:t>P</w:t>
      </w:r>
      <w:r>
        <w:rPr>
          <w:rFonts w:hint="eastAsia"/>
        </w:rPr>
        <w:t>1-3</w:t>
      </w:r>
      <w:r>
        <w:t>排气筒</w:t>
      </w:r>
      <w:r>
        <w:rPr>
          <w:rFonts w:hint="eastAsia"/>
        </w:rPr>
        <w:t>中</w:t>
      </w:r>
      <w:r>
        <w:t>颗粒物、SO</w:t>
      </w:r>
      <w:r>
        <w:rPr>
          <w:vertAlign w:val="subscript"/>
        </w:rPr>
        <w:t>2</w:t>
      </w:r>
      <w:r>
        <w:t>能够满足</w:t>
      </w:r>
      <w:r>
        <w:rPr>
          <w:bCs/>
        </w:rPr>
        <w:t>《工业炉窑大气污染物排放标准》（GB9078-1996），NO</w:t>
      </w:r>
      <w:r>
        <w:rPr>
          <w:rFonts w:hint="eastAsia"/>
          <w:bCs/>
          <w:vertAlign w:val="subscript"/>
        </w:rPr>
        <w:t>x</w:t>
      </w:r>
      <w:r>
        <w:rPr>
          <w:bCs/>
        </w:rPr>
        <w:t>排放能满足</w:t>
      </w:r>
      <w:r>
        <w:t>《大气污染物综合排放标准》（GB16297-1996）表2二级标准的要求</w:t>
      </w:r>
      <w:r>
        <w:rPr>
          <w:rFonts w:hint="eastAsia"/>
        </w:rPr>
        <w:t>。</w:t>
      </w:r>
    </w:p>
    <w:p>
      <w:pPr>
        <w:pStyle w:val="7"/>
        <w:ind w:firstLine="482"/>
        <w:rPr>
          <w:b/>
          <w:bCs/>
        </w:rPr>
      </w:pPr>
      <w:r>
        <w:rPr>
          <w:rFonts w:hint="eastAsia"/>
          <w:b/>
          <w:bCs/>
        </w:rPr>
        <w:t>4</w:t>
      </w:r>
      <w:r>
        <w:rPr>
          <w:b/>
          <w:bCs/>
        </w:rPr>
        <w:t>、P</w:t>
      </w:r>
      <w:r>
        <w:rPr>
          <w:rFonts w:hint="eastAsia"/>
          <w:b/>
          <w:bCs/>
        </w:rPr>
        <w:t>1-4</w:t>
      </w:r>
      <w:r>
        <w:rPr>
          <w:b/>
          <w:bCs/>
        </w:rPr>
        <w:t>排气筒达标分析</w:t>
      </w:r>
    </w:p>
    <w:p>
      <w:pPr>
        <w:pStyle w:val="7"/>
        <w:ind w:firstLine="480"/>
      </w:pPr>
      <w:r>
        <w:t>P</w:t>
      </w:r>
      <w:r>
        <w:rPr>
          <w:rFonts w:hint="eastAsia"/>
        </w:rPr>
        <w:t>1-4</w:t>
      </w:r>
      <w:r>
        <w:t>排气筒排放的污染源</w:t>
      </w:r>
      <w:r>
        <w:rPr>
          <w:rFonts w:hint="eastAsia"/>
        </w:rPr>
        <w:t>为圆铸锭连续式均质炉</w:t>
      </w:r>
      <w:r>
        <w:t>天然气燃烧废气G</w:t>
      </w:r>
      <w:r>
        <w:rPr>
          <w:rFonts w:hint="eastAsia"/>
        </w:rPr>
        <w:t>1-5，</w:t>
      </w:r>
      <w:r>
        <w:t>主要污染物有颗粒物、SO</w:t>
      </w:r>
      <w:r>
        <w:rPr>
          <w:vertAlign w:val="subscript"/>
        </w:rPr>
        <w:t>2</w:t>
      </w:r>
      <w:r>
        <w:t>、NOx。废气收集后经过</w:t>
      </w:r>
      <w:r>
        <w:rPr>
          <w:rFonts w:hint="eastAsia"/>
        </w:rPr>
        <w:t>P1-4排气筒</w:t>
      </w:r>
      <w:r>
        <w:t>排放，排气筒高度为</w:t>
      </w:r>
      <w:r>
        <w:rPr>
          <w:rFonts w:hint="eastAsia"/>
        </w:rPr>
        <w:t>25</w:t>
      </w:r>
      <w:r>
        <w:t>m，</w:t>
      </w:r>
      <w:r>
        <w:rPr>
          <w:rFonts w:hint="eastAsia"/>
        </w:rPr>
        <w:t>废气</w:t>
      </w:r>
      <w:r>
        <w:t>量为</w:t>
      </w:r>
      <w:r>
        <w:rPr>
          <w:rFonts w:hint="eastAsia"/>
        </w:rPr>
        <w:t>3047.5</w:t>
      </w:r>
      <w:r>
        <w:t>m</w:t>
      </w:r>
      <w:r>
        <w:rPr>
          <w:vertAlign w:val="superscript"/>
        </w:rPr>
        <w:t>3</w:t>
      </w:r>
      <w:r>
        <w:t>/h。根据工程分析，P</w:t>
      </w:r>
      <w:r>
        <w:rPr>
          <w:rFonts w:hint="eastAsia"/>
        </w:rPr>
        <w:t>1-4</w:t>
      </w:r>
      <w:r>
        <w:t>排气筒各污染物排放情况如下：颗粒物排放速率</w:t>
      </w:r>
      <w:r>
        <w:rPr>
          <w:rFonts w:hint="eastAsia"/>
        </w:rPr>
        <w:t>0.068</w:t>
      </w:r>
      <w:r>
        <w:t>kg/h，排放浓度</w:t>
      </w:r>
      <w:r>
        <w:rPr>
          <w:rFonts w:hint="eastAsia"/>
        </w:rPr>
        <w:t>22.27</w:t>
      </w:r>
      <w:r>
        <w:t>mg/m</w:t>
      </w:r>
      <w:r>
        <w:rPr>
          <w:vertAlign w:val="superscript"/>
        </w:rPr>
        <w:t>3</w:t>
      </w:r>
      <w:r>
        <w:t>；SO</w:t>
      </w:r>
      <w:r>
        <w:rPr>
          <w:vertAlign w:val="subscript"/>
        </w:rPr>
        <w:t>2</w:t>
      </w:r>
      <w:r>
        <w:t>排放速率</w:t>
      </w:r>
      <w:r>
        <w:rPr>
          <w:rFonts w:hint="eastAsia"/>
        </w:rPr>
        <w:t>0.11</w:t>
      </w:r>
      <w:r>
        <w:t>kg/h，排放浓度</w:t>
      </w:r>
      <w:r>
        <w:rPr>
          <w:rFonts w:hint="eastAsia"/>
        </w:rPr>
        <w:t>37.1</w:t>
      </w:r>
      <w:r>
        <w:t>2mg/m</w:t>
      </w:r>
      <w:r>
        <w:rPr>
          <w:vertAlign w:val="superscript"/>
        </w:rPr>
        <w:t>3</w:t>
      </w:r>
      <w:r>
        <w:t>；NO</w:t>
      </w:r>
      <w:r>
        <w:rPr>
          <w:vertAlign w:val="subscript"/>
        </w:rPr>
        <w:t>x</w:t>
      </w:r>
      <w:r>
        <w:t>排放速率</w:t>
      </w:r>
      <w:r>
        <w:rPr>
          <w:rFonts w:hint="eastAsia"/>
        </w:rPr>
        <w:t>0.45</w:t>
      </w:r>
      <w:r>
        <w:t>kg/h，排放浓度</w:t>
      </w:r>
      <w:r>
        <w:rPr>
          <w:rFonts w:hint="eastAsia"/>
        </w:rPr>
        <w:t>147.28</w:t>
      </w:r>
      <w:r>
        <w:t>mg/m</w:t>
      </w:r>
      <w:r>
        <w:rPr>
          <w:vertAlign w:val="superscript"/>
        </w:rPr>
        <w:t>3</w:t>
      </w:r>
      <w:r>
        <w:rPr>
          <w:rFonts w:hint="eastAsia"/>
        </w:rPr>
        <w:t>。</w:t>
      </w:r>
      <w:r>
        <w:t>P</w:t>
      </w:r>
      <w:r>
        <w:rPr>
          <w:rFonts w:hint="eastAsia"/>
        </w:rPr>
        <w:t>1-4</w:t>
      </w:r>
      <w:r>
        <w:t>排气筒</w:t>
      </w:r>
      <w:r>
        <w:rPr>
          <w:rFonts w:hint="eastAsia"/>
        </w:rPr>
        <w:t>中</w:t>
      </w:r>
      <w:r>
        <w:t>颗粒物、SO</w:t>
      </w:r>
      <w:r>
        <w:rPr>
          <w:vertAlign w:val="subscript"/>
        </w:rPr>
        <w:t>2</w:t>
      </w:r>
      <w:r>
        <w:t>能够满足</w:t>
      </w:r>
      <w:r>
        <w:rPr>
          <w:bCs/>
        </w:rPr>
        <w:t>《工业炉窑大气污染物排放标准》（GB9078-1996），NO</w:t>
      </w:r>
      <w:r>
        <w:rPr>
          <w:rFonts w:hint="eastAsia"/>
          <w:bCs/>
          <w:vertAlign w:val="subscript"/>
        </w:rPr>
        <w:t>x</w:t>
      </w:r>
      <w:r>
        <w:rPr>
          <w:bCs/>
        </w:rPr>
        <w:t>排放能满足</w:t>
      </w:r>
      <w:r>
        <w:t>《大气污染物综合排放标准》（GB16297-1996）表2二级标准的要求</w:t>
      </w:r>
      <w:r>
        <w:rPr>
          <w:rFonts w:hint="eastAsia"/>
        </w:rPr>
        <w:t>。</w:t>
      </w:r>
    </w:p>
    <w:p>
      <w:pPr>
        <w:pStyle w:val="7"/>
        <w:ind w:firstLine="482"/>
        <w:rPr>
          <w:b/>
          <w:bCs/>
        </w:rPr>
      </w:pPr>
      <w:r>
        <w:rPr>
          <w:rFonts w:hint="eastAsia"/>
          <w:b/>
          <w:bCs/>
        </w:rPr>
        <w:t>5</w:t>
      </w:r>
      <w:r>
        <w:rPr>
          <w:b/>
          <w:bCs/>
        </w:rPr>
        <w:t>、P</w:t>
      </w:r>
      <w:r>
        <w:rPr>
          <w:rFonts w:hint="eastAsia"/>
          <w:b/>
          <w:bCs/>
        </w:rPr>
        <w:t>1-5</w:t>
      </w:r>
      <w:r>
        <w:rPr>
          <w:b/>
          <w:bCs/>
        </w:rPr>
        <w:t>排气筒达标分析</w:t>
      </w:r>
    </w:p>
    <w:p>
      <w:pPr>
        <w:pStyle w:val="7"/>
        <w:ind w:firstLine="480"/>
      </w:pPr>
      <w:r>
        <w:t>P</w:t>
      </w:r>
      <w:r>
        <w:rPr>
          <w:rFonts w:hint="eastAsia"/>
        </w:rPr>
        <w:t>1-5</w:t>
      </w:r>
      <w:r>
        <w:t>排气筒排放的污染源</w:t>
      </w:r>
      <w:r>
        <w:rPr>
          <w:rFonts w:hint="eastAsia"/>
        </w:rPr>
        <w:t>为板锭生产线均质炉</w:t>
      </w:r>
      <w:r>
        <w:t>天然气燃烧废气G</w:t>
      </w:r>
      <w:r>
        <w:rPr>
          <w:rFonts w:hint="eastAsia"/>
        </w:rPr>
        <w:t>1-5，</w:t>
      </w:r>
      <w:r>
        <w:t>主要污染物有颗粒物、SO</w:t>
      </w:r>
      <w:r>
        <w:rPr>
          <w:vertAlign w:val="subscript"/>
        </w:rPr>
        <w:t>2</w:t>
      </w:r>
      <w:r>
        <w:t>、NOx。废气收集后经过</w:t>
      </w:r>
      <w:r>
        <w:rPr>
          <w:rFonts w:hint="eastAsia"/>
        </w:rPr>
        <w:t>P1-5排气筒</w:t>
      </w:r>
      <w:r>
        <w:t>排放，排气筒高度为</w:t>
      </w:r>
      <w:r>
        <w:rPr>
          <w:rFonts w:hint="eastAsia"/>
        </w:rPr>
        <w:t>25</w:t>
      </w:r>
      <w:r>
        <w:t>m，</w:t>
      </w:r>
      <w:r>
        <w:rPr>
          <w:rFonts w:hint="eastAsia"/>
        </w:rPr>
        <w:t>废气</w:t>
      </w:r>
      <w:r>
        <w:t>量为</w:t>
      </w:r>
      <w:r>
        <w:rPr>
          <w:rFonts w:hint="eastAsia"/>
        </w:rPr>
        <w:t>9142.68</w:t>
      </w:r>
      <w:r>
        <w:t>m</w:t>
      </w:r>
      <w:r>
        <w:rPr>
          <w:vertAlign w:val="superscript"/>
        </w:rPr>
        <w:t>3</w:t>
      </w:r>
      <w:r>
        <w:t>/h。根据工程分析，P</w:t>
      </w:r>
      <w:r>
        <w:rPr>
          <w:rFonts w:hint="eastAsia"/>
        </w:rPr>
        <w:t>1-5</w:t>
      </w:r>
      <w:r>
        <w:t>排气筒各污染物排放情况如下：颗粒物排放速率</w:t>
      </w:r>
      <w:r>
        <w:rPr>
          <w:rFonts w:hint="eastAsia"/>
        </w:rPr>
        <w:t>0.20</w:t>
      </w:r>
      <w:r>
        <w:t>kg/h，排放浓度</w:t>
      </w:r>
      <w:r>
        <w:rPr>
          <w:rFonts w:hint="eastAsia"/>
        </w:rPr>
        <w:t>22.27</w:t>
      </w:r>
      <w:r>
        <w:t>mg/m</w:t>
      </w:r>
      <w:r>
        <w:rPr>
          <w:vertAlign w:val="superscript"/>
        </w:rPr>
        <w:t>3</w:t>
      </w:r>
      <w:r>
        <w:t>；SO</w:t>
      </w:r>
      <w:r>
        <w:rPr>
          <w:vertAlign w:val="subscript"/>
        </w:rPr>
        <w:t>2</w:t>
      </w:r>
      <w:r>
        <w:t>排放速率</w:t>
      </w:r>
      <w:r>
        <w:rPr>
          <w:rFonts w:hint="eastAsia"/>
        </w:rPr>
        <w:t>0.34</w:t>
      </w:r>
      <w:r>
        <w:t>kg/h，排放浓度</w:t>
      </w:r>
      <w:r>
        <w:rPr>
          <w:rFonts w:hint="eastAsia"/>
        </w:rPr>
        <w:t>37.1</w:t>
      </w:r>
      <w:r>
        <w:t>2mg/m</w:t>
      </w:r>
      <w:r>
        <w:rPr>
          <w:vertAlign w:val="superscript"/>
        </w:rPr>
        <w:t>3</w:t>
      </w:r>
      <w:r>
        <w:t>；NO</w:t>
      </w:r>
      <w:r>
        <w:rPr>
          <w:vertAlign w:val="subscript"/>
        </w:rPr>
        <w:t>x</w:t>
      </w:r>
      <w:r>
        <w:t>排放速率</w:t>
      </w:r>
      <w:r>
        <w:rPr>
          <w:rFonts w:hint="eastAsia"/>
        </w:rPr>
        <w:t>1.35</w:t>
      </w:r>
      <w:r>
        <w:t>kg/h，排放浓度</w:t>
      </w:r>
      <w:r>
        <w:rPr>
          <w:rFonts w:hint="eastAsia"/>
        </w:rPr>
        <w:t>147.28</w:t>
      </w:r>
      <w:r>
        <w:t>mg/m</w:t>
      </w:r>
      <w:r>
        <w:rPr>
          <w:vertAlign w:val="superscript"/>
        </w:rPr>
        <w:t>3</w:t>
      </w:r>
      <w:r>
        <w:rPr>
          <w:rFonts w:hint="eastAsia"/>
        </w:rPr>
        <w:t>。</w:t>
      </w:r>
      <w:r>
        <w:t>P</w:t>
      </w:r>
      <w:r>
        <w:rPr>
          <w:rFonts w:hint="eastAsia"/>
        </w:rPr>
        <w:t>1-5</w:t>
      </w:r>
      <w:r>
        <w:t>排气筒</w:t>
      </w:r>
      <w:r>
        <w:rPr>
          <w:rFonts w:hint="eastAsia"/>
        </w:rPr>
        <w:t>中</w:t>
      </w:r>
      <w:r>
        <w:t>颗粒物、SO</w:t>
      </w:r>
      <w:r>
        <w:rPr>
          <w:vertAlign w:val="subscript"/>
        </w:rPr>
        <w:t>2</w:t>
      </w:r>
      <w:r>
        <w:t>能够满足</w:t>
      </w:r>
      <w:r>
        <w:rPr>
          <w:bCs/>
        </w:rPr>
        <w:t>《工业炉窑大气污染物排放标准》（GB9078-1996），NO</w:t>
      </w:r>
      <w:r>
        <w:rPr>
          <w:rFonts w:hint="eastAsia"/>
          <w:bCs/>
          <w:vertAlign w:val="subscript"/>
        </w:rPr>
        <w:t>x</w:t>
      </w:r>
      <w:r>
        <w:rPr>
          <w:bCs/>
        </w:rPr>
        <w:t>排放能满足</w:t>
      </w:r>
      <w:r>
        <w:t>《大气污染物综合排放标准》（GB16297-1996）表2二级标准的要求</w:t>
      </w:r>
      <w:r>
        <w:rPr>
          <w:rFonts w:hint="eastAsia"/>
        </w:rPr>
        <w:t>。</w:t>
      </w:r>
    </w:p>
    <w:p>
      <w:pPr>
        <w:pStyle w:val="7"/>
        <w:ind w:firstLine="482"/>
        <w:rPr>
          <w:b/>
          <w:bCs/>
        </w:rPr>
      </w:pPr>
      <w:r>
        <w:rPr>
          <w:rFonts w:hint="eastAsia"/>
          <w:b/>
          <w:bCs/>
        </w:rPr>
        <w:t>6、油烟废气</w:t>
      </w:r>
    </w:p>
    <w:p>
      <w:pPr>
        <w:pStyle w:val="7"/>
        <w:ind w:firstLine="480"/>
      </w:pPr>
      <w:r>
        <w:rPr>
          <w:rFonts w:hint="eastAsia"/>
        </w:rPr>
        <w:t>根据工程分析</w:t>
      </w:r>
      <w:r>
        <w:t>油烟产生浓度约</w:t>
      </w:r>
      <w:r>
        <w:rPr>
          <w:rFonts w:hint="eastAsia"/>
        </w:rPr>
        <w:t>5.6</w:t>
      </w:r>
      <w:r>
        <w:t>mg/m</w:t>
      </w:r>
      <w:r>
        <w:rPr>
          <w:vertAlign w:val="superscript"/>
        </w:rPr>
        <w:t>3</w:t>
      </w:r>
      <w:r>
        <w:t>，油烟产生量为0.</w:t>
      </w:r>
      <w:r>
        <w:rPr>
          <w:rFonts w:hint="eastAsia"/>
        </w:rPr>
        <w:t>033</w:t>
      </w:r>
      <w:r>
        <w:t>kg/h</w:t>
      </w:r>
      <w:r>
        <w:rPr>
          <w:rFonts w:hint="eastAsia"/>
        </w:rPr>
        <w:t>，</w:t>
      </w:r>
      <w:r>
        <w:t>0.</w:t>
      </w:r>
      <w:r>
        <w:rPr>
          <w:rFonts w:hint="eastAsia"/>
        </w:rPr>
        <w:t>04</w:t>
      </w:r>
      <w:r>
        <w:t>t/a。食堂油烟废气经集气罩收集后由一根总风管引出，通至楼顶经专用静电复合式高效油烟净化器净化后排放。风机风量</w:t>
      </w:r>
      <w:r>
        <w:rPr>
          <w:rFonts w:hint="eastAsia"/>
        </w:rPr>
        <w:t>6</w:t>
      </w:r>
      <w:r>
        <w:t>000m</w:t>
      </w:r>
      <w:r>
        <w:rPr>
          <w:vertAlign w:val="superscript"/>
        </w:rPr>
        <w:t>3</w:t>
      </w:r>
      <w:r>
        <w:t>/h，净化效率</w:t>
      </w:r>
      <w:r>
        <w:rPr>
          <w:rFonts w:hint="eastAsia"/>
        </w:rPr>
        <w:t>75</w:t>
      </w:r>
      <w:r>
        <w:t>%，项目油烟排放浓度为</w:t>
      </w:r>
      <w:r>
        <w:rPr>
          <w:rFonts w:hint="eastAsia"/>
        </w:rPr>
        <w:t>1.4</w:t>
      </w:r>
      <w:r>
        <w:t>mg/m</w:t>
      </w:r>
      <w:r>
        <w:rPr>
          <w:vertAlign w:val="superscript"/>
        </w:rPr>
        <w:t>3</w:t>
      </w:r>
      <w:r>
        <w:t>，排放量0.01</w:t>
      </w:r>
      <w:r>
        <w:rPr>
          <w:rFonts w:hint="eastAsia"/>
        </w:rPr>
        <w:t>1</w:t>
      </w:r>
      <w:r>
        <w:t>t/a。可达到《饮食业油烟排放标准》（GB18483-2001）中的排放标准要求（2.0mg/m</w:t>
      </w:r>
      <w:r>
        <w:rPr>
          <w:vertAlign w:val="superscript"/>
        </w:rPr>
        <w:t>3</w:t>
      </w:r>
      <w:r>
        <w:t>）及油烟去除率要求（75%）。油烟排气口设置在厨房所在建筑楼顶，离地高度大约为</w:t>
      </w:r>
      <w:r>
        <w:rPr>
          <w:rFonts w:hint="eastAsia"/>
        </w:rPr>
        <w:t>8</w:t>
      </w:r>
      <w:r>
        <w:t>m。</w:t>
      </w:r>
    </w:p>
    <w:p>
      <w:pPr>
        <w:pStyle w:val="7"/>
        <w:ind w:firstLine="482"/>
        <w:rPr>
          <w:b/>
          <w:bCs/>
        </w:rPr>
      </w:pPr>
      <w:r>
        <w:rPr>
          <w:rFonts w:hint="eastAsia"/>
          <w:b/>
          <w:bCs/>
        </w:rPr>
        <w:t>7、无组织粉尘</w:t>
      </w:r>
    </w:p>
    <w:p>
      <w:pPr>
        <w:pStyle w:val="7"/>
        <w:ind w:firstLine="480"/>
      </w:pPr>
      <w:r>
        <w:rPr>
          <w:rFonts w:hint="eastAsia"/>
        </w:rPr>
        <w:t>在生产车间为了控制环境空气粉尘扩散，除专门设置除尘设备外，还通过厂房除尘，能有效控制车间内的无组织排放，厂界无组织粉尘可达到《大气污染物综合排放标准》（GB16297-1996）无组织排放监控浓度限值要求，对周围环境的影响很小。</w:t>
      </w:r>
    </w:p>
    <w:p>
      <w:pPr>
        <w:pStyle w:val="9"/>
      </w:pPr>
      <w:r>
        <w:rPr>
          <w:rFonts w:hint="eastAsia"/>
        </w:rPr>
        <w:t>4.5.1.2废水</w:t>
      </w:r>
    </w:p>
    <w:p>
      <w:pPr>
        <w:pStyle w:val="7"/>
        <w:ind w:firstLine="480"/>
      </w:pPr>
      <w:r>
        <w:rPr>
          <w:rFonts w:hint="eastAsia"/>
        </w:rPr>
        <w:t>圆铸锭循环冷却系统定期排水污染程度较轻，经收集处理达《污水综合排放标准》（G</w:t>
      </w:r>
      <w:r>
        <w:t>B</w:t>
      </w:r>
      <w:r>
        <w:rPr>
          <w:rFonts w:hint="eastAsia"/>
        </w:rPr>
        <w:t>8978-1996）中的一级排放标准通过市政污水管网进入砚山县第一污水处理厂进行处理。</w:t>
      </w:r>
    </w:p>
    <w:p>
      <w:pPr>
        <w:pStyle w:val="7"/>
        <w:ind w:firstLine="480"/>
      </w:pPr>
      <w:r>
        <w:rPr>
          <w:rFonts w:hint="eastAsia"/>
        </w:rPr>
        <w:t>板锭循环冷却系统定期排水经自建污水处理站处理达《污水综合排放标准》（G</w:t>
      </w:r>
      <w:r>
        <w:t>B</w:t>
      </w:r>
      <w:r>
        <w:rPr>
          <w:rFonts w:hint="eastAsia"/>
        </w:rPr>
        <w:t>8978-1996）中的一级排放标准后通过市政污水管网进入砚山县第一污水处理厂进行处理。</w:t>
      </w:r>
    </w:p>
    <w:p>
      <w:pPr>
        <w:widowControl/>
        <w:spacing w:line="360" w:lineRule="auto"/>
        <w:ind w:firstLine="480" w:firstLineChars="200"/>
        <w:jc w:val="left"/>
        <w:rPr>
          <w:bCs/>
          <w:kern w:val="0"/>
        </w:rPr>
      </w:pPr>
      <w:r>
        <w:rPr>
          <w:rFonts w:hint="eastAsia"/>
          <w:bCs/>
          <w:kern w:val="0"/>
        </w:rPr>
        <w:t>生活污水</w:t>
      </w:r>
      <w:r>
        <w:rPr>
          <w:bCs/>
          <w:kern w:val="0"/>
        </w:rPr>
        <w:t>经隔油池</w:t>
      </w:r>
      <w:r>
        <w:rPr>
          <w:rFonts w:hint="eastAsia"/>
          <w:bCs/>
          <w:kern w:val="0"/>
        </w:rPr>
        <w:t>、化粪池</w:t>
      </w:r>
      <w:r>
        <w:rPr>
          <w:bCs/>
          <w:kern w:val="0"/>
        </w:rPr>
        <w:t>进行预处理后</w:t>
      </w:r>
      <w:r>
        <w:rPr>
          <w:rFonts w:hint="eastAsia"/>
          <w:kern w:val="0"/>
        </w:rPr>
        <w:t>达到</w:t>
      </w:r>
      <w:r>
        <w:rPr>
          <w:rFonts w:hint="eastAsia"/>
        </w:rPr>
        <w:t>《污水排入城镇下水道水质标准》（GB/T31962-2015）表1中A等级标准后通过市政污水管网进入砚山县第一污水处理厂进行处理</w:t>
      </w:r>
      <w:r>
        <w:rPr>
          <w:bCs/>
          <w:kern w:val="0"/>
        </w:rPr>
        <w:t>。项目</w:t>
      </w:r>
      <w:r>
        <w:rPr>
          <w:rFonts w:hint="eastAsia"/>
          <w:bCs/>
          <w:kern w:val="0"/>
        </w:rPr>
        <w:t>设置</w:t>
      </w:r>
      <w:r>
        <w:rPr>
          <w:bCs/>
          <w:kern w:val="0"/>
        </w:rPr>
        <w:t>化粪池</w:t>
      </w:r>
      <w:r>
        <w:rPr>
          <w:rFonts w:hint="eastAsia"/>
          <w:bCs/>
          <w:kern w:val="0"/>
        </w:rPr>
        <w:t>2座，每座</w:t>
      </w:r>
      <w:r>
        <w:rPr>
          <w:bCs/>
          <w:kern w:val="0"/>
        </w:rPr>
        <w:t>容积为</w:t>
      </w:r>
      <w:r>
        <w:rPr>
          <w:rFonts w:hint="eastAsia"/>
          <w:bCs/>
          <w:kern w:val="0"/>
        </w:rPr>
        <w:t>15</w:t>
      </w:r>
      <w:r>
        <w:rPr>
          <w:bCs/>
          <w:kern w:val="0"/>
        </w:rPr>
        <w:t>m</w:t>
      </w:r>
      <w:r>
        <w:rPr>
          <w:bCs/>
          <w:kern w:val="0"/>
          <w:vertAlign w:val="superscript"/>
        </w:rPr>
        <w:t>3</w:t>
      </w:r>
      <w:r>
        <w:rPr>
          <w:bCs/>
          <w:kern w:val="0"/>
        </w:rPr>
        <w:t>，隔油池</w:t>
      </w:r>
      <w:r>
        <w:rPr>
          <w:rFonts w:hint="eastAsia"/>
          <w:bCs/>
          <w:kern w:val="0"/>
        </w:rPr>
        <w:t>1座</w:t>
      </w:r>
      <w:r>
        <w:rPr>
          <w:bCs/>
          <w:kern w:val="0"/>
        </w:rPr>
        <w:t>容积为</w:t>
      </w:r>
      <w:r>
        <w:rPr>
          <w:rFonts w:hint="eastAsia"/>
          <w:bCs/>
          <w:kern w:val="0"/>
        </w:rPr>
        <w:t>3</w:t>
      </w:r>
      <w:r>
        <w:rPr>
          <w:bCs/>
          <w:kern w:val="0"/>
        </w:rPr>
        <w:t>m</w:t>
      </w:r>
      <w:r>
        <w:rPr>
          <w:bCs/>
          <w:kern w:val="0"/>
          <w:vertAlign w:val="superscript"/>
        </w:rPr>
        <w:t>3</w:t>
      </w:r>
      <w:r>
        <w:rPr>
          <w:rFonts w:hint="eastAsia"/>
          <w:bCs/>
          <w:kern w:val="0"/>
        </w:rPr>
        <w:t>，能够满足收集的要求。</w:t>
      </w:r>
    </w:p>
    <w:p>
      <w:pPr>
        <w:pStyle w:val="7"/>
        <w:ind w:firstLine="480"/>
      </w:pPr>
      <w:r>
        <w:rPr>
          <w:rFonts w:hint="eastAsia"/>
        </w:rPr>
        <w:t>项目收集的初期雨水进入厂区一期工程初期雨水收集池，经沉淀处理后，用作晴天厂区绿化及道路清扫，剩余部分用于冷却循环补充水，不外排。</w:t>
      </w:r>
    </w:p>
    <w:p>
      <w:pPr>
        <w:pStyle w:val="9"/>
      </w:pPr>
      <w:r>
        <w:rPr>
          <w:rFonts w:hint="eastAsia"/>
        </w:rPr>
        <w:t>4.5.1.3噪声</w:t>
      </w:r>
    </w:p>
    <w:p>
      <w:pPr>
        <w:pStyle w:val="7"/>
        <w:ind w:firstLine="480"/>
      </w:pPr>
      <w:r>
        <w:rPr>
          <w:rFonts w:hint="eastAsia"/>
        </w:rPr>
        <w:t>机械噪音采用消声、隔声及减振等有效措施后，做到厂界达标。</w:t>
      </w:r>
    </w:p>
    <w:p>
      <w:pPr>
        <w:pStyle w:val="8"/>
      </w:pPr>
      <w:r>
        <w:rPr>
          <w:rFonts w:hint="eastAsia"/>
        </w:rPr>
        <w:t>4.5.2二期工程污染物控制及达标排放分析</w:t>
      </w:r>
    </w:p>
    <w:p>
      <w:pPr>
        <w:pStyle w:val="9"/>
      </w:pPr>
      <w:r>
        <w:rPr>
          <w:rFonts w:hint="eastAsia"/>
        </w:rPr>
        <w:t>4.5.2.1废气</w:t>
      </w:r>
    </w:p>
    <w:p>
      <w:pPr>
        <w:pStyle w:val="7"/>
        <w:ind w:firstLine="482"/>
        <w:rPr>
          <w:b/>
          <w:bCs/>
        </w:rPr>
      </w:pPr>
      <w:r>
        <w:rPr>
          <w:b/>
          <w:bCs/>
        </w:rPr>
        <w:t>1、P</w:t>
      </w:r>
      <w:r>
        <w:rPr>
          <w:rFonts w:hint="eastAsia"/>
          <w:b/>
          <w:bCs/>
        </w:rPr>
        <w:t>2-1</w:t>
      </w:r>
      <w:r>
        <w:rPr>
          <w:b/>
          <w:bCs/>
        </w:rPr>
        <w:t>排气筒达标分析</w:t>
      </w:r>
    </w:p>
    <w:p>
      <w:pPr>
        <w:pStyle w:val="7"/>
        <w:ind w:firstLine="480"/>
      </w:pPr>
      <w:r>
        <w:t>P</w:t>
      </w:r>
      <w:r>
        <w:rPr>
          <w:rFonts w:hint="eastAsia"/>
        </w:rPr>
        <w:t>2-</w:t>
      </w:r>
      <w:r>
        <w:t>1排气筒排放的污染源有熔保炉（熔炼炉、保温炉）天然气燃烧废气G</w:t>
      </w:r>
      <w:r>
        <w:rPr>
          <w:rFonts w:hint="eastAsia"/>
        </w:rPr>
        <w:t>2-</w:t>
      </w:r>
      <w:r>
        <w:t>1、精炼废气G</w:t>
      </w:r>
      <w:r>
        <w:rPr>
          <w:rFonts w:hint="eastAsia"/>
        </w:rPr>
        <w:t>2-</w:t>
      </w:r>
      <w:r>
        <w:t>2、扒渣废气G</w:t>
      </w:r>
      <w:r>
        <w:rPr>
          <w:rFonts w:hint="eastAsia"/>
        </w:rPr>
        <w:t>2-</w:t>
      </w:r>
      <w:r>
        <w:t>3，主要污染物有颗粒物、SO</w:t>
      </w:r>
      <w:r>
        <w:rPr>
          <w:vertAlign w:val="subscript"/>
        </w:rPr>
        <w:t>2</w:t>
      </w:r>
      <w:r>
        <w:t>、NOx、氟化物。废气收集后经过布袋除尘器处理后排放，排气筒高度为30m，风机风量为</w:t>
      </w:r>
      <w:r>
        <w:rPr>
          <w:rFonts w:hint="eastAsia"/>
        </w:rPr>
        <w:t>5</w:t>
      </w:r>
      <w:r>
        <w:t>0000m</w:t>
      </w:r>
      <w:r>
        <w:rPr>
          <w:vertAlign w:val="superscript"/>
        </w:rPr>
        <w:t>3</w:t>
      </w:r>
      <w:r>
        <w:t>/h。根据工程分析，P</w:t>
      </w:r>
      <w:r>
        <w:rPr>
          <w:rFonts w:hint="eastAsia"/>
        </w:rPr>
        <w:t>2-</w:t>
      </w:r>
      <w:r>
        <w:t>1排气筒各污染物排放情况如下：颗粒物排放速率</w:t>
      </w:r>
      <w:r>
        <w:rPr>
          <w:rFonts w:hint="eastAsia"/>
        </w:rPr>
        <w:t>1.95</w:t>
      </w:r>
      <w:r>
        <w:t>kg/h，排放浓度</w:t>
      </w:r>
      <w:r>
        <w:rPr>
          <w:rFonts w:hint="eastAsia"/>
        </w:rPr>
        <w:t>39.02</w:t>
      </w:r>
      <w:r>
        <w:t>mg/m</w:t>
      </w:r>
      <w:r>
        <w:rPr>
          <w:vertAlign w:val="superscript"/>
        </w:rPr>
        <w:t>3</w:t>
      </w:r>
      <w:r>
        <w:t>；SO</w:t>
      </w:r>
      <w:r>
        <w:rPr>
          <w:vertAlign w:val="subscript"/>
        </w:rPr>
        <w:t>2</w:t>
      </w:r>
      <w:r>
        <w:t>排放速率</w:t>
      </w:r>
      <w:r>
        <w:rPr>
          <w:rFonts w:hint="eastAsia"/>
        </w:rPr>
        <w:t>0.29</w:t>
      </w:r>
      <w:r>
        <w:t>kg/h，排放浓度</w:t>
      </w:r>
      <w:r>
        <w:rPr>
          <w:rFonts w:hint="eastAsia"/>
        </w:rPr>
        <w:t>5.70</w:t>
      </w:r>
      <w:r>
        <w:t>mg/m</w:t>
      </w:r>
      <w:r>
        <w:rPr>
          <w:vertAlign w:val="superscript"/>
        </w:rPr>
        <w:t>3</w:t>
      </w:r>
      <w:r>
        <w:t>；NO</w:t>
      </w:r>
      <w:r>
        <w:rPr>
          <w:vertAlign w:val="subscript"/>
        </w:rPr>
        <w:t>x</w:t>
      </w:r>
      <w:r>
        <w:t>排放速率</w:t>
      </w:r>
      <w:r>
        <w:rPr>
          <w:rFonts w:hint="eastAsia"/>
        </w:rPr>
        <w:t>1.13</w:t>
      </w:r>
      <w:r>
        <w:t>kg/h，排放浓度</w:t>
      </w:r>
      <w:r>
        <w:rPr>
          <w:rFonts w:hint="eastAsia"/>
        </w:rPr>
        <w:t>22.61</w:t>
      </w:r>
      <w:r>
        <w:t>mg/m</w:t>
      </w:r>
      <w:r>
        <w:rPr>
          <w:vertAlign w:val="superscript"/>
        </w:rPr>
        <w:t>3</w:t>
      </w:r>
      <w:r>
        <w:t>；氟化物排放速率0.00</w:t>
      </w:r>
      <w:r>
        <w:rPr>
          <w:rFonts w:hint="eastAsia"/>
        </w:rPr>
        <w:t>08</w:t>
      </w:r>
      <w:r>
        <w:t>kg/h，排放浓度</w:t>
      </w:r>
      <w:r>
        <w:rPr>
          <w:rFonts w:hint="eastAsia"/>
        </w:rPr>
        <w:t>0.016</w:t>
      </w:r>
      <w:r>
        <w:t>mg/m</w:t>
      </w:r>
      <w:r>
        <w:rPr>
          <w:vertAlign w:val="superscript"/>
        </w:rPr>
        <w:t>3</w:t>
      </w:r>
      <w:r>
        <w:t>。颗粒物、SO</w:t>
      </w:r>
      <w:r>
        <w:rPr>
          <w:vertAlign w:val="subscript"/>
        </w:rPr>
        <w:t>2</w:t>
      </w:r>
      <w:r>
        <w:t>能够满足</w:t>
      </w:r>
      <w:r>
        <w:rPr>
          <w:bCs/>
        </w:rPr>
        <w:t>《工业炉窑大气污染物排放标准》（GB9078-1996），NO</w:t>
      </w:r>
      <w:r>
        <w:rPr>
          <w:rFonts w:hint="eastAsia"/>
          <w:bCs/>
          <w:vertAlign w:val="subscript"/>
        </w:rPr>
        <w:t>x</w:t>
      </w:r>
      <w:r>
        <w:rPr>
          <w:bCs/>
        </w:rPr>
        <w:t>、氟化物排放能满足</w:t>
      </w:r>
      <w:r>
        <w:t>《大气污染物综合排放标准》（GB16297-1996）表2二级标准的要求。</w:t>
      </w:r>
    </w:p>
    <w:p>
      <w:pPr>
        <w:pStyle w:val="7"/>
        <w:ind w:firstLine="482"/>
        <w:rPr>
          <w:b/>
          <w:bCs/>
        </w:rPr>
      </w:pPr>
      <w:r>
        <w:rPr>
          <w:rFonts w:hint="eastAsia"/>
          <w:b/>
          <w:bCs/>
        </w:rPr>
        <w:t>2、</w:t>
      </w:r>
      <w:r>
        <w:rPr>
          <w:b/>
          <w:bCs/>
        </w:rPr>
        <w:t>P</w:t>
      </w:r>
      <w:r>
        <w:rPr>
          <w:rFonts w:hint="eastAsia"/>
          <w:b/>
          <w:bCs/>
        </w:rPr>
        <w:t>2-2</w:t>
      </w:r>
      <w:r>
        <w:rPr>
          <w:b/>
          <w:bCs/>
        </w:rPr>
        <w:t>排气筒达标分析</w:t>
      </w:r>
    </w:p>
    <w:p>
      <w:pPr>
        <w:pStyle w:val="7"/>
        <w:ind w:firstLine="480"/>
        <w:rPr>
          <w:color w:val="auto"/>
          <w:highlight w:val="none"/>
        </w:rPr>
      </w:pPr>
      <w:r>
        <w:rPr>
          <w:color w:val="auto"/>
          <w:highlight w:val="none"/>
        </w:rPr>
        <w:t>P</w:t>
      </w:r>
      <w:r>
        <w:rPr>
          <w:rFonts w:hint="eastAsia"/>
          <w:color w:val="auto"/>
          <w:highlight w:val="none"/>
        </w:rPr>
        <w:t>2-2</w:t>
      </w:r>
      <w:r>
        <w:rPr>
          <w:color w:val="auto"/>
          <w:highlight w:val="none"/>
        </w:rPr>
        <w:t>排气筒排放的污染源有</w:t>
      </w:r>
      <w:r>
        <w:rPr>
          <w:rFonts w:hint="eastAsia"/>
          <w:color w:val="auto"/>
          <w:highlight w:val="none"/>
        </w:rPr>
        <w:t>铝灰分离废气</w:t>
      </w:r>
      <w:r>
        <w:rPr>
          <w:color w:val="auto"/>
          <w:highlight w:val="none"/>
        </w:rPr>
        <w:t>G</w:t>
      </w:r>
      <w:r>
        <w:rPr>
          <w:rFonts w:hint="eastAsia"/>
          <w:color w:val="auto"/>
          <w:highlight w:val="none"/>
        </w:rPr>
        <w:t>2-4</w:t>
      </w:r>
      <w:r>
        <w:rPr>
          <w:color w:val="auto"/>
          <w:highlight w:val="none"/>
        </w:rPr>
        <w:t>，主要污染物有颗粒物。废气收集后经过布袋除尘器处理后排放，排气筒高度为</w:t>
      </w:r>
      <w:r>
        <w:rPr>
          <w:rFonts w:hint="eastAsia"/>
          <w:color w:val="auto"/>
          <w:highlight w:val="none"/>
        </w:rPr>
        <w:t>2</w:t>
      </w:r>
      <w:r>
        <w:rPr>
          <w:color w:val="auto"/>
          <w:highlight w:val="none"/>
        </w:rPr>
        <w:t>0m，风机风量为</w:t>
      </w:r>
      <w:r>
        <w:rPr>
          <w:rFonts w:hint="eastAsia"/>
          <w:color w:val="auto"/>
          <w:highlight w:val="none"/>
        </w:rPr>
        <w:t>5</w:t>
      </w:r>
      <w:r>
        <w:rPr>
          <w:color w:val="auto"/>
          <w:highlight w:val="none"/>
        </w:rPr>
        <w:t>000m</w:t>
      </w:r>
      <w:r>
        <w:rPr>
          <w:color w:val="auto"/>
          <w:highlight w:val="none"/>
          <w:vertAlign w:val="superscript"/>
        </w:rPr>
        <w:t>3</w:t>
      </w:r>
      <w:r>
        <w:rPr>
          <w:color w:val="auto"/>
          <w:highlight w:val="none"/>
        </w:rPr>
        <w:t>/h。根据工程分析，P</w:t>
      </w:r>
      <w:r>
        <w:rPr>
          <w:rFonts w:hint="eastAsia"/>
          <w:color w:val="auto"/>
          <w:highlight w:val="none"/>
        </w:rPr>
        <w:t>2-2</w:t>
      </w:r>
      <w:r>
        <w:rPr>
          <w:color w:val="auto"/>
          <w:highlight w:val="none"/>
        </w:rPr>
        <w:t>排气筒各污染物排放情况如下：颗粒物排放速率</w:t>
      </w:r>
      <w:r>
        <w:rPr>
          <w:rFonts w:hint="eastAsia"/>
          <w:color w:val="auto"/>
          <w:highlight w:val="none"/>
        </w:rPr>
        <w:t>0.0</w:t>
      </w:r>
      <w:r>
        <w:rPr>
          <w:rFonts w:hint="eastAsia"/>
          <w:color w:val="auto"/>
          <w:highlight w:val="none"/>
          <w:lang w:val="en-US" w:eastAsia="zh-CN"/>
        </w:rPr>
        <w:t>4</w:t>
      </w:r>
      <w:r>
        <w:rPr>
          <w:color w:val="auto"/>
          <w:highlight w:val="none"/>
        </w:rPr>
        <w:t>kg/h，排放浓度</w:t>
      </w:r>
      <w:r>
        <w:rPr>
          <w:rFonts w:hint="eastAsia"/>
          <w:color w:val="auto"/>
          <w:highlight w:val="none"/>
          <w:lang w:val="en-US" w:eastAsia="zh-CN"/>
        </w:rPr>
        <w:t>8</w:t>
      </w:r>
      <w:r>
        <w:rPr>
          <w:rFonts w:hint="eastAsia"/>
          <w:color w:val="auto"/>
          <w:highlight w:val="none"/>
        </w:rPr>
        <w:t>.01</w:t>
      </w:r>
      <w:r>
        <w:rPr>
          <w:color w:val="auto"/>
          <w:highlight w:val="none"/>
        </w:rPr>
        <w:t>mg/m</w:t>
      </w:r>
      <w:r>
        <w:rPr>
          <w:color w:val="auto"/>
          <w:highlight w:val="none"/>
          <w:vertAlign w:val="superscript"/>
        </w:rPr>
        <w:t>3</w:t>
      </w:r>
      <w:r>
        <w:rPr>
          <w:rFonts w:hint="eastAsia"/>
          <w:color w:val="auto"/>
          <w:highlight w:val="none"/>
        </w:rPr>
        <w:t>，颗粒物排放</w:t>
      </w:r>
      <w:r>
        <w:rPr>
          <w:bCs/>
          <w:color w:val="auto"/>
          <w:highlight w:val="none"/>
        </w:rPr>
        <w:t>能满足</w:t>
      </w:r>
      <w:r>
        <w:rPr>
          <w:color w:val="auto"/>
          <w:highlight w:val="none"/>
        </w:rPr>
        <w:t>《大气污染物综合排放标准》（GB16297-1996）表2二级标准的要求</w:t>
      </w:r>
      <w:r>
        <w:rPr>
          <w:rFonts w:hint="eastAsia"/>
          <w:color w:val="auto"/>
          <w:highlight w:val="none"/>
        </w:rPr>
        <w:t>。</w:t>
      </w:r>
    </w:p>
    <w:p>
      <w:pPr>
        <w:pStyle w:val="7"/>
        <w:ind w:firstLine="482"/>
        <w:rPr>
          <w:b/>
          <w:bCs/>
        </w:rPr>
      </w:pPr>
      <w:r>
        <w:rPr>
          <w:rFonts w:hint="eastAsia"/>
          <w:b/>
          <w:bCs/>
        </w:rPr>
        <w:t>3、无组织粉尘</w:t>
      </w:r>
    </w:p>
    <w:p>
      <w:pPr>
        <w:pStyle w:val="7"/>
        <w:ind w:firstLine="480"/>
      </w:pPr>
      <w:r>
        <w:rPr>
          <w:rFonts w:hint="eastAsia"/>
        </w:rPr>
        <w:t>在生产车间为了控制环境空气粉尘扩散，除专门设置除尘设备外，还通过厂房除尘，能有效控制车间内的无组织排放，可达到《大气污染物综合排放标准》（GB16297-1996）无组织排放监控浓度限值要求，对周围环境的影响很小。</w:t>
      </w:r>
    </w:p>
    <w:p>
      <w:pPr>
        <w:pStyle w:val="9"/>
      </w:pPr>
      <w:r>
        <w:rPr>
          <w:rFonts w:hint="eastAsia"/>
        </w:rPr>
        <w:t>4.5.2.2废水</w:t>
      </w:r>
    </w:p>
    <w:p>
      <w:pPr>
        <w:pStyle w:val="7"/>
        <w:ind w:firstLine="480"/>
      </w:pPr>
      <w:r>
        <w:rPr>
          <w:rFonts w:hint="eastAsia"/>
        </w:rPr>
        <w:t>二期工程循环冷却系统定期排水污染程度较轻，经收集后通过市政污水管网进入砚山县第一污水处理厂进行处理。</w:t>
      </w:r>
    </w:p>
    <w:p>
      <w:pPr>
        <w:pStyle w:val="7"/>
        <w:ind w:firstLine="480"/>
        <w:rPr>
          <w:bCs/>
          <w:kern w:val="0"/>
        </w:rPr>
      </w:pPr>
      <w:r>
        <w:rPr>
          <w:rFonts w:hint="eastAsia"/>
          <w:bCs/>
          <w:kern w:val="0"/>
        </w:rPr>
        <w:t>生活污水</w:t>
      </w:r>
      <w:r>
        <w:rPr>
          <w:bCs/>
          <w:kern w:val="0"/>
        </w:rPr>
        <w:t>经过隔油池</w:t>
      </w:r>
      <w:r>
        <w:rPr>
          <w:rFonts w:hint="eastAsia"/>
          <w:bCs/>
          <w:kern w:val="0"/>
        </w:rPr>
        <w:t>、化粪池</w:t>
      </w:r>
      <w:r>
        <w:rPr>
          <w:bCs/>
          <w:kern w:val="0"/>
        </w:rPr>
        <w:t>进行预处理后</w:t>
      </w:r>
      <w:r>
        <w:rPr>
          <w:rFonts w:hint="eastAsia"/>
          <w:kern w:val="0"/>
        </w:rPr>
        <w:t>达到</w:t>
      </w:r>
      <w:r>
        <w:rPr>
          <w:rFonts w:hint="eastAsia"/>
        </w:rPr>
        <w:t>《污水排入城镇下水道水质标准》（GB/T31962-2015）表1中A等级标准后通过市政污水管网进入砚山县第一污水处理厂进行处理</w:t>
      </w:r>
      <w:r>
        <w:rPr>
          <w:bCs/>
          <w:kern w:val="0"/>
        </w:rPr>
        <w:t>。</w:t>
      </w:r>
    </w:p>
    <w:p>
      <w:pPr>
        <w:pStyle w:val="7"/>
        <w:ind w:firstLine="480"/>
      </w:pPr>
      <w:r>
        <w:rPr>
          <w:rFonts w:hint="eastAsia"/>
        </w:rPr>
        <w:t>二期工程收集的初期雨水进入二期工程初期雨水收集池，经沉淀处理后，用作晴天厂区绿化，剩余部分用于冷却循环补充水，不外排。</w:t>
      </w:r>
    </w:p>
    <w:p>
      <w:pPr>
        <w:pStyle w:val="9"/>
      </w:pPr>
      <w:r>
        <w:rPr>
          <w:rFonts w:hint="eastAsia"/>
        </w:rPr>
        <w:t>4.5.1.4固废</w:t>
      </w:r>
    </w:p>
    <w:p>
      <w:pPr>
        <w:pStyle w:val="7"/>
        <w:ind w:firstLine="480"/>
      </w:pPr>
      <w:r>
        <w:rPr>
          <w:rFonts w:hint="eastAsia"/>
        </w:rPr>
        <w:t>一般固废包括：废过滤板、不合格产品、下脚料、废包装物、生活垃圾、初期雨水收集池和圆铸锭循环冷却水池污泥。废过滤板由更换厂家回收处置；不合格产品经集中收集后作为原材料回用；下脚料经集中收集后作为原材料回用；废包装物经收集后作外售处理；生活垃圾收入垃圾箱由环卫部门定期清理；初期雨水收集池和圆铸锭循环冷却水池污泥环卫部门定期统一清理，按照一般工业固废处置要求进行处理。</w:t>
      </w:r>
    </w:p>
    <w:p>
      <w:pPr>
        <w:pStyle w:val="7"/>
        <w:ind w:firstLine="480"/>
      </w:pPr>
      <w:r>
        <w:rPr>
          <w:rFonts w:hint="eastAsia"/>
        </w:rPr>
        <w:t>危险废物包括：铝灰、熔保炉除尘系统收集尘、废润滑油、废机油、废酸液、废碱液、污水处理站油渣。铝灰危废类别：HW48有色金属冶炼废物，危废代码：</w:t>
      </w:r>
      <w:r>
        <w:t>321-024-48</w:t>
      </w:r>
      <w:r>
        <w:rPr>
          <w:rFonts w:hint="eastAsia"/>
        </w:rPr>
        <w:t>，交由具有此类危险废物处置资质的公司进行处理。除尘系统</w:t>
      </w:r>
      <w:r>
        <w:t>收集尘</w:t>
      </w:r>
      <w:r>
        <w:rPr>
          <w:rFonts w:hint="eastAsia"/>
        </w:rPr>
        <w:t>危废类别：HW48有色金属冶炼废物，危废代码：</w:t>
      </w:r>
      <w:r>
        <w:t>321-0</w:t>
      </w:r>
      <w:r>
        <w:rPr>
          <w:rFonts w:hint="eastAsia"/>
        </w:rPr>
        <w:t>3</w:t>
      </w:r>
      <w:r>
        <w:t>4-48</w:t>
      </w:r>
      <w:r>
        <w:rPr>
          <w:rFonts w:hint="eastAsia"/>
        </w:rPr>
        <w:t>，交由具有此类危险废物处置资质的公司进行处理。废润滑油、废机油危废类别：HW08废矿物油与含矿物油废物，危废代码：</w:t>
      </w:r>
      <w:r>
        <w:t>900-214-08</w:t>
      </w:r>
      <w:r>
        <w:rPr>
          <w:rFonts w:hint="eastAsia"/>
        </w:rPr>
        <w:t>，更换后采用桶装暂存于危废暂存间内，委托具有此类危险废物处置资质的公司进行处理。污水处理站油渣危废类别：HW08废矿物油与含矿物油废物，危废代码：900-210-08，收集后暂存于危废暂存间内，委托具有此类危险废物处置资质的公司进行处理。废酸液危废类别：HW34 废酸，危废代码：900-300-34使用酸进行清洗产生的废酸液；废碱液危废类别：HW35 其他废物，危废代码：900-352-35使用碱进行清洗产生的废碱液；废酸液、废碱液收集后交由具有此类危险废物处置资质的公司进行处理。</w:t>
      </w:r>
    </w:p>
    <w:p>
      <w:pPr>
        <w:pStyle w:val="7"/>
        <w:ind w:firstLine="480"/>
      </w:pPr>
      <w:r>
        <w:rPr>
          <w:rFonts w:hint="eastAsia"/>
        </w:rPr>
        <w:t>总之项目固体废弃物完全处置，对周围环境不会产生影响。</w:t>
      </w:r>
    </w:p>
    <w:p>
      <w:pPr>
        <w:pStyle w:val="9"/>
      </w:pPr>
      <w:r>
        <w:rPr>
          <w:rFonts w:hint="eastAsia"/>
        </w:rPr>
        <w:t>4.5.2.3噪声</w:t>
      </w:r>
    </w:p>
    <w:p>
      <w:pPr>
        <w:pStyle w:val="7"/>
        <w:ind w:firstLine="480"/>
      </w:pPr>
      <w:r>
        <w:rPr>
          <w:rFonts w:hint="eastAsia"/>
        </w:rPr>
        <w:t>机械噪音采用消声、隔声及减振等有效措施后，做到厂界达标。</w:t>
      </w:r>
    </w:p>
    <w:p>
      <w:pPr>
        <w:pStyle w:val="9"/>
      </w:pPr>
      <w:r>
        <w:rPr>
          <w:rFonts w:hint="eastAsia"/>
        </w:rPr>
        <w:t>4.5.2.4固废</w:t>
      </w:r>
    </w:p>
    <w:p>
      <w:pPr>
        <w:pStyle w:val="7"/>
        <w:ind w:firstLine="480"/>
      </w:pPr>
      <w:r>
        <w:rPr>
          <w:rFonts w:hint="eastAsia"/>
        </w:rPr>
        <w:t>二期工程固体废弃物主要为一般工业固废和危废。</w:t>
      </w:r>
    </w:p>
    <w:p>
      <w:pPr>
        <w:pStyle w:val="7"/>
        <w:ind w:firstLine="480"/>
      </w:pPr>
      <w:r>
        <w:rPr>
          <w:rFonts w:hint="eastAsia"/>
        </w:rPr>
        <w:t>一般固废包括：废过滤板、不合格产品、下脚料、废包装物、生活垃圾、初期雨水收集池和循环冷却水池污泥。废过滤板由更换厂家回收处置；不合格产品经集中收集后作为原材料回用；下脚料经集中收集后作为原材料回用；废包装物经收集后作外售处理；生活垃圾收入垃圾箱由环卫部门定期清理；初期雨水收集池和循环冷却水池污泥环卫部门定期统一清理，按照一般工业固废处置要求进行处理。</w:t>
      </w:r>
    </w:p>
    <w:p>
      <w:pPr>
        <w:pStyle w:val="7"/>
        <w:ind w:firstLine="480"/>
      </w:pPr>
      <w:r>
        <w:rPr>
          <w:rFonts w:hint="eastAsia"/>
        </w:rPr>
        <w:t>危险废物包括：铝灰、熔保炉除尘系统收集尘、废润滑油、废机油。铝灰危废类别：HW48有色金属冶炼废物，危废代码：</w:t>
      </w:r>
      <w:r>
        <w:t>321-024-48</w:t>
      </w:r>
      <w:r>
        <w:rPr>
          <w:rFonts w:hint="eastAsia"/>
        </w:rPr>
        <w:t>，交由具有此类危险废物处置资质的公司进行处理。除尘系统</w:t>
      </w:r>
      <w:r>
        <w:t>收集尘</w:t>
      </w:r>
      <w:r>
        <w:rPr>
          <w:rFonts w:hint="eastAsia"/>
        </w:rPr>
        <w:t>危废类别：HW48有色金属冶炼废物，危废代码：</w:t>
      </w:r>
      <w:r>
        <w:t>321-0</w:t>
      </w:r>
      <w:r>
        <w:rPr>
          <w:rFonts w:hint="eastAsia"/>
        </w:rPr>
        <w:t>3</w:t>
      </w:r>
      <w:r>
        <w:t>4-48</w:t>
      </w:r>
      <w:r>
        <w:rPr>
          <w:rFonts w:hint="eastAsia"/>
        </w:rPr>
        <w:t>，交由具有此类危险废物处置资质的公司进行处理。废润滑油、废机油危废类别：HW08废矿物油与含矿物油废物，危废代码：</w:t>
      </w:r>
      <w:r>
        <w:t>900-214-08</w:t>
      </w:r>
      <w:r>
        <w:rPr>
          <w:rFonts w:hint="eastAsia"/>
        </w:rPr>
        <w:t>，更换后采用桶装暂存于危废暂存间内，委托具有此类危险废物处置资质的公司进行处理。废酸液危废类别：HW34 废酸，危废代码：900-300-34使用酸进行清洗产生的废酸液；废碱液危废类别：HW35 其他废物，危废代码：900-352-35使用碱进行清洗产生的废碱液；废酸液、废碱液收集后交由具有此类危险废物处置资质的公司进行处理。</w:t>
      </w:r>
    </w:p>
    <w:p>
      <w:pPr>
        <w:pStyle w:val="7"/>
        <w:ind w:firstLine="480"/>
      </w:pPr>
      <w:r>
        <w:rPr>
          <w:rFonts w:hint="eastAsia"/>
        </w:rPr>
        <w:t>总之项目固体废弃物完全处置，对周围环境不会产生影响。</w:t>
      </w:r>
    </w:p>
    <w:p>
      <w:pPr>
        <w:pStyle w:val="5"/>
      </w:pPr>
      <w:bookmarkStart w:id="87" w:name="_Toc13461"/>
      <w:r>
        <w:rPr>
          <w:rFonts w:hint="eastAsia"/>
        </w:rPr>
        <w:t>4.6污染物排放汇总</w:t>
      </w:r>
      <w:bookmarkEnd w:id="87"/>
    </w:p>
    <w:p>
      <w:pPr>
        <w:pStyle w:val="7"/>
        <w:ind w:firstLine="480"/>
      </w:pPr>
      <w:r>
        <w:rPr>
          <w:rFonts w:hint="eastAsia"/>
        </w:rPr>
        <w:t>项目一期工程、二期工程“三废”的产生及排放情况见表4.6-1、4.6-2。项目两期工程污染物总产生及排放情况见表4.6-3。</w:t>
      </w:r>
    </w:p>
    <w:p>
      <w:pPr>
        <w:pStyle w:val="31"/>
      </w:pPr>
      <w:r>
        <w:rPr>
          <w:rFonts w:hint="eastAsia"/>
        </w:rPr>
        <w:t>表4.6-1  一期工程污染物排放量总汇表    单位：t/a</w:t>
      </w:r>
    </w:p>
    <w:tbl>
      <w:tblPr>
        <w:tblStyle w:val="27"/>
        <w:tblW w:w="845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100"/>
        <w:gridCol w:w="1965"/>
        <w:gridCol w:w="1477"/>
        <w:gridCol w:w="1477"/>
        <w:gridCol w:w="143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种类</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污染物名称</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产生量</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削减量</w:t>
            </w:r>
          </w:p>
        </w:tc>
        <w:tc>
          <w:tcPr>
            <w:tcW w:w="1435" w:type="dxa"/>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排放量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有组织排放废气</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颗粒物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2166.3</w:t>
            </w:r>
            <w:r>
              <w:rPr>
                <w:rFonts w:hint="eastAsia"/>
                <w:kern w:val="0"/>
                <w:sz w:val="21"/>
                <w:szCs w:val="21"/>
                <w:lang w:bidi="ar"/>
              </w:rPr>
              <w:t>7</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2121.4</w:t>
            </w:r>
            <w:r>
              <w:rPr>
                <w:rFonts w:hint="eastAsia"/>
                <w:kern w:val="0"/>
                <w:sz w:val="21"/>
                <w:szCs w:val="21"/>
                <w:lang w:bidi="ar"/>
              </w:rPr>
              <w:t>7</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44.90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SO</w:t>
            </w:r>
            <w:r>
              <w:rPr>
                <w:rFonts w:hint="eastAsia"/>
                <w:vertAlign w:val="subscript"/>
              </w:rPr>
              <w:t>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12.9</w:t>
            </w:r>
            <w:r>
              <w:rPr>
                <w:rFonts w:hint="eastAsia"/>
                <w:kern w:val="0"/>
                <w:sz w:val="21"/>
                <w:szCs w:val="21"/>
                <w:lang w:bidi="ar"/>
              </w:rPr>
              <w:t>3</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12.9</w:t>
            </w:r>
            <w:r>
              <w:rPr>
                <w:rFonts w:hint="eastAsia"/>
                <w:kern w:val="0"/>
                <w:sz w:val="21"/>
                <w:szCs w:val="21"/>
                <w:lang w:bidi="ar"/>
              </w:rPr>
              <w:t>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NOx</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51.291</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51.29184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氟化物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2.10</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2.0</w:t>
            </w:r>
            <w:r>
              <w:rPr>
                <w:rFonts w:hint="eastAsia"/>
              </w:rPr>
              <w:t>79</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0.021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t>HC</w:t>
            </w:r>
            <w:r>
              <w:rPr>
                <w:rFonts w:hint="eastAsia"/>
              </w:rPr>
              <w:t>l</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5.29</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4.23</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1.0</w:t>
            </w:r>
            <w:r>
              <w:rPr>
                <w:rFonts w:hint="eastAsia"/>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t>C</w:t>
            </w:r>
            <w:r>
              <w:rPr>
                <w:rFonts w:hint="eastAsia"/>
              </w:rPr>
              <w:t>l</w:t>
            </w:r>
            <w:r>
              <w:rPr>
                <w:rFonts w:hint="eastAsia"/>
                <w:vertAlign w:val="subscript"/>
              </w:rPr>
              <w:t>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2.85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2.28</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0.57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tcBorders>
              <w:top w:val="single" w:color="auto" w:sz="4" w:space="0"/>
              <w:left w:val="single" w:color="auto" w:sz="4" w:space="0"/>
              <w:right w:val="single" w:color="auto" w:sz="4" w:space="0"/>
            </w:tcBorders>
            <w:shd w:val="clear" w:color="auto" w:fill="auto"/>
            <w:vAlign w:val="center"/>
          </w:tcPr>
          <w:p>
            <w:pPr>
              <w:pStyle w:val="33"/>
            </w:pPr>
            <w:r>
              <w:rPr>
                <w:rFonts w:hint="eastAsia"/>
              </w:rPr>
              <w:t>无组织排放废气</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颗粒物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4.55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2.27</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2.2</w:t>
            </w:r>
            <w:r>
              <w:rPr>
                <w:rFonts w:hint="eastAsia"/>
                <w:kern w:val="0"/>
                <w:sz w:val="21"/>
                <w:szCs w:val="21"/>
                <w:lang w:bidi="ar"/>
              </w:rPr>
              <w:t>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vAlign w:val="center"/>
          </w:tcPr>
          <w:p>
            <w:pPr>
              <w:pStyle w:val="33"/>
            </w:pPr>
            <w:r>
              <w:rPr>
                <w:rFonts w:hint="eastAsia"/>
              </w:rPr>
              <w:t>废水</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废水量</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31217.5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26449.5</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4768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COD</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1.386</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0.42</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0.966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NH</w:t>
            </w:r>
            <w:r>
              <w:rPr>
                <w:rFonts w:hint="eastAsia"/>
                <w:vertAlign w:val="subscript"/>
              </w:rPr>
              <w:t>3</w:t>
            </w:r>
            <w:r>
              <w:rPr>
                <w:rFonts w:hint="eastAsia"/>
              </w:rPr>
              <w:t>-N</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0.078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0.030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0.048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氟化物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0.00138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0.00138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SS</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1.148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0.86</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0.288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B</w:t>
            </w:r>
            <w:r>
              <w:t>OD</w:t>
            </w:r>
            <w:r>
              <w:rPr>
                <w:rFonts w:hint="eastAsia"/>
              </w:rPr>
              <w:t>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0.6988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0.221</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0.4778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石油类</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0.16</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0.1564</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vAlign w:val="center"/>
          </w:tcPr>
          <w:p>
            <w:pPr>
              <w:pStyle w:val="33"/>
            </w:pPr>
            <w:r>
              <w:rPr>
                <w:rFonts w:hint="eastAsia"/>
              </w:rPr>
              <w:t>固废</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危险固废</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5751.432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5751.432</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一般工业固废</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5774.7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5774.7</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生活垃圾</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16.5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16.5</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r>
    </w:tbl>
    <w:p>
      <w:pPr>
        <w:pStyle w:val="31"/>
      </w:pPr>
      <w:r>
        <w:rPr>
          <w:rFonts w:hint="eastAsia"/>
        </w:rPr>
        <w:t>表4.6-2  二期工程污染物排放量总汇表    单位：t/a</w:t>
      </w:r>
    </w:p>
    <w:tbl>
      <w:tblPr>
        <w:tblStyle w:val="27"/>
        <w:tblW w:w="845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100"/>
        <w:gridCol w:w="1965"/>
        <w:gridCol w:w="1477"/>
        <w:gridCol w:w="1477"/>
        <w:gridCol w:w="143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种类</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污染物名称</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产生量</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削减量</w:t>
            </w:r>
          </w:p>
        </w:tc>
        <w:tc>
          <w:tcPr>
            <w:tcW w:w="1435" w:type="dxa"/>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排放量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有组织排放废气</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颗粒物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352.76</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345.70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7.0</w:t>
            </w:r>
            <w:r>
              <w:rPr>
                <w:rFonts w:hint="eastAsia"/>
                <w:kern w:val="0"/>
                <w:sz w:val="21"/>
                <w:szCs w:val="21"/>
                <w:lang w:bidi="ar"/>
              </w:rPr>
              <w:t>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SO</w:t>
            </w:r>
            <w:r>
              <w:rPr>
                <w:rFonts w:hint="eastAsia"/>
                <w:vertAlign w:val="subscript"/>
              </w:rPr>
              <w:t>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2.28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2.28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NOx</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9.0</w:t>
            </w:r>
            <w:r>
              <w:rPr>
                <w:rFonts w:hint="eastAsia"/>
                <w:kern w:val="0"/>
                <w:sz w:val="21"/>
                <w:szCs w:val="21"/>
                <w:lang w:bidi="ar"/>
              </w:rPr>
              <w:t>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9.0</w:t>
            </w:r>
            <w:r>
              <w:rPr>
                <w:rFonts w:hint="eastAsia"/>
                <w:kern w:val="0"/>
                <w:sz w:val="21"/>
                <w:szCs w:val="21"/>
                <w:lang w:bidi="ar"/>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氟化物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0.39</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rFonts w:hint="eastAsia"/>
                <w:kern w:val="0"/>
                <w:sz w:val="21"/>
                <w:szCs w:val="21"/>
                <w:lang w:bidi="ar"/>
              </w:rPr>
              <w:t>0.3861</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pPr>
            <w:r>
              <w:rPr>
                <w:kern w:val="0"/>
                <w:sz w:val="21"/>
                <w:szCs w:val="21"/>
                <w:lang w:bidi="ar"/>
              </w:rPr>
              <w:t>0.0039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无组织排放废气</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颗粒物</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0.173</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pStyle w:val="33"/>
            </w:pPr>
            <w:r>
              <w:rPr>
                <w:rFonts w:hint="eastAsia"/>
              </w:rPr>
              <w:t>0.086</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0.087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SO</w:t>
            </w:r>
            <w:r>
              <w:rPr>
                <w:rFonts w:hint="eastAsia"/>
                <w:vertAlign w:val="subscript"/>
              </w:rPr>
              <w:t>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0.0022</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pStyle w:val="33"/>
            </w:pPr>
            <w:r>
              <w:rPr>
                <w:rFonts w:hint="eastAsia"/>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NOx</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0.026</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pStyle w:val="33"/>
            </w:pPr>
            <w:r>
              <w:rPr>
                <w:rFonts w:hint="eastAsia"/>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vAlign w:val="center"/>
          </w:tcPr>
          <w:p>
            <w:pPr>
              <w:pStyle w:val="33"/>
            </w:pPr>
            <w:r>
              <w:rPr>
                <w:rFonts w:hint="eastAsia"/>
              </w:rPr>
              <w:t>废水</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废水量</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6266.5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4432.5</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1834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COD</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0.5965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0.1188</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0.4777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NH</w:t>
            </w:r>
            <w:r>
              <w:rPr>
                <w:rFonts w:hint="eastAsia"/>
                <w:vertAlign w:val="subscript"/>
              </w:rPr>
              <w:t>3</w:t>
            </w:r>
            <w:r>
              <w:rPr>
                <w:rFonts w:hint="eastAsia"/>
              </w:rPr>
              <w:t>-N</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0.057</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0.033</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0.024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氟化物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0.00022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0.00022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SS</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0.5123</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0.3692</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0.1431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B</w:t>
            </w:r>
            <w:r>
              <w:t>OD</w:t>
            </w:r>
            <w:r>
              <w:rPr>
                <w:rFonts w:hint="eastAsia"/>
              </w:rPr>
              <w:t>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0.3314</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0.0934</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0.238</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vAlign w:val="center"/>
          </w:tcPr>
          <w:p>
            <w:pPr>
              <w:pStyle w:val="33"/>
              <w:rPr>
                <w:color w:val="auto"/>
              </w:rPr>
            </w:pPr>
            <w:r>
              <w:rPr>
                <w:rFonts w:hint="eastAsia"/>
                <w:color w:val="auto"/>
              </w:rPr>
              <w:t>固废</w:t>
            </w: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危险固废</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rPr>
                <w:rFonts w:hint="default" w:eastAsia="宋体"/>
                <w:color w:val="auto"/>
                <w:lang w:val="en-US" w:eastAsia="zh-CN"/>
              </w:rPr>
            </w:pPr>
            <w:r>
              <w:rPr>
                <w:rFonts w:hint="eastAsia"/>
                <w:color w:val="auto"/>
              </w:rPr>
              <w:t>101</w:t>
            </w:r>
            <w:r>
              <w:rPr>
                <w:rFonts w:hint="eastAsia"/>
                <w:color w:val="auto"/>
                <w:lang w:val="en-US" w:eastAsia="zh-CN"/>
              </w:rPr>
              <w:t>5.118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101</w:t>
            </w:r>
            <w:r>
              <w:rPr>
                <w:rFonts w:hint="eastAsia"/>
                <w:color w:val="auto"/>
                <w:lang w:val="en-US" w:eastAsia="zh-CN"/>
              </w:rPr>
              <w:t>5.118</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color w:val="auto"/>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一般工业固废</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1024</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1024</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color w:val="auto"/>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生活垃圾</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8.3</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8.3</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0</w:t>
            </w:r>
          </w:p>
        </w:tc>
      </w:tr>
    </w:tbl>
    <w:p>
      <w:pPr>
        <w:pStyle w:val="31"/>
      </w:pPr>
    </w:p>
    <w:p>
      <w:pPr>
        <w:pStyle w:val="31"/>
      </w:pPr>
      <w:r>
        <w:rPr>
          <w:rFonts w:hint="eastAsia"/>
        </w:rPr>
        <w:t>表4.6-3  两期工程污染物排放量总汇表    单位：</w:t>
      </w:r>
      <w:r>
        <w:t>t/a</w:t>
      </w:r>
    </w:p>
    <w:tbl>
      <w:tblPr>
        <w:tblStyle w:val="27"/>
        <w:tblW w:w="845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100"/>
        <w:gridCol w:w="1965"/>
        <w:gridCol w:w="1477"/>
        <w:gridCol w:w="1477"/>
        <w:gridCol w:w="143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种类</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污染物名称</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产生量</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削减量</w:t>
            </w:r>
          </w:p>
        </w:tc>
        <w:tc>
          <w:tcPr>
            <w:tcW w:w="1435" w:type="dxa"/>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排放量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有组织排放废气</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颗粒物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2519.13</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2467.17</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51.96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SO</w:t>
            </w:r>
            <w:r>
              <w:rPr>
                <w:rFonts w:hint="eastAsia"/>
                <w:vertAlign w:val="subscript"/>
              </w:rPr>
              <w:t>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15.21</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15.21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NOx</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60.341</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60.34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氟化物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2.49</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2.4651</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0.0249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t>HC</w:t>
            </w:r>
            <w:r>
              <w:rPr>
                <w:rFonts w:hint="eastAsia"/>
              </w:rPr>
              <w:t>l</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5.29</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4.23</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1.06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t>C</w:t>
            </w:r>
            <w:r>
              <w:rPr>
                <w:rFonts w:hint="eastAsia"/>
              </w:rPr>
              <w:t>l</w:t>
            </w:r>
            <w:r>
              <w:rPr>
                <w:rFonts w:hint="eastAsia"/>
                <w:vertAlign w:val="subscript"/>
              </w:rPr>
              <w:t>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2.85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2.28</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0.57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无组织排放废气</w:t>
            </w: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颗粒物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4.723</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2.356</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2.367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SO</w:t>
            </w:r>
            <w:r>
              <w:rPr>
                <w:rFonts w:hint="eastAsia"/>
                <w:vertAlign w:val="subscript"/>
              </w:rPr>
              <w:t>2</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0.0022</w:t>
            </w:r>
          </w:p>
        </w:tc>
        <w:tc>
          <w:tcPr>
            <w:tcW w:w="1477" w:type="dxa"/>
            <w:tcBorders>
              <w:top w:val="single" w:color="auto" w:sz="4" w:space="0"/>
              <w:left w:val="single" w:color="auto" w:sz="4" w:space="0"/>
              <w:bottom w:val="single" w:color="auto" w:sz="4" w:space="0"/>
              <w:right w:val="single" w:color="auto" w:sz="4" w:space="0"/>
            </w:tcBorders>
            <w:shd w:val="clear" w:color="auto" w:fill="auto"/>
          </w:tcPr>
          <w:p>
            <w:pPr>
              <w:pStyle w:val="33"/>
            </w:pPr>
            <w: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0.0022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shd w:val="clear" w:color="auto" w:fill="auto"/>
            <w:vAlign w:val="center"/>
          </w:tcPr>
          <w:p>
            <w:pPr>
              <w:pStyle w:val="33"/>
            </w:pPr>
          </w:p>
        </w:tc>
        <w:tc>
          <w:tcPr>
            <w:tcW w:w="0" w:type="auto"/>
            <w:tcBorders>
              <w:top w:val="single" w:color="auto" w:sz="4" w:space="0"/>
              <w:left w:val="single" w:color="auto" w:sz="4" w:space="0"/>
              <w:bottom w:val="single" w:color="auto" w:sz="4" w:space="0"/>
              <w:right w:val="single" w:color="auto" w:sz="4" w:space="0"/>
            </w:tcBorders>
            <w:vAlign w:val="center"/>
          </w:tcPr>
          <w:p>
            <w:pPr>
              <w:pStyle w:val="33"/>
            </w:pPr>
            <w:r>
              <w:rPr>
                <w:rFonts w:hint="eastAsia"/>
              </w:rPr>
              <w:t>NOx</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0.026</w:t>
            </w:r>
          </w:p>
        </w:tc>
        <w:tc>
          <w:tcPr>
            <w:tcW w:w="1477" w:type="dxa"/>
            <w:tcBorders>
              <w:top w:val="single" w:color="auto" w:sz="4" w:space="0"/>
              <w:left w:val="single" w:color="auto" w:sz="4" w:space="0"/>
              <w:bottom w:val="single" w:color="auto" w:sz="4" w:space="0"/>
              <w:right w:val="single" w:color="auto" w:sz="4" w:space="0"/>
            </w:tcBorders>
            <w:shd w:val="clear" w:color="auto" w:fill="auto"/>
          </w:tcPr>
          <w:p>
            <w:pPr>
              <w:pStyle w:val="33"/>
            </w:pPr>
            <w: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0.026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vAlign w:val="center"/>
          </w:tcPr>
          <w:p>
            <w:pPr>
              <w:pStyle w:val="33"/>
              <w:rPr>
                <w:highlight w:val="none"/>
              </w:rPr>
            </w:pPr>
            <w:r>
              <w:rPr>
                <w:rFonts w:hint="eastAsia"/>
                <w:highlight w:val="none"/>
              </w:rPr>
              <w:t>废水</w:t>
            </w: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废水量</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37484</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30882</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6602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highlight w:val="none"/>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COD</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1.98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0.54</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1.44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highlight w:val="none"/>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NH</w:t>
            </w:r>
            <w:r>
              <w:rPr>
                <w:rFonts w:hint="eastAsia"/>
                <w:highlight w:val="none"/>
                <w:vertAlign w:val="subscript"/>
              </w:rPr>
              <w:t>3</w:t>
            </w:r>
            <w:r>
              <w:rPr>
                <w:rFonts w:hint="eastAsia"/>
                <w:highlight w:val="none"/>
              </w:rPr>
              <w:t>-N</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0.135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0.063</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0.072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highlight w:val="none"/>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氟化物</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0.0016</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0.0016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highlight w:val="none"/>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SS</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1.66</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1.23</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0.43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highlight w:val="none"/>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B</w:t>
            </w:r>
            <w:r>
              <w:rPr>
                <w:highlight w:val="none"/>
              </w:rPr>
              <w:t>OD</w:t>
            </w:r>
            <w:r>
              <w:rPr>
                <w:rFonts w:hint="eastAsia"/>
                <w:highlight w:val="none"/>
              </w:rPr>
              <w:t>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1.03</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0.31</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eastAsia"/>
                <w:highlight w:val="none"/>
                <w:lang w:val="en-US" w:eastAsia="zh-CN"/>
              </w:rPr>
              <w:t>0.72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highlight w:val="none"/>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highlight w:val="none"/>
              </w:rPr>
            </w:pPr>
            <w:r>
              <w:rPr>
                <w:rFonts w:hint="eastAsia"/>
                <w:highlight w:val="none"/>
              </w:rPr>
              <w:t>石油类</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highlight w:val="none"/>
              </w:rPr>
            </w:pPr>
            <w:r>
              <w:rPr>
                <w:rFonts w:hint="default"/>
                <w:highlight w:val="none"/>
                <w:lang w:val="en-US" w:eastAsia="zh-CN"/>
              </w:rPr>
              <w:t>0.16</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rFonts w:hint="default"/>
                <w:highlight w:val="none"/>
                <w:lang w:val="en-US"/>
              </w:rPr>
            </w:pPr>
            <w:r>
              <w:rPr>
                <w:rFonts w:hint="default"/>
                <w:highlight w:val="none"/>
                <w:lang w:val="en-US" w:eastAsia="zh-CN"/>
              </w:rPr>
              <w:t>0.15</w:t>
            </w:r>
            <w:r>
              <w:rPr>
                <w:rFonts w:hint="eastAsia"/>
                <w:highlight w:val="none"/>
                <w:lang w:val="en-US" w:eastAsia="zh-CN"/>
              </w:rPr>
              <w:t>64</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bidi w:val="0"/>
              <w:rPr>
                <w:rFonts w:hint="default"/>
                <w:highlight w:val="none"/>
                <w:lang w:val="en-US"/>
              </w:rPr>
            </w:pPr>
            <w:r>
              <w:rPr>
                <w:rFonts w:hint="default"/>
                <w:highlight w:val="none"/>
                <w:lang w:val="en-US" w:eastAsia="zh-CN"/>
              </w:rPr>
              <w:t>0.00</w:t>
            </w:r>
            <w:r>
              <w:rPr>
                <w:rFonts w:hint="eastAsia"/>
                <w:highlight w:val="none"/>
                <w:lang w:val="en-US" w:eastAsia="zh-CN"/>
              </w:rPr>
              <w:t>36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restart"/>
            <w:tcBorders>
              <w:top w:val="single" w:color="auto" w:sz="4" w:space="0"/>
              <w:left w:val="single" w:color="auto" w:sz="4" w:space="0"/>
              <w:right w:val="single" w:color="auto" w:sz="4" w:space="0"/>
            </w:tcBorders>
            <w:vAlign w:val="center"/>
          </w:tcPr>
          <w:p>
            <w:pPr>
              <w:pStyle w:val="33"/>
              <w:rPr>
                <w:color w:val="auto"/>
              </w:rPr>
            </w:pPr>
            <w:r>
              <w:rPr>
                <w:rFonts w:hint="eastAsia"/>
                <w:color w:val="auto"/>
              </w:rPr>
              <w:t>固废</w:t>
            </w: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危险固废</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rFonts w:hint="default" w:eastAsia="宋体"/>
                <w:color w:val="auto"/>
                <w:lang w:val="en-US" w:eastAsia="zh-CN"/>
              </w:rPr>
            </w:pPr>
            <w:r>
              <w:rPr>
                <w:rFonts w:hint="eastAsia"/>
                <w:color w:val="auto"/>
              </w:rPr>
              <w:t>676</w:t>
            </w:r>
            <w:r>
              <w:rPr>
                <w:rFonts w:hint="eastAsia"/>
                <w:color w:val="auto"/>
                <w:lang w:val="en-US" w:eastAsia="zh-CN"/>
              </w:rPr>
              <w:t>6.55</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676</w:t>
            </w:r>
            <w:r>
              <w:rPr>
                <w:rFonts w:hint="eastAsia"/>
                <w:color w:val="auto"/>
                <w:lang w:val="en-US" w:eastAsia="zh-CN"/>
              </w:rPr>
              <w:t>6.55</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color w:val="auto"/>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一般工业固废</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6798.7</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6798.7</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2100" w:type="dxa"/>
            <w:vMerge w:val="continue"/>
            <w:tcBorders>
              <w:left w:val="single" w:color="auto" w:sz="4" w:space="0"/>
              <w:right w:val="single" w:color="auto" w:sz="4" w:space="0"/>
            </w:tcBorders>
            <w:vAlign w:val="center"/>
          </w:tcPr>
          <w:p>
            <w:pPr>
              <w:pStyle w:val="33"/>
              <w:rPr>
                <w:color w:val="auto"/>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生活垃圾</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24.8</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24.8</w:t>
            </w:r>
          </w:p>
        </w:tc>
        <w:tc>
          <w:tcPr>
            <w:tcW w:w="14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3"/>
              <w:rPr>
                <w:color w:val="auto"/>
              </w:rPr>
            </w:pPr>
            <w:r>
              <w:rPr>
                <w:rFonts w:hint="eastAsia"/>
                <w:color w:val="auto"/>
              </w:rPr>
              <w:t>0</w:t>
            </w:r>
          </w:p>
        </w:tc>
      </w:tr>
    </w:tbl>
    <w:p>
      <w:pPr>
        <w:pStyle w:val="5"/>
      </w:pPr>
      <w:bookmarkStart w:id="88" w:name="_Toc16934"/>
      <w:r>
        <w:rPr>
          <w:rFonts w:hint="eastAsia"/>
        </w:rPr>
        <w:t>4.7非正常工况下污染物产生与排放情况</w:t>
      </w:r>
      <w:bookmarkEnd w:id="88"/>
    </w:p>
    <w:p>
      <w:pPr>
        <w:pStyle w:val="8"/>
      </w:pPr>
      <w:r>
        <w:rPr>
          <w:rFonts w:hint="eastAsia"/>
        </w:rPr>
        <w:t>4.7.1非正常工况污染物产生环节</w:t>
      </w:r>
    </w:p>
    <w:p>
      <w:pPr>
        <w:pStyle w:val="7"/>
        <w:ind w:firstLine="480"/>
      </w:pPr>
      <w:r>
        <w:rPr>
          <w:rFonts w:hint="eastAsia"/>
        </w:rPr>
        <w:t>根据工程实际情况，结合国内同类生产装置的运行情况，确定项目非正常工况产生环节为：</w:t>
      </w:r>
    </w:p>
    <w:p>
      <w:pPr>
        <w:pStyle w:val="7"/>
        <w:ind w:firstLine="480"/>
      </w:pPr>
      <w:r>
        <w:rPr>
          <w:rFonts w:hint="eastAsia"/>
        </w:rPr>
        <w:t>①车间或仓库发生火灾、污水泄漏等事故时，事故泄漏污水及事故消防水可能对水环境造成污染。为防止事故污水引发环境污染，在厂区内氯气站设置1座150m</w:t>
      </w:r>
      <w:r>
        <w:rPr>
          <w:rFonts w:hint="eastAsia"/>
          <w:vertAlign w:val="superscript"/>
        </w:rPr>
        <w:t>3</w:t>
      </w:r>
      <w:r>
        <w:rPr>
          <w:rFonts w:hint="eastAsia"/>
        </w:rPr>
        <w:t>的事故水池，确保事故状态下全部污水可自流入事故水池暂存，待事故完全控制后逐步将污水处理达标后外排，以减少对水环境的影响。</w:t>
      </w:r>
    </w:p>
    <w:p>
      <w:pPr>
        <w:pStyle w:val="7"/>
        <w:ind w:firstLine="480"/>
      </w:pPr>
      <w:r>
        <w:rPr>
          <w:rFonts w:hint="eastAsia"/>
        </w:rPr>
        <w:t>②当废气治理设施出现故障时，废气未能达到处理效率，可能出现超标排放。</w:t>
      </w:r>
    </w:p>
    <w:p>
      <w:pPr>
        <w:pStyle w:val="8"/>
      </w:pPr>
      <w:r>
        <w:rPr>
          <w:rFonts w:hint="eastAsia"/>
        </w:rPr>
        <w:t>4.7.2非正常工况下污染物产生与排放情况</w:t>
      </w:r>
    </w:p>
    <w:p>
      <w:pPr>
        <w:spacing w:line="360" w:lineRule="auto"/>
        <w:ind w:firstLine="480"/>
      </w:pPr>
      <w:r>
        <w:rPr>
          <w:rFonts w:hint="eastAsia"/>
        </w:rPr>
        <w:t>本项目所涉及到的非正常情况主要为各废气治理装置发生故障，从而造成废气的不达标排放。假设生产过程中废气治理装置发生故障，在此情况下废气治理措施对废气的处理效率降为50%，则大气污染物的产生及排放情况见表4.7-1、4.7-2。</w:t>
      </w:r>
    </w:p>
    <w:p>
      <w:pPr>
        <w:jc w:val="center"/>
        <w:rPr>
          <w:b/>
          <w:sz w:val="18"/>
          <w:szCs w:val="18"/>
        </w:rPr>
        <w:sectPr>
          <w:pgSz w:w="11906" w:h="16838"/>
          <w:pgMar w:top="1440" w:right="1800" w:bottom="1440" w:left="1800" w:header="851" w:footer="992" w:gutter="0"/>
          <w:cols w:space="425" w:num="1"/>
          <w:docGrid w:type="lines" w:linePitch="312" w:charSpace="0"/>
        </w:sectPr>
      </w:pPr>
    </w:p>
    <w:p>
      <w:pPr>
        <w:pStyle w:val="41"/>
      </w:pPr>
      <w:r>
        <w:rPr>
          <w:rFonts w:hint="eastAsia"/>
          <w:lang w:val="zh-CN"/>
        </w:rPr>
        <w:t>表</w:t>
      </w:r>
      <w:r>
        <w:rPr>
          <w:rFonts w:hint="eastAsia"/>
        </w:rPr>
        <w:t>4.7</w:t>
      </w:r>
      <w:r>
        <w:t xml:space="preserve">-1  </w:t>
      </w:r>
      <w:r>
        <w:rPr>
          <w:rFonts w:hint="eastAsia"/>
        </w:rPr>
        <w:t>一期工程</w:t>
      </w:r>
      <w:r>
        <w:rPr>
          <w:rFonts w:hint="eastAsia"/>
          <w:lang w:val="zh-CN"/>
        </w:rPr>
        <w:t>非正常排放污染物排放量表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9"/>
        <w:gridCol w:w="2056"/>
        <w:gridCol w:w="1138"/>
        <w:gridCol w:w="1509"/>
        <w:gridCol w:w="1302"/>
        <w:gridCol w:w="1124"/>
        <w:gridCol w:w="1495"/>
        <w:gridCol w:w="1075"/>
        <w:gridCol w:w="1075"/>
        <w:gridCol w:w="933"/>
        <w:gridCol w:w="930"/>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restart"/>
            <w:vAlign w:val="center"/>
          </w:tcPr>
          <w:p>
            <w:pPr>
              <w:pStyle w:val="33"/>
              <w:rPr>
                <w:szCs w:val="21"/>
              </w:rPr>
            </w:pPr>
            <w:r>
              <w:rPr>
                <w:rFonts w:hint="eastAsia"/>
                <w:szCs w:val="21"/>
              </w:rPr>
              <w:t>编号</w:t>
            </w:r>
          </w:p>
        </w:tc>
        <w:tc>
          <w:tcPr>
            <w:tcW w:w="725" w:type="pct"/>
            <w:vMerge w:val="restart"/>
            <w:vAlign w:val="center"/>
          </w:tcPr>
          <w:p>
            <w:pPr>
              <w:pStyle w:val="33"/>
              <w:rPr>
                <w:szCs w:val="21"/>
              </w:rPr>
            </w:pPr>
            <w:r>
              <w:rPr>
                <w:rFonts w:hint="eastAsia"/>
                <w:szCs w:val="21"/>
              </w:rPr>
              <w:t>污染源</w:t>
            </w:r>
          </w:p>
          <w:p>
            <w:pPr>
              <w:pStyle w:val="33"/>
              <w:rPr>
                <w:szCs w:val="21"/>
              </w:rPr>
            </w:pPr>
            <w:r>
              <w:rPr>
                <w:rFonts w:hint="eastAsia"/>
                <w:szCs w:val="21"/>
              </w:rPr>
              <w:t>名称</w:t>
            </w:r>
          </w:p>
        </w:tc>
        <w:tc>
          <w:tcPr>
            <w:tcW w:w="401" w:type="pct"/>
            <w:vMerge w:val="restart"/>
            <w:vAlign w:val="center"/>
          </w:tcPr>
          <w:p>
            <w:pPr>
              <w:pStyle w:val="33"/>
              <w:rPr>
                <w:szCs w:val="21"/>
              </w:rPr>
            </w:pPr>
            <w:r>
              <w:rPr>
                <w:rFonts w:hint="eastAsia"/>
                <w:szCs w:val="21"/>
              </w:rPr>
              <w:t>排气量</w:t>
            </w:r>
          </w:p>
          <w:p>
            <w:pPr>
              <w:pStyle w:val="33"/>
              <w:rPr>
                <w:szCs w:val="21"/>
              </w:rPr>
            </w:pPr>
            <w:r>
              <w:rPr>
                <w:szCs w:val="21"/>
              </w:rPr>
              <w:t>m</w:t>
            </w:r>
            <w:r>
              <w:rPr>
                <w:szCs w:val="21"/>
                <w:vertAlign w:val="superscript"/>
              </w:rPr>
              <w:t>3</w:t>
            </w:r>
            <w:r>
              <w:rPr>
                <w:szCs w:val="21"/>
              </w:rPr>
              <w:t>/h</w:t>
            </w:r>
          </w:p>
        </w:tc>
        <w:tc>
          <w:tcPr>
            <w:tcW w:w="532" w:type="pct"/>
            <w:vMerge w:val="restart"/>
            <w:vAlign w:val="center"/>
          </w:tcPr>
          <w:p>
            <w:pPr>
              <w:pStyle w:val="33"/>
              <w:rPr>
                <w:szCs w:val="21"/>
              </w:rPr>
            </w:pPr>
            <w:r>
              <w:rPr>
                <w:rFonts w:hint="eastAsia"/>
                <w:szCs w:val="21"/>
              </w:rPr>
              <w:t>污染物</w:t>
            </w:r>
          </w:p>
          <w:p>
            <w:pPr>
              <w:pStyle w:val="33"/>
              <w:rPr>
                <w:szCs w:val="21"/>
              </w:rPr>
            </w:pPr>
            <w:r>
              <w:rPr>
                <w:rFonts w:hint="eastAsia"/>
                <w:szCs w:val="21"/>
              </w:rPr>
              <w:t>名称</w:t>
            </w:r>
          </w:p>
        </w:tc>
        <w:tc>
          <w:tcPr>
            <w:tcW w:w="855" w:type="pct"/>
            <w:gridSpan w:val="2"/>
            <w:vAlign w:val="center"/>
          </w:tcPr>
          <w:p>
            <w:pPr>
              <w:pStyle w:val="33"/>
              <w:rPr>
                <w:szCs w:val="21"/>
              </w:rPr>
            </w:pPr>
            <w:r>
              <w:rPr>
                <w:rFonts w:hint="eastAsia"/>
                <w:szCs w:val="21"/>
              </w:rPr>
              <w:t>产生情况</w:t>
            </w:r>
          </w:p>
        </w:tc>
        <w:tc>
          <w:tcPr>
            <w:tcW w:w="527" w:type="pct"/>
            <w:vMerge w:val="restart"/>
            <w:vAlign w:val="center"/>
          </w:tcPr>
          <w:p>
            <w:pPr>
              <w:pStyle w:val="33"/>
              <w:rPr>
                <w:szCs w:val="21"/>
              </w:rPr>
            </w:pPr>
            <w:r>
              <w:rPr>
                <w:rFonts w:hint="eastAsia"/>
                <w:szCs w:val="21"/>
              </w:rPr>
              <w:t>发生故障时处理效率（%）</w:t>
            </w:r>
          </w:p>
        </w:tc>
        <w:tc>
          <w:tcPr>
            <w:tcW w:w="758" w:type="pct"/>
            <w:gridSpan w:val="2"/>
            <w:vAlign w:val="center"/>
          </w:tcPr>
          <w:p>
            <w:pPr>
              <w:pStyle w:val="33"/>
              <w:rPr>
                <w:szCs w:val="21"/>
              </w:rPr>
            </w:pPr>
            <w:r>
              <w:rPr>
                <w:rFonts w:hint="eastAsia"/>
                <w:szCs w:val="21"/>
              </w:rPr>
              <w:t>排放情况</w:t>
            </w:r>
          </w:p>
        </w:tc>
        <w:tc>
          <w:tcPr>
            <w:tcW w:w="657" w:type="pct"/>
            <w:gridSpan w:val="2"/>
            <w:vAlign w:val="center"/>
          </w:tcPr>
          <w:p>
            <w:pPr>
              <w:pStyle w:val="33"/>
              <w:rPr>
                <w:szCs w:val="21"/>
              </w:rPr>
            </w:pPr>
            <w:r>
              <w:rPr>
                <w:rFonts w:hint="eastAsia"/>
                <w:szCs w:val="21"/>
              </w:rPr>
              <w:t>排放标准</w:t>
            </w:r>
          </w:p>
        </w:tc>
        <w:tc>
          <w:tcPr>
            <w:tcW w:w="324" w:type="pct"/>
            <w:vMerge w:val="restart"/>
          </w:tcPr>
          <w:p>
            <w:pPr>
              <w:pStyle w:val="33"/>
              <w:rPr>
                <w:szCs w:val="21"/>
              </w:rPr>
            </w:pPr>
            <w:r>
              <w:rPr>
                <w:rFonts w:hint="eastAsia"/>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tcBorders>
              <w:bottom w:val="single" w:color="auto" w:sz="4" w:space="0"/>
            </w:tcBorders>
            <w:vAlign w:val="center"/>
          </w:tcPr>
          <w:p>
            <w:pPr>
              <w:pStyle w:val="33"/>
              <w:rPr>
                <w:szCs w:val="21"/>
              </w:rPr>
            </w:pPr>
          </w:p>
        </w:tc>
        <w:tc>
          <w:tcPr>
            <w:tcW w:w="725" w:type="pct"/>
            <w:vMerge w:val="continue"/>
            <w:tcBorders>
              <w:bottom w:val="single" w:color="auto" w:sz="4" w:space="0"/>
            </w:tcBorders>
            <w:vAlign w:val="center"/>
          </w:tcPr>
          <w:p>
            <w:pPr>
              <w:pStyle w:val="33"/>
              <w:rPr>
                <w:szCs w:val="21"/>
              </w:rPr>
            </w:pPr>
          </w:p>
        </w:tc>
        <w:tc>
          <w:tcPr>
            <w:tcW w:w="401" w:type="pct"/>
            <w:vMerge w:val="continue"/>
            <w:tcBorders>
              <w:bottom w:val="single" w:color="auto" w:sz="4" w:space="0"/>
            </w:tcBorders>
            <w:vAlign w:val="center"/>
          </w:tcPr>
          <w:p>
            <w:pPr>
              <w:pStyle w:val="33"/>
              <w:rPr>
                <w:szCs w:val="21"/>
              </w:rPr>
            </w:pPr>
          </w:p>
        </w:tc>
        <w:tc>
          <w:tcPr>
            <w:tcW w:w="532" w:type="pct"/>
            <w:vMerge w:val="continue"/>
            <w:tcBorders>
              <w:bottom w:val="single" w:color="auto" w:sz="4" w:space="0"/>
            </w:tcBorders>
            <w:vAlign w:val="center"/>
          </w:tcPr>
          <w:p>
            <w:pPr>
              <w:pStyle w:val="33"/>
              <w:rPr>
                <w:szCs w:val="21"/>
              </w:rPr>
            </w:pPr>
          </w:p>
        </w:tc>
        <w:tc>
          <w:tcPr>
            <w:tcW w:w="459" w:type="pct"/>
            <w:tcBorders>
              <w:bottom w:val="single" w:color="auto" w:sz="4" w:space="0"/>
            </w:tcBorders>
            <w:vAlign w:val="center"/>
          </w:tcPr>
          <w:p>
            <w:pPr>
              <w:pStyle w:val="33"/>
              <w:rPr>
                <w:szCs w:val="21"/>
              </w:rPr>
            </w:pPr>
            <w:r>
              <w:rPr>
                <w:rFonts w:hint="eastAsia"/>
                <w:szCs w:val="21"/>
              </w:rPr>
              <w:t>mg/m</w:t>
            </w:r>
            <w:r>
              <w:rPr>
                <w:rFonts w:hint="eastAsia"/>
                <w:szCs w:val="21"/>
                <w:vertAlign w:val="superscript"/>
              </w:rPr>
              <w:t>3</w:t>
            </w:r>
          </w:p>
        </w:tc>
        <w:tc>
          <w:tcPr>
            <w:tcW w:w="396" w:type="pct"/>
            <w:tcBorders>
              <w:bottom w:val="single" w:color="auto" w:sz="4" w:space="0"/>
            </w:tcBorders>
            <w:vAlign w:val="center"/>
          </w:tcPr>
          <w:p>
            <w:pPr>
              <w:pStyle w:val="33"/>
              <w:rPr>
                <w:szCs w:val="21"/>
              </w:rPr>
            </w:pPr>
            <w:r>
              <w:rPr>
                <w:rFonts w:hint="eastAsia"/>
                <w:szCs w:val="21"/>
              </w:rPr>
              <w:t>kg/h</w:t>
            </w:r>
          </w:p>
        </w:tc>
        <w:tc>
          <w:tcPr>
            <w:tcW w:w="527" w:type="pct"/>
            <w:vMerge w:val="continue"/>
            <w:tcBorders>
              <w:bottom w:val="single" w:color="auto" w:sz="4" w:space="0"/>
            </w:tcBorders>
            <w:vAlign w:val="center"/>
          </w:tcPr>
          <w:p>
            <w:pPr>
              <w:pStyle w:val="33"/>
              <w:rPr>
                <w:szCs w:val="21"/>
              </w:rPr>
            </w:pPr>
          </w:p>
        </w:tc>
        <w:tc>
          <w:tcPr>
            <w:tcW w:w="379" w:type="pct"/>
            <w:tcBorders>
              <w:bottom w:val="single" w:color="auto" w:sz="4" w:space="0"/>
            </w:tcBorders>
            <w:vAlign w:val="center"/>
          </w:tcPr>
          <w:p>
            <w:pPr>
              <w:pStyle w:val="33"/>
              <w:rPr>
                <w:szCs w:val="21"/>
              </w:rPr>
            </w:pPr>
            <w:r>
              <w:rPr>
                <w:rFonts w:hint="eastAsia"/>
                <w:szCs w:val="21"/>
              </w:rPr>
              <w:t>mg/m</w:t>
            </w:r>
            <w:r>
              <w:rPr>
                <w:rFonts w:hint="eastAsia"/>
                <w:szCs w:val="21"/>
                <w:vertAlign w:val="superscript"/>
              </w:rPr>
              <w:t>3</w:t>
            </w:r>
          </w:p>
        </w:tc>
        <w:tc>
          <w:tcPr>
            <w:tcW w:w="378" w:type="pct"/>
            <w:tcBorders>
              <w:bottom w:val="single" w:color="auto" w:sz="4" w:space="0"/>
            </w:tcBorders>
            <w:vAlign w:val="center"/>
          </w:tcPr>
          <w:p>
            <w:pPr>
              <w:pStyle w:val="33"/>
              <w:rPr>
                <w:szCs w:val="21"/>
              </w:rPr>
            </w:pPr>
            <w:r>
              <w:rPr>
                <w:rFonts w:hint="eastAsia"/>
                <w:szCs w:val="21"/>
              </w:rPr>
              <w:t>kg/h</w:t>
            </w:r>
          </w:p>
        </w:tc>
        <w:tc>
          <w:tcPr>
            <w:tcW w:w="329" w:type="pct"/>
            <w:tcBorders>
              <w:bottom w:val="single" w:color="auto" w:sz="4" w:space="0"/>
            </w:tcBorders>
            <w:vAlign w:val="center"/>
          </w:tcPr>
          <w:p>
            <w:pPr>
              <w:pStyle w:val="33"/>
              <w:rPr>
                <w:szCs w:val="21"/>
              </w:rPr>
            </w:pPr>
            <w:r>
              <w:rPr>
                <w:rFonts w:hint="eastAsia"/>
                <w:szCs w:val="21"/>
              </w:rPr>
              <w:t>mg/m</w:t>
            </w:r>
            <w:r>
              <w:rPr>
                <w:rFonts w:hint="eastAsia"/>
                <w:szCs w:val="21"/>
                <w:vertAlign w:val="superscript"/>
              </w:rPr>
              <w:t>3</w:t>
            </w:r>
          </w:p>
        </w:tc>
        <w:tc>
          <w:tcPr>
            <w:tcW w:w="328" w:type="pct"/>
            <w:tcBorders>
              <w:bottom w:val="single" w:color="auto" w:sz="4" w:space="0"/>
            </w:tcBorders>
            <w:vAlign w:val="center"/>
          </w:tcPr>
          <w:p>
            <w:pPr>
              <w:pStyle w:val="33"/>
              <w:rPr>
                <w:szCs w:val="21"/>
              </w:rPr>
            </w:pPr>
            <w:r>
              <w:rPr>
                <w:rFonts w:hint="eastAsia"/>
                <w:szCs w:val="21"/>
              </w:rPr>
              <w:t>kg/h</w:t>
            </w:r>
          </w:p>
        </w:tc>
        <w:tc>
          <w:tcPr>
            <w:tcW w:w="324" w:type="pct"/>
            <w:vMerge w:val="continue"/>
            <w:tcBorders>
              <w:bottom w:val="single" w:color="auto" w:sz="4" w:space="0"/>
            </w:tcBorders>
          </w:tcPr>
          <w:p>
            <w:pPr>
              <w:pStyle w:val="33"/>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restart"/>
            <w:vAlign w:val="center"/>
          </w:tcPr>
          <w:p>
            <w:pPr>
              <w:pStyle w:val="33"/>
              <w:rPr>
                <w:szCs w:val="21"/>
              </w:rPr>
            </w:pPr>
            <w:r>
              <w:rPr>
                <w:szCs w:val="21"/>
              </w:rPr>
              <w:t>P</w:t>
            </w:r>
            <w:r>
              <w:rPr>
                <w:rFonts w:hint="eastAsia"/>
                <w:szCs w:val="21"/>
              </w:rPr>
              <w:t>1-1</w:t>
            </w:r>
          </w:p>
        </w:tc>
        <w:tc>
          <w:tcPr>
            <w:tcW w:w="725" w:type="pct"/>
            <w:vMerge w:val="restart"/>
            <w:vAlign w:val="center"/>
          </w:tcPr>
          <w:p>
            <w:pPr>
              <w:widowControl/>
              <w:jc w:val="center"/>
              <w:rPr>
                <w:sz w:val="21"/>
                <w:szCs w:val="21"/>
              </w:rPr>
            </w:pPr>
            <w:r>
              <w:rPr>
                <w:rFonts w:hint="eastAsia"/>
                <w:sz w:val="21"/>
                <w:szCs w:val="21"/>
              </w:rPr>
              <w:t>燃烧废气G1-1</w:t>
            </w:r>
          </w:p>
          <w:p>
            <w:pPr>
              <w:widowControl/>
              <w:jc w:val="center"/>
              <w:rPr>
                <w:sz w:val="21"/>
                <w:szCs w:val="21"/>
              </w:rPr>
            </w:pPr>
            <w:r>
              <w:rPr>
                <w:rFonts w:hint="eastAsia"/>
                <w:sz w:val="21"/>
                <w:szCs w:val="21"/>
              </w:rPr>
              <w:t>精炼废气G1-2</w:t>
            </w:r>
          </w:p>
          <w:p>
            <w:pPr>
              <w:pStyle w:val="33"/>
              <w:rPr>
                <w:szCs w:val="21"/>
              </w:rPr>
            </w:pPr>
            <w:r>
              <w:rPr>
                <w:rFonts w:hint="eastAsia"/>
                <w:szCs w:val="21"/>
              </w:rPr>
              <w:t>扒渣废气G1-3</w:t>
            </w:r>
          </w:p>
        </w:tc>
        <w:tc>
          <w:tcPr>
            <w:tcW w:w="401" w:type="pct"/>
            <w:vMerge w:val="restart"/>
            <w:vAlign w:val="center"/>
          </w:tcPr>
          <w:p>
            <w:pPr>
              <w:pStyle w:val="33"/>
              <w:rPr>
                <w:szCs w:val="21"/>
              </w:rPr>
            </w:pPr>
            <w:r>
              <w:rPr>
                <w:rFonts w:hint="eastAsia"/>
                <w:szCs w:val="21"/>
              </w:rPr>
              <w:t>1</w:t>
            </w:r>
            <w:r>
              <w:rPr>
                <w:rFonts w:hint="eastAsia"/>
                <w:szCs w:val="21"/>
                <w:lang w:val="en-US" w:eastAsia="zh-CN"/>
              </w:rPr>
              <w:t>3</w:t>
            </w:r>
            <w:r>
              <w:rPr>
                <w:rFonts w:hint="eastAsia"/>
                <w:szCs w:val="21"/>
              </w:rPr>
              <w:t>0000</w:t>
            </w:r>
          </w:p>
        </w:tc>
        <w:tc>
          <w:tcPr>
            <w:tcW w:w="532" w:type="pct"/>
            <w:tcBorders>
              <w:bottom w:val="single" w:color="auto" w:sz="4" w:space="0"/>
            </w:tcBorders>
            <w:vAlign w:val="center"/>
          </w:tcPr>
          <w:p>
            <w:pPr>
              <w:widowControl/>
              <w:jc w:val="center"/>
              <w:rPr>
                <w:sz w:val="21"/>
                <w:szCs w:val="21"/>
              </w:rPr>
            </w:pPr>
            <w:r>
              <w:rPr>
                <w:rFonts w:hint="eastAsia"/>
                <w:sz w:val="21"/>
                <w:szCs w:val="21"/>
              </w:rPr>
              <w:t>颗粒物</w:t>
            </w:r>
          </w:p>
        </w:tc>
        <w:tc>
          <w:tcPr>
            <w:tcW w:w="1302" w:type="dxa"/>
            <w:tcBorders>
              <w:bottom w:val="single" w:color="auto" w:sz="4" w:space="0"/>
            </w:tcBorders>
            <w:vAlign w:val="center"/>
          </w:tcPr>
          <w:p>
            <w:pPr>
              <w:pStyle w:val="33"/>
            </w:pPr>
            <w:r>
              <w:t>4616.34</w:t>
            </w:r>
          </w:p>
        </w:tc>
        <w:tc>
          <w:tcPr>
            <w:tcW w:w="1123" w:type="dxa"/>
            <w:tcBorders>
              <w:bottom w:val="single" w:color="auto" w:sz="4" w:space="0"/>
            </w:tcBorders>
            <w:vAlign w:val="center"/>
          </w:tcPr>
          <w:p>
            <w:pPr>
              <w:pStyle w:val="33"/>
            </w:pPr>
            <w:r>
              <w:t>600.12</w:t>
            </w:r>
          </w:p>
        </w:tc>
        <w:tc>
          <w:tcPr>
            <w:tcW w:w="527" w:type="pct"/>
            <w:tcBorders>
              <w:bottom w:val="single" w:color="auto" w:sz="4" w:space="0"/>
            </w:tcBorders>
            <w:vAlign w:val="center"/>
          </w:tcPr>
          <w:p>
            <w:pPr>
              <w:pStyle w:val="33"/>
              <w:rPr>
                <w:szCs w:val="21"/>
              </w:rPr>
            </w:pPr>
            <w:r>
              <w:rPr>
                <w:rFonts w:hint="eastAsia"/>
                <w:szCs w:val="21"/>
              </w:rPr>
              <w:t>50</w:t>
            </w:r>
          </w:p>
        </w:tc>
        <w:tc>
          <w:tcPr>
            <w:tcW w:w="1077" w:type="dxa"/>
            <w:tcBorders>
              <w:bottom w:val="single" w:color="auto" w:sz="4" w:space="0"/>
            </w:tcBorders>
            <w:vAlign w:val="center"/>
          </w:tcPr>
          <w:p>
            <w:pPr>
              <w:widowControl/>
              <w:jc w:val="right"/>
              <w:textAlignment w:val="center"/>
            </w:pPr>
            <w:r>
              <w:rPr>
                <w:kern w:val="0"/>
                <w:sz w:val="21"/>
                <w:szCs w:val="21"/>
                <w:lang w:bidi="ar"/>
              </w:rPr>
              <w:t>2308.17</w:t>
            </w:r>
          </w:p>
        </w:tc>
        <w:tc>
          <w:tcPr>
            <w:tcW w:w="1072" w:type="dxa"/>
            <w:tcBorders>
              <w:bottom w:val="single" w:color="auto" w:sz="4" w:space="0"/>
            </w:tcBorders>
            <w:vAlign w:val="center"/>
          </w:tcPr>
          <w:p>
            <w:pPr>
              <w:widowControl/>
              <w:jc w:val="center"/>
              <w:textAlignment w:val="center"/>
            </w:pPr>
            <w:r>
              <w:rPr>
                <w:kern w:val="0"/>
                <w:sz w:val="21"/>
                <w:szCs w:val="21"/>
                <w:lang w:bidi="ar"/>
              </w:rPr>
              <w:t>300.06</w:t>
            </w:r>
          </w:p>
        </w:tc>
        <w:tc>
          <w:tcPr>
            <w:tcW w:w="933" w:type="dxa"/>
            <w:tcBorders>
              <w:bottom w:val="single" w:color="auto" w:sz="4" w:space="0"/>
            </w:tcBorders>
            <w:vAlign w:val="center"/>
          </w:tcPr>
          <w:p>
            <w:pPr>
              <w:pStyle w:val="33"/>
            </w:pPr>
            <w:r>
              <w:rPr>
                <w:rFonts w:hint="eastAsia"/>
              </w:rPr>
              <w:t>100</w:t>
            </w:r>
          </w:p>
        </w:tc>
        <w:tc>
          <w:tcPr>
            <w:tcW w:w="930" w:type="dxa"/>
            <w:tcBorders>
              <w:bottom w:val="single" w:color="auto" w:sz="4" w:space="0"/>
            </w:tcBorders>
            <w:vAlign w:val="center"/>
          </w:tcPr>
          <w:p>
            <w:pPr>
              <w:pStyle w:val="33"/>
            </w:pPr>
            <w:r>
              <w:rPr>
                <w:rFonts w:hint="eastAsia"/>
              </w:rPr>
              <w:t>31</w:t>
            </w:r>
          </w:p>
        </w:tc>
        <w:tc>
          <w:tcPr>
            <w:tcW w:w="324" w:type="pct"/>
            <w:tcBorders>
              <w:bottom w:val="single" w:color="auto" w:sz="4" w:space="0"/>
            </w:tcBorders>
            <w:vAlign w:val="center"/>
          </w:tcPr>
          <w:p>
            <w:pPr>
              <w:pStyle w:val="33"/>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rPr>
                <w:szCs w:val="21"/>
              </w:rPr>
            </w:pPr>
          </w:p>
        </w:tc>
        <w:tc>
          <w:tcPr>
            <w:tcW w:w="725" w:type="pct"/>
            <w:vMerge w:val="continue"/>
            <w:vAlign w:val="center"/>
          </w:tcPr>
          <w:p>
            <w:pPr>
              <w:pStyle w:val="33"/>
              <w:rPr>
                <w:szCs w:val="21"/>
              </w:rPr>
            </w:pPr>
          </w:p>
        </w:tc>
        <w:tc>
          <w:tcPr>
            <w:tcW w:w="401" w:type="pct"/>
            <w:vMerge w:val="continue"/>
            <w:vAlign w:val="center"/>
          </w:tcPr>
          <w:p>
            <w:pPr>
              <w:pStyle w:val="33"/>
              <w:rPr>
                <w:szCs w:val="21"/>
              </w:rPr>
            </w:pPr>
          </w:p>
        </w:tc>
        <w:tc>
          <w:tcPr>
            <w:tcW w:w="532" w:type="pct"/>
            <w:vAlign w:val="center"/>
          </w:tcPr>
          <w:p>
            <w:pPr>
              <w:widowControl/>
              <w:jc w:val="center"/>
              <w:rPr>
                <w:sz w:val="21"/>
                <w:szCs w:val="21"/>
              </w:rPr>
            </w:pPr>
            <w:r>
              <w:rPr>
                <w:rFonts w:hint="eastAsia"/>
                <w:sz w:val="21"/>
                <w:szCs w:val="21"/>
              </w:rPr>
              <w:t>SO</w:t>
            </w:r>
            <w:r>
              <w:rPr>
                <w:rFonts w:hint="eastAsia"/>
                <w:sz w:val="21"/>
                <w:szCs w:val="21"/>
                <w:vertAlign w:val="subscript"/>
              </w:rPr>
              <w:t>2</w:t>
            </w:r>
          </w:p>
        </w:tc>
        <w:tc>
          <w:tcPr>
            <w:tcW w:w="1302" w:type="dxa"/>
            <w:vAlign w:val="center"/>
          </w:tcPr>
          <w:p>
            <w:pPr>
              <w:pStyle w:val="33"/>
            </w:pPr>
            <w:r>
              <w:t>9.85</w:t>
            </w:r>
          </w:p>
        </w:tc>
        <w:tc>
          <w:tcPr>
            <w:tcW w:w="1123" w:type="dxa"/>
            <w:vAlign w:val="center"/>
          </w:tcPr>
          <w:p>
            <w:pPr>
              <w:pStyle w:val="33"/>
            </w:pPr>
            <w:r>
              <w:t>1.28</w:t>
            </w:r>
          </w:p>
        </w:tc>
        <w:tc>
          <w:tcPr>
            <w:tcW w:w="527" w:type="pct"/>
          </w:tcPr>
          <w:p>
            <w:pPr>
              <w:pStyle w:val="33"/>
              <w:rPr>
                <w:szCs w:val="21"/>
              </w:rPr>
            </w:pPr>
            <w:r>
              <w:rPr>
                <w:rFonts w:hint="eastAsia"/>
                <w:szCs w:val="21"/>
              </w:rPr>
              <w:t>0</w:t>
            </w:r>
          </w:p>
        </w:tc>
        <w:tc>
          <w:tcPr>
            <w:tcW w:w="1077" w:type="dxa"/>
            <w:vAlign w:val="center"/>
          </w:tcPr>
          <w:p>
            <w:pPr>
              <w:pStyle w:val="33"/>
            </w:pPr>
            <w:r>
              <w:t>10.67</w:t>
            </w:r>
          </w:p>
        </w:tc>
        <w:tc>
          <w:tcPr>
            <w:tcW w:w="1072" w:type="dxa"/>
            <w:vAlign w:val="center"/>
          </w:tcPr>
          <w:p>
            <w:pPr>
              <w:pStyle w:val="33"/>
            </w:pPr>
            <w:r>
              <w:t>1.28</w:t>
            </w:r>
          </w:p>
        </w:tc>
        <w:tc>
          <w:tcPr>
            <w:tcW w:w="933" w:type="dxa"/>
            <w:vAlign w:val="center"/>
          </w:tcPr>
          <w:p>
            <w:pPr>
              <w:pStyle w:val="33"/>
            </w:pPr>
            <w:r>
              <w:rPr>
                <w:rFonts w:hint="eastAsia"/>
              </w:rPr>
              <w:t>550</w:t>
            </w:r>
          </w:p>
        </w:tc>
        <w:tc>
          <w:tcPr>
            <w:tcW w:w="930" w:type="dxa"/>
            <w:vAlign w:val="center"/>
          </w:tcPr>
          <w:p>
            <w:pPr>
              <w:pStyle w:val="33"/>
            </w:pPr>
            <w:r>
              <w:rPr>
                <w:rFonts w:hint="eastAsia"/>
              </w:rPr>
              <w:t>20</w:t>
            </w:r>
          </w:p>
        </w:tc>
        <w:tc>
          <w:tcPr>
            <w:tcW w:w="324"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rPr>
                <w:szCs w:val="21"/>
              </w:rPr>
            </w:pPr>
          </w:p>
        </w:tc>
        <w:tc>
          <w:tcPr>
            <w:tcW w:w="725" w:type="pct"/>
            <w:vMerge w:val="continue"/>
            <w:vAlign w:val="center"/>
          </w:tcPr>
          <w:p>
            <w:pPr>
              <w:pStyle w:val="33"/>
              <w:rPr>
                <w:szCs w:val="21"/>
              </w:rPr>
            </w:pPr>
          </w:p>
        </w:tc>
        <w:tc>
          <w:tcPr>
            <w:tcW w:w="401" w:type="pct"/>
            <w:vMerge w:val="continue"/>
            <w:vAlign w:val="center"/>
          </w:tcPr>
          <w:p>
            <w:pPr>
              <w:pStyle w:val="33"/>
              <w:rPr>
                <w:szCs w:val="21"/>
              </w:rPr>
            </w:pPr>
          </w:p>
        </w:tc>
        <w:tc>
          <w:tcPr>
            <w:tcW w:w="532" w:type="pct"/>
            <w:vAlign w:val="center"/>
          </w:tcPr>
          <w:p>
            <w:pPr>
              <w:widowControl/>
              <w:jc w:val="center"/>
              <w:rPr>
                <w:sz w:val="21"/>
                <w:szCs w:val="21"/>
              </w:rPr>
            </w:pPr>
            <w:r>
              <w:rPr>
                <w:rFonts w:hint="eastAsia"/>
                <w:sz w:val="21"/>
                <w:szCs w:val="21"/>
              </w:rPr>
              <w:t>NO</w:t>
            </w:r>
            <w:r>
              <w:rPr>
                <w:rFonts w:hint="eastAsia"/>
                <w:sz w:val="21"/>
                <w:szCs w:val="21"/>
                <w:vertAlign w:val="subscript"/>
              </w:rPr>
              <w:t>x</w:t>
            </w:r>
          </w:p>
        </w:tc>
        <w:tc>
          <w:tcPr>
            <w:tcW w:w="1302" w:type="dxa"/>
            <w:vAlign w:val="center"/>
          </w:tcPr>
          <w:p>
            <w:pPr>
              <w:pStyle w:val="33"/>
            </w:pPr>
            <w:r>
              <w:t>39.06</w:t>
            </w:r>
          </w:p>
        </w:tc>
        <w:tc>
          <w:tcPr>
            <w:tcW w:w="1123" w:type="dxa"/>
            <w:vAlign w:val="center"/>
          </w:tcPr>
          <w:p>
            <w:pPr>
              <w:pStyle w:val="33"/>
            </w:pPr>
            <w:r>
              <w:t>5.08</w:t>
            </w:r>
          </w:p>
        </w:tc>
        <w:tc>
          <w:tcPr>
            <w:tcW w:w="527" w:type="pct"/>
          </w:tcPr>
          <w:p>
            <w:pPr>
              <w:pStyle w:val="33"/>
              <w:rPr>
                <w:szCs w:val="21"/>
              </w:rPr>
            </w:pPr>
            <w:r>
              <w:rPr>
                <w:rFonts w:hint="eastAsia"/>
                <w:szCs w:val="21"/>
              </w:rPr>
              <w:t>0</w:t>
            </w:r>
          </w:p>
        </w:tc>
        <w:tc>
          <w:tcPr>
            <w:tcW w:w="1077" w:type="dxa"/>
            <w:vAlign w:val="center"/>
          </w:tcPr>
          <w:p>
            <w:pPr>
              <w:pStyle w:val="33"/>
            </w:pPr>
            <w:r>
              <w:t>42.32</w:t>
            </w:r>
          </w:p>
        </w:tc>
        <w:tc>
          <w:tcPr>
            <w:tcW w:w="1072" w:type="dxa"/>
            <w:vAlign w:val="center"/>
          </w:tcPr>
          <w:p>
            <w:pPr>
              <w:pStyle w:val="33"/>
            </w:pPr>
            <w:r>
              <w:t>5.08</w:t>
            </w:r>
          </w:p>
        </w:tc>
        <w:tc>
          <w:tcPr>
            <w:tcW w:w="933" w:type="dxa"/>
            <w:vAlign w:val="center"/>
          </w:tcPr>
          <w:p>
            <w:pPr>
              <w:pStyle w:val="33"/>
            </w:pPr>
            <w:r>
              <w:rPr>
                <w:rFonts w:hint="eastAsia"/>
              </w:rPr>
              <w:t>240</w:t>
            </w:r>
          </w:p>
        </w:tc>
        <w:tc>
          <w:tcPr>
            <w:tcW w:w="930" w:type="dxa"/>
            <w:vAlign w:val="center"/>
          </w:tcPr>
          <w:p>
            <w:pPr>
              <w:pStyle w:val="33"/>
            </w:pPr>
            <w:r>
              <w:rPr>
                <w:rFonts w:hint="eastAsia"/>
              </w:rPr>
              <w:t>5.95</w:t>
            </w:r>
          </w:p>
        </w:tc>
        <w:tc>
          <w:tcPr>
            <w:tcW w:w="324"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rPr>
                <w:szCs w:val="21"/>
              </w:rPr>
            </w:pPr>
          </w:p>
        </w:tc>
        <w:tc>
          <w:tcPr>
            <w:tcW w:w="725" w:type="pct"/>
            <w:vMerge w:val="continue"/>
            <w:vAlign w:val="center"/>
          </w:tcPr>
          <w:p>
            <w:pPr>
              <w:pStyle w:val="33"/>
              <w:rPr>
                <w:szCs w:val="21"/>
              </w:rPr>
            </w:pPr>
          </w:p>
        </w:tc>
        <w:tc>
          <w:tcPr>
            <w:tcW w:w="401" w:type="pct"/>
            <w:vMerge w:val="continue"/>
            <w:vAlign w:val="center"/>
          </w:tcPr>
          <w:p>
            <w:pPr>
              <w:pStyle w:val="33"/>
              <w:rPr>
                <w:szCs w:val="21"/>
              </w:rPr>
            </w:pPr>
          </w:p>
        </w:tc>
        <w:tc>
          <w:tcPr>
            <w:tcW w:w="532" w:type="pct"/>
            <w:vAlign w:val="center"/>
          </w:tcPr>
          <w:p>
            <w:pPr>
              <w:widowControl/>
              <w:jc w:val="center"/>
              <w:rPr>
                <w:sz w:val="21"/>
                <w:szCs w:val="21"/>
              </w:rPr>
            </w:pPr>
            <w:r>
              <w:rPr>
                <w:rFonts w:hint="eastAsia"/>
                <w:sz w:val="21"/>
                <w:szCs w:val="21"/>
              </w:rPr>
              <w:t>氟化物</w:t>
            </w:r>
          </w:p>
        </w:tc>
        <w:tc>
          <w:tcPr>
            <w:tcW w:w="1302" w:type="dxa"/>
            <w:vAlign w:val="center"/>
          </w:tcPr>
          <w:p>
            <w:pPr>
              <w:pStyle w:val="33"/>
            </w:pPr>
            <w:r>
              <w:t>3.27</w:t>
            </w:r>
          </w:p>
        </w:tc>
        <w:tc>
          <w:tcPr>
            <w:tcW w:w="1123" w:type="dxa"/>
            <w:vAlign w:val="center"/>
          </w:tcPr>
          <w:p>
            <w:pPr>
              <w:pStyle w:val="33"/>
            </w:pPr>
            <w:r>
              <w:t>0.42</w:t>
            </w:r>
          </w:p>
        </w:tc>
        <w:tc>
          <w:tcPr>
            <w:tcW w:w="527" w:type="pct"/>
          </w:tcPr>
          <w:p>
            <w:pPr>
              <w:pStyle w:val="33"/>
              <w:rPr>
                <w:szCs w:val="21"/>
              </w:rPr>
            </w:pPr>
            <w:r>
              <w:rPr>
                <w:rFonts w:hint="eastAsia"/>
                <w:szCs w:val="21"/>
              </w:rPr>
              <w:t>50</w:t>
            </w:r>
          </w:p>
        </w:tc>
        <w:tc>
          <w:tcPr>
            <w:tcW w:w="1077" w:type="dxa"/>
            <w:vAlign w:val="center"/>
          </w:tcPr>
          <w:p>
            <w:pPr>
              <w:widowControl/>
              <w:jc w:val="center"/>
              <w:textAlignment w:val="center"/>
            </w:pPr>
            <w:r>
              <w:rPr>
                <w:kern w:val="0"/>
                <w:sz w:val="21"/>
                <w:szCs w:val="21"/>
                <w:lang w:bidi="ar"/>
              </w:rPr>
              <w:t>1.77</w:t>
            </w:r>
          </w:p>
        </w:tc>
        <w:tc>
          <w:tcPr>
            <w:tcW w:w="1072" w:type="dxa"/>
            <w:vAlign w:val="center"/>
          </w:tcPr>
          <w:p>
            <w:pPr>
              <w:widowControl/>
              <w:jc w:val="center"/>
              <w:textAlignment w:val="center"/>
            </w:pPr>
            <w:r>
              <w:rPr>
                <w:kern w:val="0"/>
                <w:sz w:val="21"/>
                <w:szCs w:val="21"/>
                <w:lang w:bidi="ar"/>
              </w:rPr>
              <w:t>0.21</w:t>
            </w:r>
          </w:p>
        </w:tc>
        <w:tc>
          <w:tcPr>
            <w:tcW w:w="933" w:type="dxa"/>
            <w:vAlign w:val="center"/>
          </w:tcPr>
          <w:p>
            <w:pPr>
              <w:pStyle w:val="33"/>
            </w:pPr>
            <w:r>
              <w:rPr>
                <w:rFonts w:hint="eastAsia"/>
              </w:rPr>
              <w:t>6</w:t>
            </w:r>
          </w:p>
        </w:tc>
        <w:tc>
          <w:tcPr>
            <w:tcW w:w="930" w:type="dxa"/>
            <w:vAlign w:val="center"/>
          </w:tcPr>
          <w:p>
            <w:pPr>
              <w:pStyle w:val="33"/>
            </w:pPr>
            <w:r>
              <w:rPr>
                <w:rFonts w:hint="eastAsia"/>
              </w:rPr>
              <w:t>0.795</w:t>
            </w:r>
          </w:p>
        </w:tc>
        <w:tc>
          <w:tcPr>
            <w:tcW w:w="324"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rPr>
                <w:szCs w:val="21"/>
              </w:rPr>
            </w:pPr>
          </w:p>
        </w:tc>
        <w:tc>
          <w:tcPr>
            <w:tcW w:w="725" w:type="pct"/>
            <w:vMerge w:val="continue"/>
            <w:vAlign w:val="center"/>
          </w:tcPr>
          <w:p>
            <w:pPr>
              <w:pStyle w:val="33"/>
              <w:rPr>
                <w:szCs w:val="21"/>
              </w:rPr>
            </w:pPr>
          </w:p>
        </w:tc>
        <w:tc>
          <w:tcPr>
            <w:tcW w:w="401" w:type="pct"/>
            <w:vMerge w:val="continue"/>
            <w:vAlign w:val="center"/>
          </w:tcPr>
          <w:p>
            <w:pPr>
              <w:pStyle w:val="33"/>
              <w:rPr>
                <w:szCs w:val="21"/>
              </w:rPr>
            </w:pPr>
          </w:p>
        </w:tc>
        <w:tc>
          <w:tcPr>
            <w:tcW w:w="532" w:type="pct"/>
            <w:vAlign w:val="center"/>
          </w:tcPr>
          <w:p>
            <w:pPr>
              <w:widowControl/>
              <w:jc w:val="center"/>
              <w:rPr>
                <w:sz w:val="21"/>
                <w:szCs w:val="21"/>
              </w:rPr>
            </w:pPr>
            <w:r>
              <w:rPr>
                <w:rFonts w:hint="eastAsia"/>
                <w:sz w:val="21"/>
                <w:szCs w:val="21"/>
              </w:rPr>
              <w:t>H</w:t>
            </w:r>
            <w:r>
              <w:rPr>
                <w:sz w:val="21"/>
                <w:szCs w:val="21"/>
              </w:rPr>
              <w:t>C</w:t>
            </w:r>
            <w:r>
              <w:rPr>
                <w:rFonts w:hint="eastAsia"/>
                <w:sz w:val="21"/>
                <w:szCs w:val="21"/>
              </w:rPr>
              <w:t>l</w:t>
            </w:r>
          </w:p>
        </w:tc>
        <w:tc>
          <w:tcPr>
            <w:tcW w:w="1302" w:type="dxa"/>
            <w:vAlign w:val="center"/>
          </w:tcPr>
          <w:p>
            <w:pPr>
              <w:pStyle w:val="33"/>
            </w:pPr>
            <w:r>
              <w:t>8.22</w:t>
            </w:r>
          </w:p>
        </w:tc>
        <w:tc>
          <w:tcPr>
            <w:tcW w:w="1123" w:type="dxa"/>
            <w:vAlign w:val="center"/>
          </w:tcPr>
          <w:p>
            <w:pPr>
              <w:pStyle w:val="33"/>
            </w:pPr>
            <w:r>
              <w:t>1.07</w:t>
            </w:r>
          </w:p>
        </w:tc>
        <w:tc>
          <w:tcPr>
            <w:tcW w:w="527" w:type="pct"/>
          </w:tcPr>
          <w:p>
            <w:pPr>
              <w:pStyle w:val="33"/>
              <w:rPr>
                <w:szCs w:val="21"/>
              </w:rPr>
            </w:pPr>
            <w:r>
              <w:rPr>
                <w:rFonts w:hint="eastAsia"/>
                <w:szCs w:val="21"/>
              </w:rPr>
              <w:t>50</w:t>
            </w:r>
          </w:p>
        </w:tc>
        <w:tc>
          <w:tcPr>
            <w:tcW w:w="1077" w:type="dxa"/>
            <w:vAlign w:val="center"/>
          </w:tcPr>
          <w:p>
            <w:pPr>
              <w:widowControl/>
              <w:jc w:val="center"/>
              <w:textAlignment w:val="center"/>
            </w:pPr>
            <w:r>
              <w:rPr>
                <w:kern w:val="0"/>
                <w:sz w:val="21"/>
                <w:szCs w:val="21"/>
                <w:lang w:bidi="ar"/>
              </w:rPr>
              <w:t>4.455</w:t>
            </w:r>
          </w:p>
        </w:tc>
        <w:tc>
          <w:tcPr>
            <w:tcW w:w="1072" w:type="dxa"/>
            <w:vAlign w:val="center"/>
          </w:tcPr>
          <w:p>
            <w:pPr>
              <w:widowControl/>
              <w:jc w:val="center"/>
              <w:textAlignment w:val="center"/>
            </w:pPr>
            <w:r>
              <w:rPr>
                <w:kern w:val="0"/>
                <w:sz w:val="21"/>
                <w:szCs w:val="21"/>
                <w:lang w:bidi="ar"/>
              </w:rPr>
              <w:t>0.535</w:t>
            </w:r>
          </w:p>
        </w:tc>
        <w:tc>
          <w:tcPr>
            <w:tcW w:w="933" w:type="dxa"/>
            <w:vAlign w:val="center"/>
          </w:tcPr>
          <w:p>
            <w:pPr>
              <w:pStyle w:val="33"/>
            </w:pPr>
            <w:r>
              <w:rPr>
                <w:rFonts w:hint="eastAsia"/>
              </w:rPr>
              <w:t>100</w:t>
            </w:r>
          </w:p>
        </w:tc>
        <w:tc>
          <w:tcPr>
            <w:tcW w:w="930" w:type="dxa"/>
            <w:vAlign w:val="center"/>
          </w:tcPr>
          <w:p>
            <w:pPr>
              <w:pStyle w:val="33"/>
            </w:pPr>
            <w:r>
              <w:rPr>
                <w:rFonts w:hint="eastAsia"/>
              </w:rPr>
              <w:t>2</w:t>
            </w:r>
          </w:p>
        </w:tc>
        <w:tc>
          <w:tcPr>
            <w:tcW w:w="324"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tcPr>
          <w:p>
            <w:pPr>
              <w:pStyle w:val="33"/>
              <w:rPr>
                <w:szCs w:val="21"/>
              </w:rPr>
            </w:pPr>
          </w:p>
        </w:tc>
        <w:tc>
          <w:tcPr>
            <w:tcW w:w="725" w:type="pct"/>
            <w:vMerge w:val="continue"/>
          </w:tcPr>
          <w:p>
            <w:pPr>
              <w:pStyle w:val="33"/>
              <w:rPr>
                <w:szCs w:val="21"/>
              </w:rPr>
            </w:pPr>
          </w:p>
        </w:tc>
        <w:tc>
          <w:tcPr>
            <w:tcW w:w="401" w:type="pct"/>
            <w:vMerge w:val="continue"/>
          </w:tcPr>
          <w:p>
            <w:pPr>
              <w:pStyle w:val="33"/>
              <w:rPr>
                <w:szCs w:val="21"/>
              </w:rPr>
            </w:pPr>
          </w:p>
        </w:tc>
        <w:tc>
          <w:tcPr>
            <w:tcW w:w="532" w:type="pct"/>
            <w:vAlign w:val="center"/>
          </w:tcPr>
          <w:p>
            <w:pPr>
              <w:widowControl/>
              <w:jc w:val="center"/>
              <w:rPr>
                <w:sz w:val="21"/>
                <w:szCs w:val="21"/>
              </w:rPr>
            </w:pPr>
            <w:r>
              <w:rPr>
                <w:sz w:val="21"/>
                <w:szCs w:val="21"/>
              </w:rPr>
              <w:t>C</w:t>
            </w:r>
            <w:r>
              <w:rPr>
                <w:rFonts w:hint="eastAsia"/>
                <w:sz w:val="21"/>
                <w:szCs w:val="21"/>
              </w:rPr>
              <w:t>l</w:t>
            </w:r>
            <w:r>
              <w:rPr>
                <w:rFonts w:hint="eastAsia"/>
                <w:sz w:val="21"/>
                <w:szCs w:val="21"/>
                <w:vertAlign w:val="subscript"/>
              </w:rPr>
              <w:t>2</w:t>
            </w:r>
          </w:p>
        </w:tc>
        <w:tc>
          <w:tcPr>
            <w:tcW w:w="1302" w:type="dxa"/>
            <w:vAlign w:val="center"/>
          </w:tcPr>
          <w:p>
            <w:pPr>
              <w:pStyle w:val="33"/>
            </w:pPr>
            <w:r>
              <w:t>4.43</w:t>
            </w:r>
          </w:p>
        </w:tc>
        <w:tc>
          <w:tcPr>
            <w:tcW w:w="1123" w:type="dxa"/>
            <w:vAlign w:val="center"/>
          </w:tcPr>
          <w:p>
            <w:pPr>
              <w:pStyle w:val="33"/>
            </w:pPr>
            <w:r>
              <w:t>0.58</w:t>
            </w:r>
          </w:p>
        </w:tc>
        <w:tc>
          <w:tcPr>
            <w:tcW w:w="527" w:type="pct"/>
          </w:tcPr>
          <w:p>
            <w:pPr>
              <w:pStyle w:val="33"/>
              <w:rPr>
                <w:szCs w:val="21"/>
              </w:rPr>
            </w:pPr>
            <w:r>
              <w:rPr>
                <w:rFonts w:hint="eastAsia"/>
                <w:szCs w:val="21"/>
              </w:rPr>
              <w:t>50</w:t>
            </w:r>
          </w:p>
        </w:tc>
        <w:tc>
          <w:tcPr>
            <w:tcW w:w="1077" w:type="dxa"/>
            <w:vAlign w:val="center"/>
          </w:tcPr>
          <w:p>
            <w:pPr>
              <w:widowControl/>
              <w:jc w:val="center"/>
              <w:textAlignment w:val="center"/>
            </w:pPr>
            <w:r>
              <w:rPr>
                <w:kern w:val="0"/>
                <w:sz w:val="21"/>
                <w:szCs w:val="21"/>
                <w:lang w:bidi="ar"/>
              </w:rPr>
              <w:t>2.4</w:t>
            </w:r>
          </w:p>
        </w:tc>
        <w:tc>
          <w:tcPr>
            <w:tcW w:w="1072" w:type="dxa"/>
            <w:vAlign w:val="center"/>
          </w:tcPr>
          <w:p>
            <w:pPr>
              <w:widowControl/>
              <w:jc w:val="center"/>
              <w:textAlignment w:val="center"/>
            </w:pPr>
            <w:r>
              <w:rPr>
                <w:kern w:val="0"/>
                <w:sz w:val="21"/>
                <w:szCs w:val="21"/>
                <w:lang w:bidi="ar"/>
              </w:rPr>
              <w:t>0.29</w:t>
            </w:r>
          </w:p>
        </w:tc>
        <w:tc>
          <w:tcPr>
            <w:tcW w:w="933" w:type="dxa"/>
            <w:vAlign w:val="center"/>
          </w:tcPr>
          <w:p>
            <w:pPr>
              <w:pStyle w:val="33"/>
            </w:pPr>
            <w:r>
              <w:rPr>
                <w:rFonts w:hint="eastAsia"/>
              </w:rPr>
              <w:t>65</w:t>
            </w:r>
          </w:p>
        </w:tc>
        <w:tc>
          <w:tcPr>
            <w:tcW w:w="930" w:type="dxa"/>
            <w:vAlign w:val="center"/>
          </w:tcPr>
          <w:p>
            <w:pPr>
              <w:pStyle w:val="33"/>
            </w:pPr>
            <w:r>
              <w:rPr>
                <w:rFonts w:hint="eastAsia"/>
              </w:rPr>
              <w:t>1.885</w:t>
            </w:r>
          </w:p>
        </w:tc>
        <w:tc>
          <w:tcPr>
            <w:tcW w:w="324"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Align w:val="center"/>
          </w:tcPr>
          <w:p>
            <w:pPr>
              <w:widowControl/>
              <w:jc w:val="center"/>
              <w:rPr>
                <w:sz w:val="21"/>
                <w:szCs w:val="21"/>
              </w:rPr>
            </w:pPr>
            <w:r>
              <w:rPr>
                <w:rFonts w:hint="eastAsia"/>
                <w:sz w:val="21"/>
                <w:szCs w:val="21"/>
              </w:rPr>
              <w:t>P1-2</w:t>
            </w:r>
          </w:p>
        </w:tc>
        <w:tc>
          <w:tcPr>
            <w:tcW w:w="725" w:type="pct"/>
            <w:vAlign w:val="center"/>
          </w:tcPr>
          <w:p>
            <w:pPr>
              <w:pStyle w:val="32"/>
              <w:rPr>
                <w:szCs w:val="21"/>
              </w:rPr>
            </w:pPr>
            <w:r>
              <w:rPr>
                <w:rFonts w:hint="eastAsia"/>
                <w:szCs w:val="21"/>
              </w:rPr>
              <w:t>铝灰分离废气G1-4</w:t>
            </w:r>
          </w:p>
        </w:tc>
        <w:tc>
          <w:tcPr>
            <w:tcW w:w="401" w:type="pct"/>
          </w:tcPr>
          <w:p>
            <w:pPr>
              <w:pStyle w:val="33"/>
              <w:rPr>
                <w:szCs w:val="21"/>
              </w:rPr>
            </w:pPr>
            <w:r>
              <w:rPr>
                <w:szCs w:val="21"/>
              </w:rPr>
              <w:t>1</w:t>
            </w:r>
            <w:r>
              <w:rPr>
                <w:rFonts w:hint="eastAsia"/>
                <w:szCs w:val="21"/>
              </w:rPr>
              <w:t>0000</w:t>
            </w:r>
          </w:p>
        </w:tc>
        <w:tc>
          <w:tcPr>
            <w:tcW w:w="532" w:type="pct"/>
            <w:vAlign w:val="center"/>
          </w:tcPr>
          <w:p>
            <w:pPr>
              <w:widowControl/>
              <w:jc w:val="center"/>
              <w:rPr>
                <w:sz w:val="21"/>
                <w:szCs w:val="21"/>
              </w:rPr>
            </w:pPr>
            <w:r>
              <w:rPr>
                <w:rFonts w:hint="eastAsia"/>
                <w:sz w:val="21"/>
                <w:szCs w:val="21"/>
              </w:rPr>
              <w:t>颗粒物</w:t>
            </w:r>
          </w:p>
        </w:tc>
        <w:tc>
          <w:tcPr>
            <w:tcW w:w="459" w:type="pct"/>
            <w:vAlign w:val="center"/>
          </w:tcPr>
          <w:p>
            <w:pPr>
              <w:pStyle w:val="32"/>
              <w:rPr>
                <w:szCs w:val="21"/>
              </w:rPr>
            </w:pPr>
            <w:r>
              <w:rPr>
                <w:rFonts w:hint="eastAsia"/>
                <w:szCs w:val="21"/>
              </w:rPr>
              <w:t>1068</w:t>
            </w:r>
          </w:p>
        </w:tc>
        <w:tc>
          <w:tcPr>
            <w:tcW w:w="396" w:type="pct"/>
            <w:vAlign w:val="center"/>
          </w:tcPr>
          <w:p>
            <w:pPr>
              <w:pStyle w:val="32"/>
              <w:rPr>
                <w:szCs w:val="21"/>
              </w:rPr>
            </w:pPr>
            <w:r>
              <w:rPr>
                <w:rFonts w:hint="eastAsia"/>
                <w:szCs w:val="21"/>
              </w:rPr>
              <w:t>10.68</w:t>
            </w:r>
          </w:p>
        </w:tc>
        <w:tc>
          <w:tcPr>
            <w:tcW w:w="527" w:type="pct"/>
          </w:tcPr>
          <w:p>
            <w:pPr>
              <w:pStyle w:val="33"/>
              <w:rPr>
                <w:szCs w:val="21"/>
              </w:rPr>
            </w:pPr>
            <w:r>
              <w:rPr>
                <w:rFonts w:hint="eastAsia"/>
                <w:szCs w:val="21"/>
              </w:rPr>
              <w:t>50</w:t>
            </w:r>
          </w:p>
        </w:tc>
        <w:tc>
          <w:tcPr>
            <w:tcW w:w="379" w:type="pct"/>
            <w:vAlign w:val="center"/>
          </w:tcPr>
          <w:p>
            <w:pPr>
              <w:pStyle w:val="33"/>
            </w:pPr>
            <w:r>
              <w:t>534</w:t>
            </w:r>
          </w:p>
        </w:tc>
        <w:tc>
          <w:tcPr>
            <w:tcW w:w="378" w:type="pct"/>
            <w:vAlign w:val="center"/>
          </w:tcPr>
          <w:p>
            <w:pPr>
              <w:pStyle w:val="33"/>
            </w:pPr>
            <w:r>
              <w:t>5.34</w:t>
            </w:r>
          </w:p>
        </w:tc>
        <w:tc>
          <w:tcPr>
            <w:tcW w:w="329" w:type="pct"/>
            <w:vAlign w:val="center"/>
          </w:tcPr>
          <w:p>
            <w:pPr>
              <w:pStyle w:val="33"/>
            </w:pPr>
            <w:r>
              <w:rPr>
                <w:rFonts w:hint="eastAsia"/>
              </w:rPr>
              <w:t>120</w:t>
            </w:r>
          </w:p>
        </w:tc>
        <w:tc>
          <w:tcPr>
            <w:tcW w:w="328" w:type="pct"/>
            <w:vAlign w:val="center"/>
          </w:tcPr>
          <w:p>
            <w:pPr>
              <w:pStyle w:val="33"/>
            </w:pPr>
            <w:r>
              <w:rPr>
                <w:rFonts w:hint="eastAsia"/>
              </w:rPr>
              <w:t>5.9</w:t>
            </w:r>
          </w:p>
        </w:tc>
        <w:tc>
          <w:tcPr>
            <w:tcW w:w="324" w:type="pct"/>
          </w:tcPr>
          <w:p>
            <w:pPr>
              <w:pStyle w:val="33"/>
              <w:rPr>
                <w:szCs w:val="21"/>
              </w:rPr>
            </w:pPr>
            <w:r>
              <w:rPr>
                <w:rFonts w:hint="eastAsia"/>
                <w:szCs w:val="21"/>
              </w:rPr>
              <w:t>超标</w:t>
            </w:r>
          </w:p>
        </w:tc>
      </w:tr>
    </w:tbl>
    <w:p>
      <w:pPr>
        <w:pStyle w:val="2"/>
        <w:ind w:left="480" w:firstLine="480"/>
      </w:pPr>
    </w:p>
    <w:p>
      <w:pPr>
        <w:pStyle w:val="41"/>
      </w:pPr>
      <w:r>
        <w:rPr>
          <w:rFonts w:hint="eastAsia"/>
          <w:lang w:val="zh-CN"/>
        </w:rPr>
        <w:t>表</w:t>
      </w:r>
      <w:r>
        <w:rPr>
          <w:rFonts w:hint="eastAsia"/>
        </w:rPr>
        <w:t>4.7-2</w:t>
      </w:r>
      <w:r>
        <w:t xml:space="preserve">  </w:t>
      </w:r>
      <w:r>
        <w:rPr>
          <w:rFonts w:hint="eastAsia"/>
        </w:rPr>
        <w:t>二期工程</w:t>
      </w:r>
      <w:r>
        <w:rPr>
          <w:rFonts w:hint="eastAsia"/>
          <w:lang w:val="zh-CN"/>
        </w:rPr>
        <w:t>非正常排放污染物排放量表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9"/>
        <w:gridCol w:w="2056"/>
        <w:gridCol w:w="1138"/>
        <w:gridCol w:w="1509"/>
        <w:gridCol w:w="1302"/>
        <w:gridCol w:w="1123"/>
        <w:gridCol w:w="1494"/>
        <w:gridCol w:w="1077"/>
        <w:gridCol w:w="1072"/>
        <w:gridCol w:w="933"/>
        <w:gridCol w:w="930"/>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restart"/>
            <w:vAlign w:val="center"/>
          </w:tcPr>
          <w:p>
            <w:pPr>
              <w:pStyle w:val="33"/>
              <w:rPr>
                <w:szCs w:val="21"/>
              </w:rPr>
            </w:pPr>
            <w:r>
              <w:rPr>
                <w:rFonts w:hint="eastAsia"/>
                <w:szCs w:val="21"/>
              </w:rPr>
              <w:t>编号</w:t>
            </w:r>
          </w:p>
        </w:tc>
        <w:tc>
          <w:tcPr>
            <w:tcW w:w="724" w:type="pct"/>
            <w:vMerge w:val="restart"/>
            <w:vAlign w:val="center"/>
          </w:tcPr>
          <w:p>
            <w:pPr>
              <w:pStyle w:val="33"/>
              <w:rPr>
                <w:szCs w:val="21"/>
              </w:rPr>
            </w:pPr>
            <w:r>
              <w:rPr>
                <w:rFonts w:hint="eastAsia"/>
                <w:szCs w:val="21"/>
              </w:rPr>
              <w:t>污染源</w:t>
            </w:r>
          </w:p>
          <w:p>
            <w:pPr>
              <w:pStyle w:val="33"/>
              <w:rPr>
                <w:szCs w:val="21"/>
              </w:rPr>
            </w:pPr>
            <w:r>
              <w:rPr>
                <w:rFonts w:hint="eastAsia"/>
                <w:szCs w:val="21"/>
              </w:rPr>
              <w:t>名称</w:t>
            </w:r>
          </w:p>
        </w:tc>
        <w:tc>
          <w:tcPr>
            <w:tcW w:w="401" w:type="pct"/>
            <w:vMerge w:val="restart"/>
            <w:vAlign w:val="center"/>
          </w:tcPr>
          <w:p>
            <w:pPr>
              <w:pStyle w:val="33"/>
              <w:rPr>
                <w:szCs w:val="21"/>
              </w:rPr>
            </w:pPr>
            <w:r>
              <w:rPr>
                <w:rFonts w:hint="eastAsia"/>
                <w:szCs w:val="21"/>
              </w:rPr>
              <w:t>排气量</w:t>
            </w:r>
          </w:p>
          <w:p>
            <w:pPr>
              <w:pStyle w:val="33"/>
              <w:rPr>
                <w:szCs w:val="21"/>
              </w:rPr>
            </w:pPr>
            <w:r>
              <w:rPr>
                <w:szCs w:val="21"/>
              </w:rPr>
              <w:t>m3/h</w:t>
            </w:r>
          </w:p>
        </w:tc>
        <w:tc>
          <w:tcPr>
            <w:tcW w:w="531" w:type="pct"/>
            <w:vMerge w:val="restart"/>
            <w:vAlign w:val="center"/>
          </w:tcPr>
          <w:p>
            <w:pPr>
              <w:pStyle w:val="33"/>
              <w:rPr>
                <w:szCs w:val="21"/>
              </w:rPr>
            </w:pPr>
            <w:r>
              <w:rPr>
                <w:rFonts w:hint="eastAsia"/>
                <w:szCs w:val="21"/>
              </w:rPr>
              <w:t>污染物</w:t>
            </w:r>
          </w:p>
          <w:p>
            <w:pPr>
              <w:pStyle w:val="33"/>
              <w:rPr>
                <w:szCs w:val="21"/>
              </w:rPr>
            </w:pPr>
            <w:r>
              <w:rPr>
                <w:rFonts w:hint="eastAsia"/>
                <w:szCs w:val="21"/>
              </w:rPr>
              <w:t>名称</w:t>
            </w:r>
          </w:p>
        </w:tc>
        <w:tc>
          <w:tcPr>
            <w:tcW w:w="854" w:type="pct"/>
            <w:gridSpan w:val="2"/>
            <w:vAlign w:val="center"/>
          </w:tcPr>
          <w:p>
            <w:pPr>
              <w:pStyle w:val="33"/>
              <w:rPr>
                <w:szCs w:val="21"/>
              </w:rPr>
            </w:pPr>
            <w:r>
              <w:rPr>
                <w:rFonts w:hint="eastAsia"/>
                <w:szCs w:val="21"/>
              </w:rPr>
              <w:t>产生情况</w:t>
            </w:r>
          </w:p>
        </w:tc>
        <w:tc>
          <w:tcPr>
            <w:tcW w:w="526" w:type="pct"/>
            <w:vMerge w:val="restart"/>
            <w:vAlign w:val="center"/>
          </w:tcPr>
          <w:p>
            <w:pPr>
              <w:pStyle w:val="33"/>
              <w:rPr>
                <w:szCs w:val="21"/>
              </w:rPr>
            </w:pPr>
            <w:r>
              <w:rPr>
                <w:rFonts w:hint="eastAsia"/>
                <w:szCs w:val="21"/>
              </w:rPr>
              <w:t>发生故障时处理效率（%）</w:t>
            </w:r>
          </w:p>
        </w:tc>
        <w:tc>
          <w:tcPr>
            <w:tcW w:w="758" w:type="pct"/>
            <w:gridSpan w:val="2"/>
            <w:vAlign w:val="center"/>
          </w:tcPr>
          <w:p>
            <w:pPr>
              <w:pStyle w:val="33"/>
              <w:rPr>
                <w:szCs w:val="21"/>
              </w:rPr>
            </w:pPr>
            <w:r>
              <w:rPr>
                <w:rFonts w:hint="eastAsia"/>
                <w:szCs w:val="21"/>
              </w:rPr>
              <w:t>排放情况</w:t>
            </w:r>
          </w:p>
        </w:tc>
        <w:tc>
          <w:tcPr>
            <w:tcW w:w="657" w:type="pct"/>
            <w:gridSpan w:val="2"/>
            <w:vAlign w:val="center"/>
          </w:tcPr>
          <w:p>
            <w:pPr>
              <w:pStyle w:val="33"/>
              <w:rPr>
                <w:szCs w:val="21"/>
              </w:rPr>
            </w:pPr>
            <w:r>
              <w:rPr>
                <w:rFonts w:hint="eastAsia"/>
                <w:szCs w:val="21"/>
              </w:rPr>
              <w:t>排放标准</w:t>
            </w:r>
          </w:p>
        </w:tc>
        <w:tc>
          <w:tcPr>
            <w:tcW w:w="325" w:type="pct"/>
            <w:vMerge w:val="restart"/>
          </w:tcPr>
          <w:p>
            <w:pPr>
              <w:pStyle w:val="33"/>
              <w:rPr>
                <w:szCs w:val="21"/>
              </w:rPr>
            </w:pPr>
            <w:r>
              <w:rPr>
                <w:rFonts w:hint="eastAsia"/>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tcBorders>
              <w:bottom w:val="single" w:color="auto" w:sz="4" w:space="0"/>
            </w:tcBorders>
            <w:vAlign w:val="center"/>
          </w:tcPr>
          <w:p>
            <w:pPr>
              <w:pStyle w:val="33"/>
              <w:rPr>
                <w:szCs w:val="21"/>
              </w:rPr>
            </w:pPr>
          </w:p>
        </w:tc>
        <w:tc>
          <w:tcPr>
            <w:tcW w:w="724" w:type="pct"/>
            <w:vMerge w:val="continue"/>
            <w:tcBorders>
              <w:bottom w:val="single" w:color="auto" w:sz="4" w:space="0"/>
            </w:tcBorders>
            <w:vAlign w:val="center"/>
          </w:tcPr>
          <w:p>
            <w:pPr>
              <w:pStyle w:val="33"/>
              <w:rPr>
                <w:szCs w:val="21"/>
              </w:rPr>
            </w:pPr>
          </w:p>
        </w:tc>
        <w:tc>
          <w:tcPr>
            <w:tcW w:w="401" w:type="pct"/>
            <w:vMerge w:val="continue"/>
            <w:tcBorders>
              <w:bottom w:val="single" w:color="auto" w:sz="4" w:space="0"/>
            </w:tcBorders>
            <w:vAlign w:val="center"/>
          </w:tcPr>
          <w:p>
            <w:pPr>
              <w:pStyle w:val="33"/>
              <w:rPr>
                <w:szCs w:val="21"/>
              </w:rPr>
            </w:pPr>
          </w:p>
        </w:tc>
        <w:tc>
          <w:tcPr>
            <w:tcW w:w="531" w:type="pct"/>
            <w:vMerge w:val="continue"/>
            <w:tcBorders>
              <w:bottom w:val="single" w:color="auto" w:sz="4" w:space="0"/>
            </w:tcBorders>
            <w:vAlign w:val="center"/>
          </w:tcPr>
          <w:p>
            <w:pPr>
              <w:pStyle w:val="33"/>
              <w:rPr>
                <w:szCs w:val="21"/>
              </w:rPr>
            </w:pPr>
          </w:p>
        </w:tc>
        <w:tc>
          <w:tcPr>
            <w:tcW w:w="458" w:type="pct"/>
            <w:tcBorders>
              <w:bottom w:val="single" w:color="auto" w:sz="4" w:space="0"/>
            </w:tcBorders>
            <w:vAlign w:val="center"/>
          </w:tcPr>
          <w:p>
            <w:pPr>
              <w:pStyle w:val="33"/>
              <w:rPr>
                <w:szCs w:val="21"/>
              </w:rPr>
            </w:pPr>
            <w:r>
              <w:rPr>
                <w:rFonts w:hint="eastAsia"/>
                <w:szCs w:val="21"/>
              </w:rPr>
              <w:t>mg/m</w:t>
            </w:r>
            <w:r>
              <w:rPr>
                <w:rFonts w:hint="eastAsia"/>
                <w:szCs w:val="21"/>
                <w:vertAlign w:val="superscript"/>
              </w:rPr>
              <w:t>3</w:t>
            </w:r>
          </w:p>
        </w:tc>
        <w:tc>
          <w:tcPr>
            <w:tcW w:w="396" w:type="pct"/>
            <w:tcBorders>
              <w:bottom w:val="single" w:color="auto" w:sz="4" w:space="0"/>
            </w:tcBorders>
            <w:vAlign w:val="center"/>
          </w:tcPr>
          <w:p>
            <w:pPr>
              <w:pStyle w:val="33"/>
              <w:rPr>
                <w:szCs w:val="21"/>
              </w:rPr>
            </w:pPr>
            <w:r>
              <w:rPr>
                <w:rFonts w:hint="eastAsia"/>
                <w:szCs w:val="21"/>
              </w:rPr>
              <w:t>kg/h</w:t>
            </w:r>
          </w:p>
        </w:tc>
        <w:tc>
          <w:tcPr>
            <w:tcW w:w="526" w:type="pct"/>
            <w:vMerge w:val="continue"/>
            <w:tcBorders>
              <w:bottom w:val="single" w:color="auto" w:sz="4" w:space="0"/>
            </w:tcBorders>
            <w:vAlign w:val="center"/>
          </w:tcPr>
          <w:p>
            <w:pPr>
              <w:pStyle w:val="33"/>
              <w:rPr>
                <w:szCs w:val="21"/>
              </w:rPr>
            </w:pPr>
          </w:p>
        </w:tc>
        <w:tc>
          <w:tcPr>
            <w:tcW w:w="380" w:type="pct"/>
            <w:tcBorders>
              <w:bottom w:val="single" w:color="auto" w:sz="4" w:space="0"/>
            </w:tcBorders>
            <w:vAlign w:val="center"/>
          </w:tcPr>
          <w:p>
            <w:pPr>
              <w:pStyle w:val="33"/>
              <w:rPr>
                <w:szCs w:val="21"/>
              </w:rPr>
            </w:pPr>
            <w:r>
              <w:rPr>
                <w:rFonts w:hint="eastAsia"/>
                <w:szCs w:val="21"/>
              </w:rPr>
              <w:t>mg/m</w:t>
            </w:r>
            <w:r>
              <w:rPr>
                <w:rFonts w:hint="eastAsia"/>
                <w:szCs w:val="21"/>
                <w:vertAlign w:val="superscript"/>
              </w:rPr>
              <w:t>3</w:t>
            </w:r>
          </w:p>
        </w:tc>
        <w:tc>
          <w:tcPr>
            <w:tcW w:w="377" w:type="pct"/>
            <w:tcBorders>
              <w:bottom w:val="single" w:color="auto" w:sz="4" w:space="0"/>
            </w:tcBorders>
            <w:vAlign w:val="center"/>
          </w:tcPr>
          <w:p>
            <w:pPr>
              <w:pStyle w:val="33"/>
              <w:rPr>
                <w:szCs w:val="21"/>
              </w:rPr>
            </w:pPr>
            <w:r>
              <w:rPr>
                <w:rFonts w:hint="eastAsia"/>
                <w:szCs w:val="21"/>
              </w:rPr>
              <w:t>kg/h</w:t>
            </w:r>
          </w:p>
        </w:tc>
        <w:tc>
          <w:tcPr>
            <w:tcW w:w="329" w:type="pct"/>
            <w:tcBorders>
              <w:bottom w:val="single" w:color="auto" w:sz="4" w:space="0"/>
            </w:tcBorders>
            <w:vAlign w:val="center"/>
          </w:tcPr>
          <w:p>
            <w:pPr>
              <w:pStyle w:val="33"/>
              <w:rPr>
                <w:szCs w:val="21"/>
              </w:rPr>
            </w:pPr>
            <w:r>
              <w:rPr>
                <w:rFonts w:hint="eastAsia"/>
                <w:szCs w:val="21"/>
              </w:rPr>
              <w:t>mg/m</w:t>
            </w:r>
            <w:r>
              <w:rPr>
                <w:rFonts w:hint="eastAsia"/>
                <w:szCs w:val="21"/>
                <w:vertAlign w:val="superscript"/>
              </w:rPr>
              <w:t>3</w:t>
            </w:r>
          </w:p>
        </w:tc>
        <w:tc>
          <w:tcPr>
            <w:tcW w:w="328" w:type="pct"/>
            <w:tcBorders>
              <w:bottom w:val="single" w:color="auto" w:sz="4" w:space="0"/>
            </w:tcBorders>
            <w:vAlign w:val="center"/>
          </w:tcPr>
          <w:p>
            <w:pPr>
              <w:pStyle w:val="33"/>
              <w:rPr>
                <w:szCs w:val="21"/>
              </w:rPr>
            </w:pPr>
            <w:r>
              <w:rPr>
                <w:rFonts w:hint="eastAsia"/>
                <w:szCs w:val="21"/>
              </w:rPr>
              <w:t>kg/h</w:t>
            </w:r>
          </w:p>
        </w:tc>
        <w:tc>
          <w:tcPr>
            <w:tcW w:w="325" w:type="pct"/>
            <w:vMerge w:val="continue"/>
            <w:tcBorders>
              <w:bottom w:val="single" w:color="auto" w:sz="4" w:space="0"/>
            </w:tcBorders>
          </w:tcPr>
          <w:p>
            <w:pPr>
              <w:pStyle w:val="33"/>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restart"/>
            <w:vAlign w:val="center"/>
          </w:tcPr>
          <w:p>
            <w:pPr>
              <w:pStyle w:val="33"/>
            </w:pPr>
            <w:r>
              <w:t>P</w:t>
            </w:r>
            <w:r>
              <w:rPr>
                <w:rFonts w:hint="eastAsia"/>
              </w:rPr>
              <w:t>2-1</w:t>
            </w:r>
          </w:p>
        </w:tc>
        <w:tc>
          <w:tcPr>
            <w:tcW w:w="724" w:type="pct"/>
            <w:vMerge w:val="restart"/>
            <w:vAlign w:val="center"/>
          </w:tcPr>
          <w:p>
            <w:pPr>
              <w:widowControl/>
              <w:jc w:val="center"/>
              <w:rPr>
                <w:sz w:val="21"/>
                <w:szCs w:val="21"/>
              </w:rPr>
            </w:pPr>
            <w:r>
              <w:rPr>
                <w:rFonts w:hint="eastAsia"/>
                <w:sz w:val="21"/>
                <w:szCs w:val="21"/>
              </w:rPr>
              <w:t>燃烧废气G1-1</w:t>
            </w:r>
          </w:p>
          <w:p>
            <w:pPr>
              <w:widowControl/>
              <w:jc w:val="center"/>
              <w:rPr>
                <w:sz w:val="21"/>
                <w:szCs w:val="21"/>
              </w:rPr>
            </w:pPr>
            <w:r>
              <w:rPr>
                <w:rFonts w:hint="eastAsia"/>
                <w:sz w:val="21"/>
                <w:szCs w:val="21"/>
              </w:rPr>
              <w:t>精炼废气G1-2</w:t>
            </w:r>
          </w:p>
          <w:p>
            <w:pPr>
              <w:pStyle w:val="33"/>
              <w:rPr>
                <w:szCs w:val="21"/>
              </w:rPr>
            </w:pPr>
            <w:r>
              <w:rPr>
                <w:rFonts w:hint="eastAsia"/>
                <w:szCs w:val="21"/>
              </w:rPr>
              <w:t>扒渣废气G1-3</w:t>
            </w:r>
          </w:p>
        </w:tc>
        <w:tc>
          <w:tcPr>
            <w:tcW w:w="401" w:type="pct"/>
            <w:vMerge w:val="restart"/>
            <w:vAlign w:val="center"/>
          </w:tcPr>
          <w:p>
            <w:pPr>
              <w:pStyle w:val="33"/>
              <w:rPr>
                <w:szCs w:val="21"/>
              </w:rPr>
            </w:pPr>
            <w:r>
              <w:rPr>
                <w:rFonts w:hint="eastAsia"/>
                <w:szCs w:val="21"/>
              </w:rPr>
              <w:t>50000</w:t>
            </w:r>
          </w:p>
        </w:tc>
        <w:tc>
          <w:tcPr>
            <w:tcW w:w="531" w:type="pct"/>
            <w:tcBorders>
              <w:bottom w:val="single" w:color="auto" w:sz="4" w:space="0"/>
            </w:tcBorders>
            <w:vAlign w:val="center"/>
          </w:tcPr>
          <w:p>
            <w:pPr>
              <w:widowControl/>
              <w:jc w:val="center"/>
              <w:rPr>
                <w:sz w:val="21"/>
                <w:szCs w:val="21"/>
              </w:rPr>
            </w:pPr>
            <w:r>
              <w:rPr>
                <w:rFonts w:hint="eastAsia"/>
                <w:sz w:val="21"/>
                <w:szCs w:val="21"/>
              </w:rPr>
              <w:t>颗粒物</w:t>
            </w:r>
          </w:p>
        </w:tc>
        <w:tc>
          <w:tcPr>
            <w:tcW w:w="1299" w:type="dxa"/>
            <w:tcBorders>
              <w:bottom w:val="single" w:color="auto" w:sz="4" w:space="0"/>
            </w:tcBorders>
            <w:vAlign w:val="center"/>
          </w:tcPr>
          <w:p>
            <w:pPr>
              <w:pStyle w:val="33"/>
            </w:pPr>
            <w:r>
              <w:t>1951.1</w:t>
            </w:r>
          </w:p>
        </w:tc>
        <w:tc>
          <w:tcPr>
            <w:tcW w:w="1123" w:type="dxa"/>
            <w:tcBorders>
              <w:bottom w:val="single" w:color="auto" w:sz="4" w:space="0"/>
            </w:tcBorders>
            <w:vAlign w:val="center"/>
          </w:tcPr>
          <w:p>
            <w:pPr>
              <w:pStyle w:val="33"/>
            </w:pPr>
            <w:r>
              <w:t>97.56</w:t>
            </w:r>
          </w:p>
        </w:tc>
        <w:tc>
          <w:tcPr>
            <w:tcW w:w="526" w:type="pct"/>
            <w:tcBorders>
              <w:bottom w:val="single" w:color="auto" w:sz="4" w:space="0"/>
            </w:tcBorders>
            <w:vAlign w:val="center"/>
          </w:tcPr>
          <w:p>
            <w:pPr>
              <w:pStyle w:val="33"/>
              <w:rPr>
                <w:szCs w:val="21"/>
              </w:rPr>
            </w:pPr>
            <w:r>
              <w:rPr>
                <w:rFonts w:hint="eastAsia"/>
                <w:szCs w:val="21"/>
              </w:rPr>
              <w:t>50</w:t>
            </w:r>
          </w:p>
        </w:tc>
        <w:tc>
          <w:tcPr>
            <w:tcW w:w="1080" w:type="dxa"/>
            <w:tcBorders>
              <w:bottom w:val="single" w:color="auto" w:sz="4" w:space="0"/>
            </w:tcBorders>
            <w:vAlign w:val="center"/>
          </w:tcPr>
          <w:p>
            <w:pPr>
              <w:pStyle w:val="33"/>
            </w:pPr>
            <w:r>
              <w:rPr>
                <w:rFonts w:hint="eastAsia"/>
              </w:rPr>
              <w:t>975.55</w:t>
            </w:r>
          </w:p>
        </w:tc>
        <w:tc>
          <w:tcPr>
            <w:tcW w:w="1071" w:type="dxa"/>
            <w:tcBorders>
              <w:bottom w:val="single" w:color="auto" w:sz="4" w:space="0"/>
            </w:tcBorders>
            <w:vAlign w:val="center"/>
          </w:tcPr>
          <w:p>
            <w:pPr>
              <w:pStyle w:val="33"/>
            </w:pPr>
            <w:r>
              <w:rPr>
                <w:rFonts w:hint="eastAsia"/>
              </w:rPr>
              <w:t>48.78</w:t>
            </w:r>
          </w:p>
        </w:tc>
        <w:tc>
          <w:tcPr>
            <w:tcW w:w="933" w:type="dxa"/>
            <w:tcBorders>
              <w:bottom w:val="single" w:color="auto" w:sz="4" w:space="0"/>
            </w:tcBorders>
            <w:vAlign w:val="center"/>
          </w:tcPr>
          <w:p>
            <w:pPr>
              <w:pStyle w:val="33"/>
            </w:pPr>
            <w:r>
              <w:rPr>
                <w:rFonts w:hint="eastAsia"/>
              </w:rPr>
              <w:t>100</w:t>
            </w:r>
          </w:p>
        </w:tc>
        <w:tc>
          <w:tcPr>
            <w:tcW w:w="930" w:type="dxa"/>
            <w:tcBorders>
              <w:bottom w:val="single" w:color="auto" w:sz="4" w:space="0"/>
            </w:tcBorders>
            <w:vAlign w:val="center"/>
          </w:tcPr>
          <w:p>
            <w:pPr>
              <w:pStyle w:val="33"/>
            </w:pPr>
            <w:r>
              <w:rPr>
                <w:rFonts w:hint="eastAsia"/>
              </w:rPr>
              <w:t>23</w:t>
            </w:r>
          </w:p>
        </w:tc>
        <w:tc>
          <w:tcPr>
            <w:tcW w:w="325" w:type="pct"/>
            <w:tcBorders>
              <w:bottom w:val="single" w:color="auto" w:sz="4" w:space="0"/>
            </w:tcBorders>
          </w:tcPr>
          <w:p>
            <w:pPr>
              <w:pStyle w:val="33"/>
              <w:rPr>
                <w:szCs w:val="21"/>
              </w:rPr>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pPr>
          </w:p>
        </w:tc>
        <w:tc>
          <w:tcPr>
            <w:tcW w:w="724" w:type="pct"/>
            <w:vMerge w:val="continue"/>
            <w:vAlign w:val="center"/>
          </w:tcPr>
          <w:p>
            <w:pPr>
              <w:pStyle w:val="33"/>
              <w:rPr>
                <w:szCs w:val="21"/>
              </w:rPr>
            </w:pPr>
          </w:p>
        </w:tc>
        <w:tc>
          <w:tcPr>
            <w:tcW w:w="401" w:type="pct"/>
            <w:vMerge w:val="continue"/>
            <w:vAlign w:val="center"/>
          </w:tcPr>
          <w:p>
            <w:pPr>
              <w:pStyle w:val="33"/>
              <w:rPr>
                <w:szCs w:val="21"/>
              </w:rPr>
            </w:pPr>
          </w:p>
        </w:tc>
        <w:tc>
          <w:tcPr>
            <w:tcW w:w="531" w:type="pct"/>
            <w:vAlign w:val="center"/>
          </w:tcPr>
          <w:p>
            <w:pPr>
              <w:widowControl/>
              <w:jc w:val="center"/>
              <w:rPr>
                <w:sz w:val="21"/>
                <w:szCs w:val="21"/>
              </w:rPr>
            </w:pPr>
            <w:r>
              <w:rPr>
                <w:rFonts w:hint="eastAsia"/>
                <w:sz w:val="21"/>
                <w:szCs w:val="21"/>
              </w:rPr>
              <w:t>SO</w:t>
            </w:r>
            <w:r>
              <w:rPr>
                <w:rFonts w:hint="eastAsia"/>
                <w:sz w:val="21"/>
                <w:szCs w:val="21"/>
                <w:vertAlign w:val="subscript"/>
              </w:rPr>
              <w:t>2</w:t>
            </w:r>
          </w:p>
        </w:tc>
        <w:tc>
          <w:tcPr>
            <w:tcW w:w="1299" w:type="dxa"/>
            <w:vAlign w:val="center"/>
          </w:tcPr>
          <w:p>
            <w:pPr>
              <w:pStyle w:val="33"/>
            </w:pPr>
            <w:r>
              <w:t>5.7</w:t>
            </w:r>
          </w:p>
        </w:tc>
        <w:tc>
          <w:tcPr>
            <w:tcW w:w="1123" w:type="dxa"/>
            <w:vAlign w:val="center"/>
          </w:tcPr>
          <w:p>
            <w:pPr>
              <w:pStyle w:val="33"/>
            </w:pPr>
            <w:r>
              <w:t>0.29</w:t>
            </w:r>
          </w:p>
        </w:tc>
        <w:tc>
          <w:tcPr>
            <w:tcW w:w="526" w:type="pct"/>
          </w:tcPr>
          <w:p>
            <w:pPr>
              <w:pStyle w:val="33"/>
              <w:rPr>
                <w:szCs w:val="21"/>
              </w:rPr>
            </w:pPr>
            <w:r>
              <w:rPr>
                <w:rFonts w:hint="eastAsia"/>
                <w:szCs w:val="21"/>
              </w:rPr>
              <w:t>0</w:t>
            </w:r>
          </w:p>
        </w:tc>
        <w:tc>
          <w:tcPr>
            <w:tcW w:w="1080" w:type="dxa"/>
            <w:vAlign w:val="center"/>
          </w:tcPr>
          <w:p>
            <w:pPr>
              <w:pStyle w:val="33"/>
            </w:pPr>
            <w:r>
              <w:t>5.7</w:t>
            </w:r>
          </w:p>
        </w:tc>
        <w:tc>
          <w:tcPr>
            <w:tcW w:w="1071" w:type="dxa"/>
            <w:vAlign w:val="center"/>
          </w:tcPr>
          <w:p>
            <w:pPr>
              <w:pStyle w:val="33"/>
            </w:pPr>
            <w:r>
              <w:t>0.29</w:t>
            </w:r>
          </w:p>
        </w:tc>
        <w:tc>
          <w:tcPr>
            <w:tcW w:w="933" w:type="dxa"/>
            <w:vAlign w:val="center"/>
          </w:tcPr>
          <w:p>
            <w:pPr>
              <w:pStyle w:val="33"/>
            </w:pPr>
            <w:r>
              <w:rPr>
                <w:rFonts w:hint="eastAsia"/>
              </w:rPr>
              <w:t>550</w:t>
            </w:r>
          </w:p>
        </w:tc>
        <w:tc>
          <w:tcPr>
            <w:tcW w:w="930" w:type="dxa"/>
            <w:vAlign w:val="center"/>
          </w:tcPr>
          <w:p>
            <w:pPr>
              <w:pStyle w:val="33"/>
            </w:pPr>
            <w:r>
              <w:rPr>
                <w:rFonts w:hint="eastAsia"/>
              </w:rPr>
              <w:t>15</w:t>
            </w:r>
          </w:p>
        </w:tc>
        <w:tc>
          <w:tcPr>
            <w:tcW w:w="325"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pPr>
          </w:p>
        </w:tc>
        <w:tc>
          <w:tcPr>
            <w:tcW w:w="724" w:type="pct"/>
            <w:vMerge w:val="continue"/>
            <w:vAlign w:val="center"/>
          </w:tcPr>
          <w:p>
            <w:pPr>
              <w:pStyle w:val="33"/>
              <w:rPr>
                <w:szCs w:val="21"/>
              </w:rPr>
            </w:pPr>
          </w:p>
        </w:tc>
        <w:tc>
          <w:tcPr>
            <w:tcW w:w="401" w:type="pct"/>
            <w:vMerge w:val="continue"/>
            <w:vAlign w:val="center"/>
          </w:tcPr>
          <w:p>
            <w:pPr>
              <w:pStyle w:val="33"/>
              <w:rPr>
                <w:szCs w:val="21"/>
              </w:rPr>
            </w:pPr>
          </w:p>
        </w:tc>
        <w:tc>
          <w:tcPr>
            <w:tcW w:w="531" w:type="pct"/>
            <w:vAlign w:val="center"/>
          </w:tcPr>
          <w:p>
            <w:pPr>
              <w:widowControl/>
              <w:jc w:val="center"/>
              <w:rPr>
                <w:sz w:val="21"/>
                <w:szCs w:val="21"/>
              </w:rPr>
            </w:pPr>
            <w:r>
              <w:rPr>
                <w:rFonts w:hint="eastAsia"/>
                <w:sz w:val="21"/>
                <w:szCs w:val="21"/>
              </w:rPr>
              <w:t>NO</w:t>
            </w:r>
            <w:r>
              <w:rPr>
                <w:rFonts w:hint="eastAsia"/>
                <w:sz w:val="21"/>
                <w:szCs w:val="21"/>
                <w:vertAlign w:val="subscript"/>
              </w:rPr>
              <w:t>x</w:t>
            </w:r>
          </w:p>
        </w:tc>
        <w:tc>
          <w:tcPr>
            <w:tcW w:w="1299" w:type="dxa"/>
            <w:vAlign w:val="center"/>
          </w:tcPr>
          <w:p>
            <w:pPr>
              <w:pStyle w:val="33"/>
            </w:pPr>
            <w:r>
              <w:t>22.61</w:t>
            </w:r>
          </w:p>
        </w:tc>
        <w:tc>
          <w:tcPr>
            <w:tcW w:w="1123" w:type="dxa"/>
            <w:vAlign w:val="center"/>
          </w:tcPr>
          <w:p>
            <w:pPr>
              <w:pStyle w:val="33"/>
            </w:pPr>
            <w:r>
              <w:t>1.13</w:t>
            </w:r>
          </w:p>
        </w:tc>
        <w:tc>
          <w:tcPr>
            <w:tcW w:w="526" w:type="pct"/>
          </w:tcPr>
          <w:p>
            <w:pPr>
              <w:pStyle w:val="33"/>
              <w:rPr>
                <w:szCs w:val="21"/>
              </w:rPr>
            </w:pPr>
            <w:r>
              <w:rPr>
                <w:rFonts w:hint="eastAsia"/>
                <w:szCs w:val="21"/>
              </w:rPr>
              <w:t>0</w:t>
            </w:r>
          </w:p>
        </w:tc>
        <w:tc>
          <w:tcPr>
            <w:tcW w:w="1080" w:type="dxa"/>
            <w:vAlign w:val="center"/>
          </w:tcPr>
          <w:p>
            <w:pPr>
              <w:pStyle w:val="33"/>
            </w:pPr>
            <w:r>
              <w:t>22.61</w:t>
            </w:r>
          </w:p>
        </w:tc>
        <w:tc>
          <w:tcPr>
            <w:tcW w:w="1071" w:type="dxa"/>
            <w:vAlign w:val="center"/>
          </w:tcPr>
          <w:p>
            <w:pPr>
              <w:pStyle w:val="33"/>
            </w:pPr>
            <w:r>
              <w:t>1.13</w:t>
            </w:r>
          </w:p>
        </w:tc>
        <w:tc>
          <w:tcPr>
            <w:tcW w:w="933" w:type="dxa"/>
            <w:vAlign w:val="center"/>
          </w:tcPr>
          <w:p>
            <w:pPr>
              <w:pStyle w:val="33"/>
            </w:pPr>
            <w:r>
              <w:rPr>
                <w:rFonts w:hint="eastAsia"/>
              </w:rPr>
              <w:t>240</w:t>
            </w:r>
          </w:p>
        </w:tc>
        <w:tc>
          <w:tcPr>
            <w:tcW w:w="930" w:type="dxa"/>
            <w:vAlign w:val="center"/>
          </w:tcPr>
          <w:p>
            <w:pPr>
              <w:pStyle w:val="33"/>
            </w:pPr>
            <w:r>
              <w:rPr>
                <w:rFonts w:hint="eastAsia"/>
              </w:rPr>
              <w:t>4.4</w:t>
            </w:r>
          </w:p>
        </w:tc>
        <w:tc>
          <w:tcPr>
            <w:tcW w:w="325"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Merge w:val="continue"/>
            <w:vAlign w:val="center"/>
          </w:tcPr>
          <w:p>
            <w:pPr>
              <w:pStyle w:val="33"/>
            </w:pPr>
          </w:p>
        </w:tc>
        <w:tc>
          <w:tcPr>
            <w:tcW w:w="724" w:type="pct"/>
            <w:vMerge w:val="continue"/>
            <w:vAlign w:val="center"/>
          </w:tcPr>
          <w:p>
            <w:pPr>
              <w:pStyle w:val="33"/>
              <w:rPr>
                <w:szCs w:val="21"/>
              </w:rPr>
            </w:pPr>
          </w:p>
        </w:tc>
        <w:tc>
          <w:tcPr>
            <w:tcW w:w="401" w:type="pct"/>
            <w:vMerge w:val="continue"/>
            <w:vAlign w:val="center"/>
          </w:tcPr>
          <w:p>
            <w:pPr>
              <w:pStyle w:val="33"/>
              <w:rPr>
                <w:szCs w:val="21"/>
              </w:rPr>
            </w:pPr>
          </w:p>
        </w:tc>
        <w:tc>
          <w:tcPr>
            <w:tcW w:w="531" w:type="pct"/>
            <w:vAlign w:val="center"/>
          </w:tcPr>
          <w:p>
            <w:pPr>
              <w:widowControl/>
              <w:jc w:val="center"/>
              <w:rPr>
                <w:sz w:val="21"/>
                <w:szCs w:val="21"/>
              </w:rPr>
            </w:pPr>
            <w:r>
              <w:rPr>
                <w:rFonts w:hint="eastAsia"/>
                <w:sz w:val="21"/>
                <w:szCs w:val="21"/>
              </w:rPr>
              <w:t>氟化物</w:t>
            </w:r>
          </w:p>
        </w:tc>
        <w:tc>
          <w:tcPr>
            <w:tcW w:w="1299" w:type="dxa"/>
            <w:vAlign w:val="center"/>
          </w:tcPr>
          <w:p>
            <w:pPr>
              <w:pStyle w:val="33"/>
            </w:pPr>
            <w:r>
              <w:t>1.59</w:t>
            </w:r>
          </w:p>
        </w:tc>
        <w:tc>
          <w:tcPr>
            <w:tcW w:w="1123" w:type="dxa"/>
            <w:vAlign w:val="center"/>
          </w:tcPr>
          <w:p>
            <w:pPr>
              <w:pStyle w:val="33"/>
            </w:pPr>
            <w:r>
              <w:t>0.08</w:t>
            </w:r>
          </w:p>
        </w:tc>
        <w:tc>
          <w:tcPr>
            <w:tcW w:w="526" w:type="pct"/>
          </w:tcPr>
          <w:p>
            <w:pPr>
              <w:pStyle w:val="33"/>
              <w:rPr>
                <w:szCs w:val="21"/>
              </w:rPr>
            </w:pPr>
            <w:r>
              <w:rPr>
                <w:rFonts w:hint="eastAsia"/>
                <w:szCs w:val="21"/>
              </w:rPr>
              <w:t>50</w:t>
            </w:r>
          </w:p>
        </w:tc>
        <w:tc>
          <w:tcPr>
            <w:tcW w:w="1080" w:type="dxa"/>
            <w:vAlign w:val="center"/>
          </w:tcPr>
          <w:p>
            <w:pPr>
              <w:pStyle w:val="33"/>
            </w:pPr>
            <w:r>
              <w:rPr>
                <w:rFonts w:hint="eastAsia"/>
              </w:rPr>
              <w:t>0.795</w:t>
            </w:r>
          </w:p>
        </w:tc>
        <w:tc>
          <w:tcPr>
            <w:tcW w:w="1071" w:type="dxa"/>
            <w:vAlign w:val="center"/>
          </w:tcPr>
          <w:p>
            <w:pPr>
              <w:pStyle w:val="33"/>
            </w:pPr>
            <w:r>
              <w:rPr>
                <w:rFonts w:hint="eastAsia"/>
              </w:rPr>
              <w:t>0.04</w:t>
            </w:r>
          </w:p>
        </w:tc>
        <w:tc>
          <w:tcPr>
            <w:tcW w:w="933" w:type="dxa"/>
            <w:vAlign w:val="center"/>
          </w:tcPr>
          <w:p>
            <w:pPr>
              <w:pStyle w:val="33"/>
            </w:pPr>
            <w:r>
              <w:rPr>
                <w:rFonts w:hint="eastAsia"/>
              </w:rPr>
              <w:t>6</w:t>
            </w:r>
          </w:p>
        </w:tc>
        <w:tc>
          <w:tcPr>
            <w:tcW w:w="930" w:type="dxa"/>
            <w:vAlign w:val="center"/>
          </w:tcPr>
          <w:p>
            <w:pPr>
              <w:pStyle w:val="33"/>
            </w:pPr>
            <w:r>
              <w:rPr>
                <w:rFonts w:hint="eastAsia"/>
              </w:rPr>
              <w:t>0.59</w:t>
            </w:r>
          </w:p>
        </w:tc>
        <w:tc>
          <w:tcPr>
            <w:tcW w:w="325" w:type="pct"/>
          </w:tcPr>
          <w:p>
            <w:pPr>
              <w:pStyle w:val="33"/>
              <w:rPr>
                <w:szCs w:val="21"/>
              </w:rPr>
            </w:pPr>
            <w:r>
              <w:rPr>
                <w:rFonts w:hint="eastAsia"/>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18" w:type="pct"/>
            <w:vAlign w:val="center"/>
          </w:tcPr>
          <w:p>
            <w:pPr>
              <w:pStyle w:val="33"/>
            </w:pPr>
            <w:r>
              <w:rPr>
                <w:rFonts w:hint="eastAsia"/>
              </w:rPr>
              <w:t>P2-2</w:t>
            </w:r>
          </w:p>
        </w:tc>
        <w:tc>
          <w:tcPr>
            <w:tcW w:w="724" w:type="pct"/>
            <w:vAlign w:val="center"/>
          </w:tcPr>
          <w:p>
            <w:pPr>
              <w:pStyle w:val="32"/>
              <w:rPr>
                <w:szCs w:val="21"/>
              </w:rPr>
            </w:pPr>
            <w:r>
              <w:rPr>
                <w:rFonts w:hint="eastAsia"/>
                <w:szCs w:val="21"/>
              </w:rPr>
              <w:t>铝灰分离废气G1-4</w:t>
            </w:r>
          </w:p>
        </w:tc>
        <w:tc>
          <w:tcPr>
            <w:tcW w:w="401" w:type="pct"/>
          </w:tcPr>
          <w:p>
            <w:pPr>
              <w:pStyle w:val="33"/>
              <w:rPr>
                <w:szCs w:val="21"/>
              </w:rPr>
            </w:pPr>
            <w:r>
              <w:rPr>
                <w:rFonts w:hint="eastAsia"/>
                <w:szCs w:val="21"/>
              </w:rPr>
              <w:t>5000</w:t>
            </w:r>
          </w:p>
        </w:tc>
        <w:tc>
          <w:tcPr>
            <w:tcW w:w="1508" w:type="dxa"/>
            <w:vAlign w:val="center"/>
          </w:tcPr>
          <w:p>
            <w:pPr>
              <w:widowControl/>
              <w:jc w:val="center"/>
              <w:rPr>
                <w:sz w:val="21"/>
                <w:szCs w:val="21"/>
              </w:rPr>
            </w:pPr>
            <w:r>
              <w:rPr>
                <w:rFonts w:hint="eastAsia"/>
                <w:sz w:val="21"/>
                <w:szCs w:val="21"/>
              </w:rPr>
              <w:t>颗粒物</w:t>
            </w:r>
          </w:p>
        </w:tc>
        <w:tc>
          <w:tcPr>
            <w:tcW w:w="1299" w:type="dxa"/>
            <w:vAlign w:val="center"/>
          </w:tcPr>
          <w:p>
            <w:pPr>
              <w:pStyle w:val="33"/>
            </w:pPr>
            <w:r>
              <w:t>400.5</w:t>
            </w:r>
          </w:p>
        </w:tc>
        <w:tc>
          <w:tcPr>
            <w:tcW w:w="1123" w:type="dxa"/>
            <w:vAlign w:val="center"/>
          </w:tcPr>
          <w:p>
            <w:pPr>
              <w:pStyle w:val="33"/>
            </w:pPr>
            <w:r>
              <w:t>2</w:t>
            </w:r>
          </w:p>
        </w:tc>
        <w:tc>
          <w:tcPr>
            <w:tcW w:w="1494" w:type="dxa"/>
          </w:tcPr>
          <w:p>
            <w:pPr>
              <w:pStyle w:val="33"/>
              <w:rPr>
                <w:szCs w:val="21"/>
              </w:rPr>
            </w:pPr>
            <w:r>
              <w:rPr>
                <w:rFonts w:hint="eastAsia"/>
                <w:szCs w:val="21"/>
              </w:rPr>
              <w:t>50</w:t>
            </w:r>
          </w:p>
        </w:tc>
        <w:tc>
          <w:tcPr>
            <w:tcW w:w="1080" w:type="dxa"/>
            <w:vAlign w:val="center"/>
          </w:tcPr>
          <w:p>
            <w:pPr>
              <w:pStyle w:val="33"/>
            </w:pPr>
            <w:r>
              <w:rPr>
                <w:rFonts w:hint="eastAsia"/>
              </w:rPr>
              <w:t>200.25</w:t>
            </w:r>
          </w:p>
        </w:tc>
        <w:tc>
          <w:tcPr>
            <w:tcW w:w="1071" w:type="dxa"/>
            <w:vAlign w:val="center"/>
          </w:tcPr>
          <w:p>
            <w:pPr>
              <w:pStyle w:val="33"/>
            </w:pPr>
            <w:r>
              <w:rPr>
                <w:rFonts w:hint="eastAsia"/>
              </w:rPr>
              <w:t>1</w:t>
            </w:r>
          </w:p>
        </w:tc>
        <w:tc>
          <w:tcPr>
            <w:tcW w:w="329" w:type="pct"/>
            <w:vAlign w:val="center"/>
          </w:tcPr>
          <w:p>
            <w:pPr>
              <w:pStyle w:val="33"/>
            </w:pPr>
            <w:r>
              <w:rPr>
                <w:rFonts w:hint="eastAsia"/>
              </w:rPr>
              <w:t>120</w:t>
            </w:r>
          </w:p>
        </w:tc>
        <w:tc>
          <w:tcPr>
            <w:tcW w:w="328" w:type="pct"/>
            <w:vAlign w:val="center"/>
          </w:tcPr>
          <w:p>
            <w:pPr>
              <w:pStyle w:val="33"/>
            </w:pPr>
            <w:r>
              <w:rPr>
                <w:rFonts w:hint="eastAsia"/>
              </w:rPr>
              <w:t>5.9</w:t>
            </w:r>
          </w:p>
        </w:tc>
        <w:tc>
          <w:tcPr>
            <w:tcW w:w="924" w:type="dxa"/>
          </w:tcPr>
          <w:p>
            <w:pPr>
              <w:pStyle w:val="33"/>
              <w:rPr>
                <w:szCs w:val="21"/>
              </w:rPr>
            </w:pPr>
            <w:r>
              <w:rPr>
                <w:rFonts w:hint="eastAsia"/>
                <w:szCs w:val="21"/>
              </w:rPr>
              <w:t>超标</w:t>
            </w:r>
          </w:p>
        </w:tc>
      </w:tr>
    </w:tbl>
    <w:p>
      <w:pPr>
        <w:pStyle w:val="2"/>
        <w:ind w:left="480" w:firstLine="480"/>
      </w:pPr>
    </w:p>
    <w:p>
      <w:pPr>
        <w:pStyle w:val="2"/>
        <w:ind w:left="480" w:firstLine="480"/>
      </w:pPr>
    </w:p>
    <w:p>
      <w:pPr>
        <w:pStyle w:val="2"/>
        <w:ind w:left="480" w:firstLine="480"/>
        <w:sectPr>
          <w:pgSz w:w="16838" w:h="11906" w:orient="landscape"/>
          <w:pgMar w:top="1797" w:right="1440" w:bottom="1797" w:left="1440" w:header="851" w:footer="992" w:gutter="0"/>
          <w:cols w:space="425" w:num="1"/>
          <w:docGrid w:type="linesAndChars" w:linePitch="312" w:charSpace="0"/>
        </w:sectPr>
      </w:pPr>
    </w:p>
    <w:p>
      <w:pPr>
        <w:pStyle w:val="5"/>
      </w:pPr>
      <w:bookmarkStart w:id="89" w:name="_Toc32631"/>
      <w:r>
        <w:rPr>
          <w:rFonts w:hint="eastAsia"/>
        </w:rPr>
        <w:t>4.8清洁生产分析</w:t>
      </w:r>
      <w:bookmarkEnd w:id="89"/>
    </w:p>
    <w:p>
      <w:pPr>
        <w:pStyle w:val="8"/>
      </w:pPr>
      <w:r>
        <w:rPr>
          <w:rFonts w:hint="eastAsia"/>
        </w:rPr>
        <w:t>4.8.1清洁生产要求</w:t>
      </w:r>
    </w:p>
    <w:p>
      <w:pPr>
        <w:pStyle w:val="7"/>
        <w:ind w:firstLine="480"/>
      </w:pPr>
      <w:r>
        <w:rPr>
          <w:rFonts w:hint="eastAsia"/>
        </w:rPr>
        <w:t>清洁生产是指将整体预防的环境战略持续应用于生产过程、产品服务中。是国家产业政策的需要，也是环境保护工作的一项重要内容。随着社会主义市场经济的发展，污染的控制必须由末端治理转变为预防污染的全过程控制，通过严格的科学管理，使用清洁的能源、原料，使用清洁的生产过程，清洁的产品以及清洁的环境等方面论述项目采用清洁工艺设备，无污染或少污染的生产技术，生产清洁产品的目的或提供清洁的服务，促进环境与经济协调发展，走经济与环境可持续发展的道路。</w:t>
      </w:r>
    </w:p>
    <w:p>
      <w:pPr>
        <w:pStyle w:val="7"/>
        <w:ind w:firstLine="480"/>
      </w:pPr>
      <w:r>
        <w:rPr>
          <w:rFonts w:hint="eastAsia"/>
        </w:rPr>
        <w:t>根据清洁生产的原则要求，清洁生产评价指标体系分为定量评价和定性评价两大部分，凡能量化的指标尽可能采用定量评价，以减少人为的评价差异。由于目前铝合金生产行业还没有制定出相应的清洁生产标准，采用定量分析的方式无评价基准值可依，因此本评价主要采用定性分析的方法来对项目清洁生产水平进行评价。</w:t>
      </w:r>
    </w:p>
    <w:p>
      <w:pPr>
        <w:pStyle w:val="8"/>
      </w:pPr>
      <w:r>
        <w:rPr>
          <w:rFonts w:hint="eastAsia"/>
        </w:rPr>
        <w:t>4.8.2项目清洁生产分析</w:t>
      </w:r>
    </w:p>
    <w:p>
      <w:pPr>
        <w:pStyle w:val="7"/>
        <w:ind w:firstLine="480"/>
      </w:pPr>
      <w:r>
        <w:rPr>
          <w:rFonts w:hint="eastAsia"/>
        </w:rPr>
        <w:t>本评价从循环经济符合性、生产工艺水平、原辅材料及能源、生产设备、产品指标、生产管理、能源管理、废物产生及综合利用等方面进行分析。</w:t>
      </w:r>
    </w:p>
    <w:p>
      <w:pPr>
        <w:pStyle w:val="7"/>
        <w:ind w:firstLine="480"/>
      </w:pPr>
      <w:r>
        <w:rPr>
          <w:rFonts w:hint="eastAsia"/>
        </w:rPr>
        <w:t>（1）生产工艺及设备</w:t>
      </w:r>
    </w:p>
    <w:p>
      <w:pPr>
        <w:pStyle w:val="7"/>
        <w:ind w:firstLine="480"/>
      </w:pPr>
      <w:r>
        <w:rPr>
          <w:rFonts w:hint="eastAsia"/>
        </w:rPr>
        <w:t>项目采用的先进工艺和设备特点如下：</w:t>
      </w:r>
    </w:p>
    <w:p>
      <w:pPr>
        <w:pStyle w:val="7"/>
        <w:ind w:firstLine="480"/>
      </w:pPr>
      <w:r>
        <w:rPr>
          <w:rFonts w:hint="eastAsia"/>
        </w:rPr>
        <w:t>①采用先进的倾动炉，加强炉内燃气和炉料的对流换热，提高熔炼炉的热效率，实现高效、节能、环保熔炼。采用电磁搅拌技术，该技术有助于提升铝液均匀度，降低铝的烧损，加快熔炼铝的速度，对降低能耗也有很大的作用。项目采用直接水冷（DC）铸造技术，PLC全自动控制，成品率可达94.2%左右，远高于全国平均水平（铸造成品率85%）。</w:t>
      </w:r>
    </w:p>
    <w:p>
      <w:pPr>
        <w:pStyle w:val="7"/>
        <w:ind w:firstLine="480"/>
      </w:pPr>
      <w:r>
        <w:rPr>
          <w:rFonts w:hint="eastAsia"/>
        </w:rPr>
        <w:t>②灰渣综合利用技术，项目采用先进的一体化铝灰分离机处理熔炼保温炉产生的氧化渣，生产过程中粉尘也得到有效控制，与传统抄渣机相比效率和车间环境均得到很大提高。</w:t>
      </w:r>
    </w:p>
    <w:p>
      <w:pPr>
        <w:pStyle w:val="7"/>
        <w:ind w:firstLine="480"/>
      </w:pPr>
      <w:r>
        <w:rPr>
          <w:rFonts w:hint="eastAsia"/>
        </w:rPr>
        <w:t>③变频节能技术与生控技术</w:t>
      </w:r>
    </w:p>
    <w:p>
      <w:pPr>
        <w:pStyle w:val="7"/>
        <w:ind w:firstLine="480"/>
      </w:pPr>
      <w:r>
        <w:rPr>
          <w:rFonts w:hint="eastAsia"/>
        </w:rPr>
        <w:t>项目全面采用PLC控制与变频系统，使生产设备、环保设备控制精确化、自动化。收尘机、熔炼炉等设备都较传统方式更节电、节能。生控系统全称为熔炉全电脑控制系统，该系统由上位机组态、控制系统、公用部位数据采集、控制仪表以及仪表及执行机构组成，可将全厂生控系统所有信息及时传输到全厂网络上去，供操作人员控制，管理人员查看，将原来需要人工处理的工序实现自动化，工作效率得到提高。</w:t>
      </w:r>
    </w:p>
    <w:p>
      <w:pPr>
        <w:pStyle w:val="7"/>
        <w:ind w:firstLine="480"/>
      </w:pPr>
      <w:r>
        <w:rPr>
          <w:rFonts w:hint="eastAsia"/>
        </w:rPr>
        <w:t>综上所述，本项目采取国际先进的工艺技术和设备，主要生产设施、设备均可以达到国内乃至国外先进水平。</w:t>
      </w:r>
    </w:p>
    <w:p>
      <w:pPr>
        <w:pStyle w:val="7"/>
        <w:ind w:firstLine="480"/>
      </w:pPr>
      <w:r>
        <w:rPr>
          <w:rFonts w:hint="eastAsia"/>
        </w:rPr>
        <w:t>（2）原辅材料分析</w:t>
      </w:r>
    </w:p>
    <w:p>
      <w:pPr>
        <w:pStyle w:val="7"/>
        <w:ind w:firstLine="480"/>
      </w:pPr>
      <w:r>
        <w:rPr>
          <w:rFonts w:hint="eastAsia"/>
        </w:rPr>
        <w:t>项目能源主要以天然气和电为主，均为清洁能源，减少了对大气环境的影响。产品生产主要原料直接采用旗能电铝产生的电解铝液，通过铝包车直接运至厂区，较直接采用铝锭作为原料生产铝合金，可极大地减少铝在熔化过程中金属损耗，同时也大大降低了生产能耗。</w:t>
      </w:r>
    </w:p>
    <w:p>
      <w:pPr>
        <w:pStyle w:val="7"/>
        <w:ind w:firstLine="480"/>
      </w:pPr>
      <w:r>
        <w:rPr>
          <w:rFonts w:hint="eastAsia"/>
        </w:rPr>
        <w:t>（3）资源能源综合利用指标</w:t>
      </w:r>
    </w:p>
    <w:p>
      <w:pPr>
        <w:pStyle w:val="7"/>
        <w:ind w:firstLine="480"/>
      </w:pPr>
      <w:r>
        <w:rPr>
          <w:rFonts w:hint="eastAsia"/>
        </w:rPr>
        <w:t>拟建项目年产铝合金材料38万吨。项目产品综合能耗见表4.8-1。</w:t>
      </w:r>
    </w:p>
    <w:p>
      <w:pPr>
        <w:pStyle w:val="31"/>
      </w:pPr>
      <w:r>
        <w:rPr>
          <w:rFonts w:hint="eastAsia"/>
        </w:rPr>
        <w:t>表4.8-1  项目产品综合能耗表</w:t>
      </w:r>
    </w:p>
    <w:tbl>
      <w:tblPr>
        <w:tblStyle w:val="27"/>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6"/>
        <w:gridCol w:w="2449"/>
        <w:gridCol w:w="1764"/>
        <w:gridCol w:w="21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06" w:type="dxa"/>
            <w:vAlign w:val="center"/>
          </w:tcPr>
          <w:p>
            <w:pPr>
              <w:pStyle w:val="32"/>
            </w:pPr>
            <w:r>
              <w:t>能耗品种</w:t>
            </w:r>
          </w:p>
        </w:tc>
        <w:tc>
          <w:tcPr>
            <w:tcW w:w="2449" w:type="dxa"/>
            <w:vAlign w:val="center"/>
          </w:tcPr>
          <w:p>
            <w:pPr>
              <w:pStyle w:val="32"/>
            </w:pPr>
            <w:r>
              <w:t>能耗</w:t>
            </w:r>
          </w:p>
        </w:tc>
        <w:tc>
          <w:tcPr>
            <w:tcW w:w="1764" w:type="dxa"/>
            <w:vAlign w:val="center"/>
          </w:tcPr>
          <w:p>
            <w:pPr>
              <w:pStyle w:val="32"/>
            </w:pPr>
            <w:r>
              <w:t>吨产品能耗</w:t>
            </w:r>
          </w:p>
        </w:tc>
        <w:tc>
          <w:tcPr>
            <w:tcW w:w="2146" w:type="dxa"/>
            <w:vAlign w:val="center"/>
          </w:tcPr>
          <w:p>
            <w:pPr>
              <w:pStyle w:val="32"/>
            </w:pPr>
            <w:r>
              <w:t>单位产品能耗kg</w:t>
            </w:r>
            <w:r>
              <w:rPr>
                <w:rFonts w:hint="eastAsia"/>
              </w:rPr>
              <w:t>ce</w:t>
            </w:r>
            <w: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6" w:type="dxa"/>
            <w:vAlign w:val="center"/>
          </w:tcPr>
          <w:p>
            <w:pPr>
              <w:pStyle w:val="32"/>
            </w:pPr>
            <w:r>
              <w:t>电</w:t>
            </w:r>
          </w:p>
        </w:tc>
        <w:tc>
          <w:tcPr>
            <w:tcW w:w="2449" w:type="dxa"/>
            <w:vAlign w:val="center"/>
          </w:tcPr>
          <w:p>
            <w:pPr>
              <w:pStyle w:val="32"/>
            </w:pPr>
            <w:r>
              <w:rPr>
                <w:rFonts w:hint="eastAsia"/>
              </w:rPr>
              <w:t>448</w:t>
            </w:r>
            <w:r>
              <w:t>×10</w:t>
            </w:r>
            <w:r>
              <w:rPr>
                <w:vertAlign w:val="superscript"/>
              </w:rPr>
              <w:t>4</w:t>
            </w:r>
            <w:r>
              <w:t>kW.h/a</w:t>
            </w:r>
          </w:p>
        </w:tc>
        <w:tc>
          <w:tcPr>
            <w:tcW w:w="1764" w:type="dxa"/>
            <w:vAlign w:val="center"/>
          </w:tcPr>
          <w:p>
            <w:pPr>
              <w:pStyle w:val="32"/>
            </w:pPr>
            <w:r>
              <w:rPr>
                <w:rFonts w:hint="eastAsia"/>
              </w:rPr>
              <w:t>11.78</w:t>
            </w:r>
            <w:r>
              <w:t>kW.h</w:t>
            </w:r>
          </w:p>
        </w:tc>
        <w:tc>
          <w:tcPr>
            <w:tcW w:w="2146" w:type="dxa"/>
            <w:vAlign w:val="center"/>
          </w:tcPr>
          <w:p>
            <w:pPr>
              <w:pStyle w:val="32"/>
            </w:pPr>
            <w:r>
              <w:rPr>
                <w:rFonts w:hint="eastAsia"/>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6" w:type="dxa"/>
            <w:vAlign w:val="center"/>
          </w:tcPr>
          <w:p>
            <w:pPr>
              <w:pStyle w:val="32"/>
            </w:pPr>
            <w:r>
              <w:rPr>
                <w:rFonts w:hint="eastAsia"/>
              </w:rPr>
              <w:t>天然气</w:t>
            </w:r>
          </w:p>
        </w:tc>
        <w:tc>
          <w:tcPr>
            <w:tcW w:w="2449" w:type="dxa"/>
            <w:vAlign w:val="center"/>
          </w:tcPr>
          <w:p>
            <w:pPr>
              <w:pStyle w:val="32"/>
            </w:pPr>
            <w:r>
              <w:rPr>
                <w:rFonts w:hint="eastAsia"/>
              </w:rPr>
              <w:t>3802</w:t>
            </w:r>
            <w:r>
              <w:t>×10</w:t>
            </w:r>
            <w:r>
              <w:rPr>
                <w:vertAlign w:val="superscript"/>
              </w:rPr>
              <w:t>4</w:t>
            </w:r>
            <w:r>
              <w:t>m</w:t>
            </w:r>
            <w:r>
              <w:rPr>
                <w:vertAlign w:val="superscript"/>
              </w:rPr>
              <w:t>3</w:t>
            </w:r>
            <w:r>
              <w:t>/a</w:t>
            </w:r>
          </w:p>
        </w:tc>
        <w:tc>
          <w:tcPr>
            <w:tcW w:w="1764" w:type="dxa"/>
            <w:vAlign w:val="center"/>
          </w:tcPr>
          <w:p>
            <w:pPr>
              <w:pStyle w:val="32"/>
            </w:pPr>
            <w:r>
              <w:rPr>
                <w:rFonts w:hint="eastAsia"/>
              </w:rPr>
              <w:t>100.052</w:t>
            </w:r>
            <w:r>
              <w:t>m</w:t>
            </w:r>
            <w:r>
              <w:rPr>
                <w:vertAlign w:val="superscript"/>
              </w:rPr>
              <w:t>3</w:t>
            </w:r>
          </w:p>
        </w:tc>
        <w:tc>
          <w:tcPr>
            <w:tcW w:w="2146" w:type="dxa"/>
            <w:vAlign w:val="center"/>
          </w:tcPr>
          <w:p>
            <w:pPr>
              <w:pStyle w:val="32"/>
            </w:pPr>
            <w:r>
              <w:rPr>
                <w:rFonts w:hint="eastAsia"/>
              </w:rPr>
              <w:t>133.07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6" w:type="dxa"/>
            <w:vAlign w:val="center"/>
          </w:tcPr>
          <w:p>
            <w:pPr>
              <w:pStyle w:val="32"/>
            </w:pPr>
            <w:r>
              <w:rPr>
                <w:rFonts w:hint="eastAsia"/>
              </w:rPr>
              <w:t>小计</w:t>
            </w:r>
          </w:p>
        </w:tc>
        <w:tc>
          <w:tcPr>
            <w:tcW w:w="2449" w:type="dxa"/>
            <w:vAlign w:val="center"/>
          </w:tcPr>
          <w:p>
            <w:pPr>
              <w:pStyle w:val="32"/>
            </w:pPr>
          </w:p>
        </w:tc>
        <w:tc>
          <w:tcPr>
            <w:tcW w:w="1764" w:type="dxa"/>
            <w:vAlign w:val="center"/>
          </w:tcPr>
          <w:p>
            <w:pPr>
              <w:pStyle w:val="32"/>
            </w:pPr>
          </w:p>
        </w:tc>
        <w:tc>
          <w:tcPr>
            <w:tcW w:w="2146" w:type="dxa"/>
            <w:vAlign w:val="center"/>
          </w:tcPr>
          <w:p>
            <w:pPr>
              <w:pStyle w:val="32"/>
            </w:pPr>
            <w:r>
              <w:rPr>
                <w:rFonts w:hint="eastAsia"/>
              </w:rPr>
              <w:t>134.52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6" w:type="dxa"/>
            <w:vAlign w:val="center"/>
          </w:tcPr>
          <w:p>
            <w:pPr>
              <w:pStyle w:val="32"/>
            </w:pPr>
            <w:r>
              <w:rPr>
                <w:rFonts w:hint="eastAsia"/>
              </w:rPr>
              <w:t>不可预计量</w:t>
            </w:r>
          </w:p>
        </w:tc>
        <w:tc>
          <w:tcPr>
            <w:tcW w:w="2449" w:type="dxa"/>
            <w:vAlign w:val="center"/>
          </w:tcPr>
          <w:p>
            <w:pPr>
              <w:pStyle w:val="32"/>
            </w:pPr>
            <w:r>
              <w:rPr>
                <w:rFonts w:hint="eastAsia"/>
              </w:rPr>
              <w:t>10%</w:t>
            </w:r>
          </w:p>
        </w:tc>
        <w:tc>
          <w:tcPr>
            <w:tcW w:w="1764" w:type="dxa"/>
            <w:vAlign w:val="center"/>
          </w:tcPr>
          <w:p>
            <w:pPr>
              <w:pStyle w:val="32"/>
            </w:pPr>
          </w:p>
        </w:tc>
        <w:tc>
          <w:tcPr>
            <w:tcW w:w="2146" w:type="dxa"/>
            <w:vAlign w:val="center"/>
          </w:tcPr>
          <w:p>
            <w:pPr>
              <w:pStyle w:val="32"/>
            </w:pPr>
            <w:r>
              <w:rPr>
                <w:rFonts w:hint="eastAsia"/>
              </w:rPr>
              <w:t>13.45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06" w:type="dxa"/>
            <w:vAlign w:val="center"/>
          </w:tcPr>
          <w:p>
            <w:pPr>
              <w:pStyle w:val="32"/>
            </w:pPr>
            <w:r>
              <w:rPr>
                <w:rFonts w:hint="eastAsia"/>
              </w:rPr>
              <w:t>合计</w:t>
            </w:r>
          </w:p>
        </w:tc>
        <w:tc>
          <w:tcPr>
            <w:tcW w:w="2449" w:type="dxa"/>
            <w:vAlign w:val="center"/>
          </w:tcPr>
          <w:p>
            <w:pPr>
              <w:pStyle w:val="32"/>
            </w:pPr>
          </w:p>
        </w:tc>
        <w:tc>
          <w:tcPr>
            <w:tcW w:w="1764" w:type="dxa"/>
            <w:vAlign w:val="center"/>
          </w:tcPr>
          <w:p>
            <w:pPr>
              <w:pStyle w:val="32"/>
            </w:pPr>
          </w:p>
        </w:tc>
        <w:tc>
          <w:tcPr>
            <w:tcW w:w="2146" w:type="dxa"/>
            <w:vAlign w:val="center"/>
          </w:tcPr>
          <w:p>
            <w:pPr>
              <w:pStyle w:val="32"/>
            </w:pPr>
            <w:r>
              <w:rPr>
                <w:rFonts w:hint="eastAsia"/>
              </w:rPr>
              <w:t>147.97</w:t>
            </w:r>
          </w:p>
        </w:tc>
      </w:tr>
    </w:tbl>
    <w:p>
      <w:pPr>
        <w:pStyle w:val="7"/>
        <w:ind w:firstLine="480"/>
      </w:pPr>
      <w:r>
        <w:rPr>
          <w:rFonts w:hint="eastAsia"/>
        </w:rPr>
        <w:t>参照《</w:t>
      </w:r>
      <w:r>
        <w:t>变形铝及铝合金单位产品能源消耗限额第1部分：铸造锭》</w:t>
      </w:r>
      <w:r>
        <w:rPr>
          <w:rFonts w:hint="eastAsia"/>
        </w:rPr>
        <w:t>，</w:t>
      </w:r>
      <w:r>
        <w:t>YS/T694.1-2009</w:t>
      </w:r>
      <w:r>
        <w:rPr>
          <w:rFonts w:hint="eastAsia"/>
        </w:rPr>
        <w:t>，拟建项目工艺能耗与</w:t>
      </w:r>
      <w:r>
        <w:t>YS/T694.1-2009</w:t>
      </w:r>
      <w:r>
        <w:rPr>
          <w:rFonts w:hint="eastAsia"/>
        </w:rPr>
        <w:t>对比见表4</w:t>
      </w:r>
      <w:r>
        <w:t>.8</w:t>
      </w:r>
      <w:r>
        <w:rPr>
          <w:rFonts w:hint="eastAsia"/>
        </w:rPr>
        <w:t>-2。</w:t>
      </w:r>
    </w:p>
    <w:p>
      <w:pPr>
        <w:pStyle w:val="31"/>
      </w:pPr>
      <w:r>
        <w:rPr>
          <w:rFonts w:hint="eastAsia"/>
        </w:rPr>
        <w:t>表4</w:t>
      </w:r>
      <w:r>
        <w:t>.8</w:t>
      </w:r>
      <w:r>
        <w:rPr>
          <w:rFonts w:hint="eastAsia"/>
        </w:rPr>
        <w:t>-2  项目能耗指标比较表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1669"/>
        <w:gridCol w:w="1007"/>
        <w:gridCol w:w="997"/>
        <w:gridCol w:w="866"/>
        <w:gridCol w:w="3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69" w:hRule="atLeast"/>
          <w:jc w:val="center"/>
        </w:trPr>
        <w:tc>
          <w:tcPr>
            <w:tcW w:w="979" w:type="pct"/>
            <w:vMerge w:val="restart"/>
            <w:vAlign w:val="center"/>
          </w:tcPr>
          <w:p>
            <w:pPr>
              <w:pStyle w:val="33"/>
            </w:pPr>
            <w:r>
              <w:t>指标名称</w:t>
            </w:r>
          </w:p>
        </w:tc>
        <w:tc>
          <w:tcPr>
            <w:tcW w:w="591" w:type="pct"/>
            <w:vMerge w:val="restart"/>
            <w:vAlign w:val="center"/>
          </w:tcPr>
          <w:p>
            <w:pPr>
              <w:pStyle w:val="33"/>
            </w:pPr>
            <w:r>
              <w:t>单位</w:t>
            </w:r>
          </w:p>
        </w:tc>
        <w:tc>
          <w:tcPr>
            <w:tcW w:w="1093" w:type="pct"/>
            <w:gridSpan w:val="2"/>
            <w:vAlign w:val="center"/>
          </w:tcPr>
          <w:p>
            <w:pPr>
              <w:pStyle w:val="33"/>
            </w:pPr>
            <w:r>
              <w:t>比较指标</w:t>
            </w:r>
          </w:p>
        </w:tc>
        <w:tc>
          <w:tcPr>
            <w:tcW w:w="2337" w:type="pct"/>
            <w:vMerge w:val="restart"/>
            <w:vAlign w:val="center"/>
          </w:tcPr>
          <w:p>
            <w:pPr>
              <w:pStyle w:val="33"/>
            </w:pPr>
            <w: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69" w:hRule="atLeast"/>
          <w:jc w:val="center"/>
        </w:trPr>
        <w:tc>
          <w:tcPr>
            <w:tcW w:w="979" w:type="pct"/>
            <w:vMerge w:val="continue"/>
            <w:vAlign w:val="center"/>
          </w:tcPr>
          <w:p>
            <w:pPr>
              <w:pStyle w:val="33"/>
            </w:pPr>
          </w:p>
        </w:tc>
        <w:tc>
          <w:tcPr>
            <w:tcW w:w="591" w:type="pct"/>
            <w:vMerge w:val="continue"/>
            <w:vAlign w:val="center"/>
          </w:tcPr>
          <w:p>
            <w:pPr>
              <w:pStyle w:val="33"/>
            </w:pPr>
          </w:p>
        </w:tc>
        <w:tc>
          <w:tcPr>
            <w:tcW w:w="585" w:type="pct"/>
            <w:vAlign w:val="center"/>
          </w:tcPr>
          <w:p>
            <w:pPr>
              <w:pStyle w:val="33"/>
            </w:pPr>
            <w:r>
              <w:t>设计</w:t>
            </w:r>
          </w:p>
        </w:tc>
        <w:tc>
          <w:tcPr>
            <w:tcW w:w="508" w:type="pct"/>
            <w:vAlign w:val="center"/>
          </w:tcPr>
          <w:p>
            <w:pPr>
              <w:pStyle w:val="33"/>
            </w:pPr>
            <w:r>
              <w:t>规定</w:t>
            </w:r>
          </w:p>
        </w:tc>
        <w:tc>
          <w:tcPr>
            <w:tcW w:w="2337" w:type="pct"/>
            <w:vMerge w:val="continue"/>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69" w:hRule="atLeast"/>
          <w:jc w:val="center"/>
        </w:trPr>
        <w:tc>
          <w:tcPr>
            <w:tcW w:w="979" w:type="pct"/>
            <w:vAlign w:val="center"/>
          </w:tcPr>
          <w:p>
            <w:pPr>
              <w:pStyle w:val="33"/>
            </w:pPr>
            <w:r>
              <w:t>新建生产企业</w:t>
            </w:r>
            <w:r>
              <w:rPr>
                <w:rFonts w:hint="eastAsia"/>
              </w:rPr>
              <w:t>铸棒</w:t>
            </w:r>
            <w:r>
              <w:t>综合能耗</w:t>
            </w:r>
          </w:p>
        </w:tc>
        <w:tc>
          <w:tcPr>
            <w:tcW w:w="591" w:type="pct"/>
            <w:vAlign w:val="center"/>
          </w:tcPr>
          <w:p>
            <w:pPr>
              <w:pStyle w:val="33"/>
            </w:pPr>
            <w:bookmarkStart w:id="90" w:name="OLE_LINK26"/>
            <w:bookmarkStart w:id="91" w:name="OLE_LINK25"/>
            <w:r>
              <w:t>kgce</w:t>
            </w:r>
            <w:bookmarkEnd w:id="90"/>
            <w:bookmarkEnd w:id="91"/>
            <w:r>
              <w:t>/t</w:t>
            </w:r>
          </w:p>
        </w:tc>
        <w:tc>
          <w:tcPr>
            <w:tcW w:w="585" w:type="pct"/>
            <w:vAlign w:val="center"/>
          </w:tcPr>
          <w:p>
            <w:pPr>
              <w:pStyle w:val="33"/>
            </w:pPr>
            <w:r>
              <w:rPr>
                <w:rFonts w:hint="eastAsia"/>
              </w:rPr>
              <w:t>147.97</w:t>
            </w:r>
          </w:p>
        </w:tc>
        <w:tc>
          <w:tcPr>
            <w:tcW w:w="508" w:type="pct"/>
            <w:vAlign w:val="center"/>
          </w:tcPr>
          <w:p>
            <w:pPr>
              <w:pStyle w:val="33"/>
            </w:pPr>
            <w:r>
              <w:t>≤165</w:t>
            </w:r>
          </w:p>
        </w:tc>
        <w:tc>
          <w:tcPr>
            <w:tcW w:w="2337" w:type="pct"/>
          </w:tcPr>
          <w:p>
            <w:pPr>
              <w:pStyle w:val="33"/>
            </w:pPr>
            <w:r>
              <w:t>《变形铝及铝合金单位产品能源消耗限额 第1部分：铸造锭》（YS/T694.1-2009）先进值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69" w:hRule="atLeast"/>
          <w:jc w:val="center"/>
        </w:trPr>
        <w:tc>
          <w:tcPr>
            <w:tcW w:w="979" w:type="pct"/>
            <w:vAlign w:val="center"/>
          </w:tcPr>
          <w:p>
            <w:pPr>
              <w:pStyle w:val="33"/>
            </w:pPr>
            <w:r>
              <w:t>万元工业增加值综合能耗</w:t>
            </w:r>
          </w:p>
        </w:tc>
        <w:tc>
          <w:tcPr>
            <w:tcW w:w="591" w:type="pct"/>
            <w:vAlign w:val="center"/>
          </w:tcPr>
          <w:p>
            <w:pPr>
              <w:pStyle w:val="33"/>
            </w:pPr>
            <w:r>
              <w:t>tce/万元</w:t>
            </w:r>
          </w:p>
        </w:tc>
        <w:tc>
          <w:tcPr>
            <w:tcW w:w="585" w:type="pct"/>
            <w:vAlign w:val="center"/>
          </w:tcPr>
          <w:p>
            <w:pPr>
              <w:pStyle w:val="33"/>
            </w:pPr>
            <w:r>
              <w:rPr>
                <w:rFonts w:hint="eastAsia"/>
              </w:rPr>
              <w:t>1.02</w:t>
            </w:r>
          </w:p>
        </w:tc>
        <w:tc>
          <w:tcPr>
            <w:tcW w:w="508" w:type="pct"/>
            <w:vAlign w:val="center"/>
          </w:tcPr>
          <w:p>
            <w:pPr>
              <w:pStyle w:val="33"/>
            </w:pPr>
            <w:r>
              <w:t>1.52</w:t>
            </w:r>
          </w:p>
        </w:tc>
        <w:tc>
          <w:tcPr>
            <w:tcW w:w="2337" w:type="pct"/>
          </w:tcPr>
          <w:p>
            <w:pPr>
              <w:pStyle w:val="33"/>
            </w:pPr>
            <w:r>
              <w:t>规定指标依据2010年</w:t>
            </w:r>
            <w:r>
              <w:rPr>
                <w:rFonts w:hint="eastAsia"/>
              </w:rPr>
              <w:t>文山州</w:t>
            </w:r>
            <w:r>
              <w:t>工业增加值能耗折算所得的2015年万元工业增加值能耗目标值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69" w:hRule="atLeast"/>
          <w:jc w:val="center"/>
        </w:trPr>
        <w:tc>
          <w:tcPr>
            <w:tcW w:w="979" w:type="pct"/>
            <w:vAlign w:val="center"/>
          </w:tcPr>
          <w:p>
            <w:pPr>
              <w:pStyle w:val="33"/>
            </w:pPr>
            <w:r>
              <w:t>功率因数</w:t>
            </w:r>
          </w:p>
        </w:tc>
        <w:tc>
          <w:tcPr>
            <w:tcW w:w="591" w:type="pct"/>
            <w:vAlign w:val="center"/>
          </w:tcPr>
          <w:p>
            <w:pPr>
              <w:pStyle w:val="33"/>
            </w:pPr>
            <w:r>
              <w:t>/</w:t>
            </w:r>
          </w:p>
        </w:tc>
        <w:tc>
          <w:tcPr>
            <w:tcW w:w="585" w:type="pct"/>
            <w:vAlign w:val="center"/>
          </w:tcPr>
          <w:p>
            <w:pPr>
              <w:pStyle w:val="33"/>
            </w:pPr>
            <w:r>
              <w:t>0.9</w:t>
            </w:r>
            <w:r>
              <w:rPr>
                <w:rFonts w:hint="eastAsia"/>
              </w:rPr>
              <w:t>2</w:t>
            </w:r>
          </w:p>
        </w:tc>
        <w:tc>
          <w:tcPr>
            <w:tcW w:w="508" w:type="pct"/>
            <w:vAlign w:val="center"/>
          </w:tcPr>
          <w:p>
            <w:pPr>
              <w:pStyle w:val="33"/>
            </w:pPr>
            <w:r>
              <w:t>≥0.9</w:t>
            </w:r>
          </w:p>
        </w:tc>
        <w:tc>
          <w:tcPr>
            <w:tcW w:w="2337" w:type="pct"/>
          </w:tcPr>
          <w:p>
            <w:pPr>
              <w:pStyle w:val="33"/>
            </w:pPr>
            <w:r>
              <w:t>规定指标为《低压配电设计规范》中指标（GB50054-2011）</w:t>
            </w:r>
          </w:p>
        </w:tc>
      </w:tr>
    </w:tbl>
    <w:p>
      <w:pPr>
        <w:pStyle w:val="7"/>
        <w:ind w:firstLine="480"/>
      </w:pPr>
      <w:r>
        <w:t>由上表可见，本项目</w:t>
      </w:r>
      <w:r>
        <w:rPr>
          <w:rFonts w:hint="eastAsia"/>
        </w:rPr>
        <w:t>综合能耗指标</w:t>
      </w:r>
      <w:r>
        <w:t>满足《</w:t>
      </w:r>
      <w:r>
        <w:rPr>
          <w:rFonts w:hint="eastAsia"/>
        </w:rPr>
        <w:t>变形铝及铝合金单位产品能源消耗限额</w:t>
      </w:r>
      <w:r>
        <w:t>》（</w:t>
      </w:r>
      <w:r>
        <w:rPr>
          <w:rFonts w:hint="eastAsia"/>
        </w:rPr>
        <w:t>YS/T694.1-2009</w:t>
      </w:r>
      <w:r>
        <w:t>）要求</w:t>
      </w:r>
      <w:r>
        <w:rPr>
          <w:rFonts w:hint="eastAsia"/>
        </w:rPr>
        <w:t>。综上，项目能耗指标较低，可达到国内清洁生产先进水平。</w:t>
      </w:r>
    </w:p>
    <w:p>
      <w:pPr>
        <w:pStyle w:val="7"/>
        <w:ind w:firstLine="480"/>
      </w:pPr>
      <w:r>
        <w:rPr>
          <w:rFonts w:hint="eastAsia"/>
        </w:rPr>
        <w:t>（4）污染物排放指标评价</w:t>
      </w:r>
    </w:p>
    <w:p>
      <w:pPr>
        <w:pStyle w:val="7"/>
        <w:ind w:firstLine="480"/>
      </w:pPr>
      <w:r>
        <w:t>项目熔铸车间和铝灰处理车间均设置有除尘系统，除尘效率≥95%，除尘后烟（粉）尘排放浓度均满足有关标准要求。</w:t>
      </w:r>
    </w:p>
    <w:p>
      <w:pPr>
        <w:pStyle w:val="7"/>
        <w:ind w:firstLine="480"/>
      </w:pPr>
      <w:r>
        <w:t>项目扒渣产生的氧化渣以及除尘系统除尘灰均送至铝灰处理车间进行处理，最大程度的实现了废物的综合利用。</w:t>
      </w:r>
    </w:p>
    <w:p>
      <w:pPr>
        <w:pStyle w:val="7"/>
        <w:ind w:firstLine="480"/>
      </w:pPr>
      <w:r>
        <w:t>工程设计在对各类污染源实施有效防治的基础上，加强污染防治设施的维护与管理，确保其长期稳定地运行，最大限度地减少各污染物排放，减轻对周围环境的影响。</w:t>
      </w:r>
    </w:p>
    <w:p>
      <w:pPr>
        <w:pStyle w:val="7"/>
        <w:ind w:firstLine="480"/>
      </w:pPr>
      <w:r>
        <w:rPr>
          <w:rFonts w:hint="eastAsia"/>
        </w:rPr>
        <w:t>（5）环境管理要求</w:t>
      </w:r>
    </w:p>
    <w:p>
      <w:pPr>
        <w:pStyle w:val="7"/>
        <w:ind w:firstLine="480"/>
      </w:pPr>
      <w:r>
        <w:rPr>
          <w:rFonts w:hint="eastAsia"/>
        </w:rPr>
        <w:t>项目将建立专门的环保机构，</w:t>
      </w:r>
      <w:r>
        <w:t>并配备2人专门负责全厂的环境管理工作及维持环保设施的正常运转，建立环保档案及按照国家和地方有关法律、法规、污染物排放要求管理本项目的污染物排放。</w:t>
      </w:r>
    </w:p>
    <w:p>
      <w:pPr>
        <w:pStyle w:val="8"/>
      </w:pPr>
      <w:r>
        <w:rPr>
          <w:rFonts w:hint="eastAsia"/>
        </w:rPr>
        <w:t>4.8.3清洁生产评价小结</w:t>
      </w:r>
    </w:p>
    <w:p>
      <w:pPr>
        <w:pStyle w:val="7"/>
        <w:ind w:firstLine="480"/>
      </w:pPr>
      <w:r>
        <w:rPr>
          <w:rFonts w:hint="eastAsia"/>
        </w:rPr>
        <w:t>综上所述，项目采用了国内外先进的工艺技术和生产设备，以及清洁的原辅材料，且对生产过程中产生的“三废”尽量回收利用，做到水循环使用，同时注重生产全过程污染控制，即节约了资源，控制了物料流失，又减少了外排污染对环境的影响。因此，可认为项目清洁生产水平属于国内先进水平。</w:t>
      </w:r>
    </w:p>
    <w:p>
      <w:pPr>
        <w:pStyle w:val="8"/>
      </w:pPr>
      <w:r>
        <w:rPr>
          <w:rFonts w:hint="eastAsia"/>
        </w:rPr>
        <w:t>4.8.4进一步实施清洁生产的途径</w:t>
      </w:r>
    </w:p>
    <w:p>
      <w:pPr>
        <w:pStyle w:val="7"/>
        <w:ind w:firstLine="480"/>
      </w:pPr>
      <w:r>
        <w:rPr>
          <w:rFonts w:hint="eastAsia"/>
        </w:rPr>
        <w:t>根据项目工程分析，从该项目建设以及实际运行特点，本评价建议该项目建设过程中在以下方面加强或是采取相应措施，从整个生产运行周期体现清洁生产的思想和目的。具体措施如下：</w:t>
      </w:r>
    </w:p>
    <w:p>
      <w:pPr>
        <w:pStyle w:val="7"/>
        <w:ind w:firstLine="480"/>
      </w:pPr>
      <w:r>
        <w:rPr>
          <w:rFonts w:hint="eastAsia"/>
        </w:rPr>
        <w:t>（1）开展项目能源审计，强化节能措施，包括提高热能利用、提高冷却水循环利用率，各种设备尽量选用节能、低噪型。</w:t>
      </w:r>
    </w:p>
    <w:p>
      <w:pPr>
        <w:pStyle w:val="7"/>
        <w:ind w:firstLine="480"/>
      </w:pPr>
      <w:r>
        <w:rPr>
          <w:rFonts w:hint="eastAsia"/>
        </w:rPr>
        <w:t>（2）建议采用无氟化物的精炼剂，充分减少氟化物的产生。</w:t>
      </w:r>
    </w:p>
    <w:p>
      <w:pPr>
        <w:pStyle w:val="7"/>
        <w:ind w:firstLine="480"/>
        <w:rPr>
          <w:rFonts w:hint="eastAsia"/>
        </w:rPr>
      </w:pPr>
      <w:r>
        <w:rPr>
          <w:rFonts w:hint="eastAsia"/>
        </w:rPr>
        <w:t>（3）按ISO中环境管理体系的标准要求，管理生产和一切生产活动，使企业持续改进，有效控制污染。</w:t>
      </w:r>
    </w:p>
    <w:p>
      <w:pPr>
        <w:pStyle w:val="7"/>
        <w:ind w:firstLine="480"/>
        <w:rPr>
          <w:rFonts w:hint="eastAsia"/>
        </w:rPr>
      </w:pPr>
    </w:p>
    <w:p>
      <w:pPr>
        <w:pStyle w:val="7"/>
        <w:ind w:firstLine="480"/>
        <w:rPr>
          <w:rFonts w:hint="eastAsia"/>
        </w:rPr>
      </w:pPr>
    </w:p>
    <w:p>
      <w:pPr>
        <w:pStyle w:val="7"/>
        <w:ind w:firstLine="480"/>
        <w:rPr>
          <w:rFonts w:hint="eastAsia"/>
        </w:rPr>
      </w:pPr>
    </w:p>
    <w:p>
      <w:pPr>
        <w:pStyle w:val="7"/>
        <w:ind w:firstLine="480"/>
        <w:sectPr>
          <w:pgSz w:w="11906" w:h="16838"/>
          <w:pgMar w:top="1440" w:right="1800" w:bottom="1440" w:left="1800" w:header="851" w:footer="992" w:gutter="0"/>
          <w:cols w:space="425" w:num="1"/>
          <w:docGrid w:type="lines" w:linePitch="312" w:charSpace="0"/>
        </w:sectPr>
      </w:pPr>
    </w:p>
    <w:p>
      <w:pPr>
        <w:pStyle w:val="4"/>
      </w:pPr>
      <w:bookmarkStart w:id="92" w:name="_Toc9579"/>
      <w:r>
        <w:rPr>
          <w:rFonts w:hint="eastAsia"/>
        </w:rPr>
        <w:t>5 建设项目所处区域环境概况</w:t>
      </w:r>
      <w:bookmarkEnd w:id="92"/>
    </w:p>
    <w:p>
      <w:pPr>
        <w:pStyle w:val="5"/>
      </w:pPr>
      <w:bookmarkStart w:id="93" w:name="_Toc10764"/>
      <w:r>
        <w:rPr>
          <w:rFonts w:hint="eastAsia"/>
        </w:rPr>
        <w:t>5.1自然环境概况</w:t>
      </w:r>
      <w:bookmarkEnd w:id="93"/>
    </w:p>
    <w:p>
      <w:pPr>
        <w:pStyle w:val="8"/>
      </w:pPr>
      <w:r>
        <w:rPr>
          <w:rFonts w:hint="eastAsia"/>
        </w:rPr>
        <w:t>5.1.1地理位置</w:t>
      </w:r>
    </w:p>
    <w:p>
      <w:pPr>
        <w:pStyle w:val="7"/>
        <w:ind w:firstLine="480"/>
      </w:pPr>
      <w:r>
        <w:rPr>
          <w:rFonts w:hint="eastAsia"/>
        </w:rPr>
        <w:t>文山壮族苗族自治州位于云南省东南部，东与广西百色市接壤，西与云南省红河哈尼族彝族自治州毗邻，北与云南省曲靖市相连，南与越南民主共和国接界。</w:t>
      </w:r>
    </w:p>
    <w:p>
      <w:pPr>
        <w:pStyle w:val="7"/>
        <w:ind w:firstLine="480"/>
      </w:pPr>
      <w:r>
        <w:rPr>
          <w:rFonts w:hint="eastAsia"/>
        </w:rPr>
        <w:t>砚山县位于云南东南部，文山州中西部，地理位置介于东经103°35′～104°45′、北纬23°18′～23°59′之间。东南北三面分别与文山州的广南、西畴、文山、丘北四县相连，西部与红河哈尼族彝族自治州的蒙自县和开远市接壤。东西最大横距107km，南北最大纵距70km，县城所在地江那镇距州府文山35km，距省会昆明354km。境内公路网络纵横交错，国道323线纵穿境内，是云南通往沿海地区的重要通道。</w:t>
      </w:r>
    </w:p>
    <w:p>
      <w:pPr>
        <w:pStyle w:val="7"/>
        <w:ind w:firstLine="480"/>
      </w:pPr>
      <w:r>
        <w:rPr>
          <w:rFonts w:hint="eastAsia"/>
        </w:rPr>
        <w:t>本项目厂址位于云南省文山州砚山工业园区布标片区范围内，项目用地为园区规划的工业建设用地，地理位置图见附图1。</w:t>
      </w:r>
    </w:p>
    <w:p>
      <w:pPr>
        <w:pStyle w:val="8"/>
      </w:pPr>
      <w:r>
        <w:rPr>
          <w:rFonts w:hint="eastAsia"/>
        </w:rPr>
        <w:t>5.1.2地形地貌</w:t>
      </w:r>
    </w:p>
    <w:p>
      <w:pPr>
        <w:pStyle w:val="7"/>
        <w:ind w:firstLine="482"/>
        <w:rPr>
          <w:b/>
          <w:bCs/>
        </w:rPr>
      </w:pPr>
      <w:r>
        <w:rPr>
          <w:rFonts w:hint="eastAsia"/>
          <w:b/>
          <w:bCs/>
        </w:rPr>
        <w:t>1、地形地貌</w:t>
      </w:r>
    </w:p>
    <w:p>
      <w:pPr>
        <w:pStyle w:val="7"/>
        <w:ind w:firstLine="480"/>
      </w:pPr>
      <w:r>
        <w:rPr>
          <w:rFonts w:hint="eastAsia"/>
        </w:rPr>
        <w:t>砚山县属滇东南岩溶丘原地貌，境内六诏山脉横贯其中，山脉走向较规则地由东向西延伸，形成中山河谷。地形从西北的最高点（鲁都克马吊陡坡海拔2263.30m）逐步向东南方向的最低点（八嘎三岔河海拔1080.00m）倾斜，形成西北高、东南低的倾斜地势，地形地貌十分复杂。砚山县处于珠江水系和红河水系分水岭，全县地形由西向东南呈阶梯式下降，形成高、中、低三层，以海拔1400～1600米的中层为主。砚山处于珠江水系和红河水系之分水岭。全县小河流分布众多，河流短，河床窄，境内总长198.4km。全县境内湖泊星罗棋布，较大湖泊有两个，即海子边海和差黑海，总面积7566亩。有3000亩以上的坝子35个，其中平远坝子为全省八大坝子之一。全县土地总面积3822km</w:t>
      </w:r>
      <w:r>
        <w:rPr>
          <w:rFonts w:hint="eastAsia"/>
          <w:vertAlign w:val="superscript"/>
        </w:rPr>
        <w:t>2</w:t>
      </w:r>
      <w:r>
        <w:rPr>
          <w:rFonts w:hint="eastAsia"/>
        </w:rPr>
        <w:t>，其中山地面积占56％，丘陵面积占29％，盆地面积占15％。</w:t>
      </w:r>
    </w:p>
    <w:p>
      <w:pPr>
        <w:pStyle w:val="7"/>
        <w:ind w:firstLine="480"/>
      </w:pPr>
      <w:r>
        <w:rPr>
          <w:rFonts w:hint="eastAsia"/>
        </w:rPr>
        <w:t>砚山县地貌大体可分为构造侵蚀地貌、岩溶（喀斯特）地貌和断陷沉积盆地地貌，构造侵蚀地貌主要分布于砚山县八嘎、蚌峨；岩溶（喀斯特）地貌是主要分布于砚山县城、维摩、平远、稼依等；断陷沉积盆地主要分布于砚山县城所在地。剥蚀地貌和堆积地貌等零星出露，分布面积有限。</w:t>
      </w:r>
    </w:p>
    <w:p>
      <w:pPr>
        <w:pStyle w:val="7"/>
        <w:ind w:firstLine="480"/>
      </w:pPr>
      <w:r>
        <w:rPr>
          <w:rFonts w:hint="eastAsia"/>
        </w:rPr>
        <w:t>砚山县境内不良物理地质现象主要表现为滑坡、塌坍、泥石流和塌陷等。滑坡主要分布于沿河两岸斜坡地带和新修公路两侧，以中小型浅层滑坡为主。塌坍多发生在陡崖区附近。泥石流主要发育于人为破坏较为严重，地表风化强烈的碎屑岩区，影响程度轻微～中等。塌陷包括矿山开采地表塌陷和碳酸盐岩区的地表岩溶塌陷。总体上区内不良物理地质现象规模一般不大，影响范围有限。</w:t>
      </w:r>
    </w:p>
    <w:p>
      <w:pPr>
        <w:pStyle w:val="7"/>
        <w:ind w:firstLine="482"/>
        <w:rPr>
          <w:b/>
          <w:bCs/>
        </w:rPr>
      </w:pPr>
      <w:r>
        <w:rPr>
          <w:rFonts w:hint="eastAsia"/>
          <w:b/>
          <w:bCs/>
        </w:rPr>
        <w:t>2、地质地层岩性、构造</w:t>
      </w:r>
    </w:p>
    <w:p>
      <w:pPr>
        <w:pStyle w:val="7"/>
        <w:ind w:firstLine="480"/>
      </w:pPr>
      <w:r>
        <w:rPr>
          <w:rFonts w:hint="eastAsia"/>
        </w:rPr>
        <w:t>（1）地层岩性</w:t>
      </w:r>
    </w:p>
    <w:p>
      <w:pPr>
        <w:pStyle w:val="7"/>
        <w:ind w:firstLine="480"/>
      </w:pPr>
      <w:r>
        <w:rPr>
          <w:rFonts w:hint="eastAsia"/>
        </w:rPr>
        <w:t>·沉积岩</w:t>
      </w:r>
    </w:p>
    <w:p>
      <w:pPr>
        <w:pStyle w:val="7"/>
        <w:ind w:firstLine="480"/>
      </w:pPr>
      <w:r>
        <w:rPr>
          <w:rFonts w:hint="eastAsia"/>
        </w:rPr>
        <w:t>砚山县沉积地层十分发育，古生代、中生代、新生代地层都有发育。就分布面积而言，以晚古生代和中生代三叠系最广，早古生代次之，新生代只分布于为数不多的断陷盆地中。本区除古生代志留系和中生代侏罗系、白垩系缺失外，自寒武系至第四系地层均有不同程度的出露。</w:t>
      </w:r>
    </w:p>
    <w:p>
      <w:pPr>
        <w:pStyle w:val="7"/>
        <w:ind w:firstLine="480"/>
      </w:pPr>
      <w:r>
        <w:rPr>
          <w:rFonts w:hint="eastAsia"/>
        </w:rPr>
        <w:t>·岩浆岩</w:t>
      </w:r>
    </w:p>
    <w:p>
      <w:pPr>
        <w:pStyle w:val="7"/>
        <w:ind w:firstLine="480"/>
      </w:pPr>
      <w:r>
        <w:rPr>
          <w:rFonts w:hint="eastAsia"/>
        </w:rPr>
        <w:t>砚山县境内岩浆岩较为发育，侵入岩和喷出岩均有出露，岩石种类繁多，有酸性、中性、基性、超基性和碱性岩石等。主要经历了华力西期、印支期、燕山期和喜马拉雅期等四次岩浆活动，薄竹山花岗岩体是县境内最大的侵入岩体。出露岩浆岩主要有辉绿岩、辉长辉绿岩、钛辉辉绿岩、钛辉辉长辉绿岩、辉长苏长岩、闪长岩、花岗岩、黑云母二长花岗岩、二云母花岗岩、透长石斑岩、玄武岩、致密玄武岩和峨嵋山玄武岩、凝灰岩等。</w:t>
      </w:r>
    </w:p>
    <w:p>
      <w:pPr>
        <w:pStyle w:val="7"/>
        <w:ind w:firstLine="480"/>
      </w:pPr>
      <w:r>
        <w:rPr>
          <w:rFonts w:hint="eastAsia"/>
        </w:rPr>
        <w:t>（2）地质</w:t>
      </w:r>
    </w:p>
    <w:p>
      <w:pPr>
        <w:pStyle w:val="7"/>
        <w:ind w:firstLine="480"/>
      </w:pPr>
      <w:r>
        <w:rPr>
          <w:rFonts w:hint="eastAsia"/>
        </w:rPr>
        <w:t>砚山县地质构造属华南加里东褶皱带云南弧形构造单元。经历多期次构造变动，褶皱和断裂发育且分布广泛，东部地质构造较西部复杂。主体构造线以北东向为主，东西向、北西向等次之。断裂构造以压扭性断裂为主。主要构造有龙所～蚌峨褶皱带、老鹰山～阿猛褶皱带、长岭街～倮基黑褶皱带。</w:t>
      </w:r>
    </w:p>
    <w:p>
      <w:pPr>
        <w:pStyle w:val="7"/>
        <w:ind w:firstLine="480"/>
      </w:pPr>
      <w:r>
        <w:rPr>
          <w:rFonts w:hint="eastAsia"/>
        </w:rPr>
        <w:t>区内地处南岭东西向复杂构造带的西延部份，也属于滇桂径向构造带的影响范围，规模巨大的青藏滇缅“歹”字型构造的派生构造也涉及到本区。由多种应力长期反复作用，造成本区地质构造的复杂性，形成了不同规模，不同型态，不同方位，不同次序的构造带。区内主要构造有扭动构造和东西向构造。</w:t>
      </w:r>
    </w:p>
    <w:p>
      <w:pPr>
        <w:pStyle w:val="7"/>
        <w:ind w:firstLine="480"/>
      </w:pPr>
      <w:r>
        <w:rPr>
          <w:rFonts w:hint="eastAsia"/>
        </w:rPr>
        <w:t>扭动构造：是区内广泛存在的一种构造形式，以砚山阿猛山字型构造为主。</w:t>
      </w:r>
    </w:p>
    <w:p>
      <w:pPr>
        <w:pStyle w:val="7"/>
        <w:ind w:firstLine="480"/>
      </w:pPr>
      <w:r>
        <w:rPr>
          <w:rFonts w:hint="eastAsia"/>
        </w:rPr>
        <w:t>东西向构造：本区东西向构造分布零星、断续，主要代表性构造有砚山西吉向斜。</w:t>
      </w:r>
    </w:p>
    <w:p>
      <w:pPr>
        <w:pStyle w:val="7"/>
        <w:ind w:firstLine="480"/>
      </w:pPr>
      <w:r>
        <w:rPr>
          <w:rFonts w:hint="eastAsia"/>
        </w:rPr>
        <w:t>砚山县所在区域，从县域境内的各主要河流阶地的特点和岩溶地貌的演变情况分析，第三纪以后的新构造运动颇为活跃，总体呈持续上升趋势，同时也存在着差异性、间歇性、继承性等。</w:t>
      </w:r>
    </w:p>
    <w:p>
      <w:pPr>
        <w:pStyle w:val="7"/>
        <w:ind w:firstLine="480"/>
      </w:pPr>
      <w:r>
        <w:rPr>
          <w:rFonts w:hint="eastAsia"/>
        </w:rPr>
        <w:t>（3）地震</w:t>
      </w:r>
    </w:p>
    <w:p>
      <w:pPr>
        <w:pStyle w:val="7"/>
        <w:ind w:firstLine="480"/>
      </w:pPr>
      <w:r>
        <w:rPr>
          <w:rFonts w:hint="eastAsia"/>
        </w:rPr>
        <w:t>根据《建筑抗震设计规范》（GB50011-2010）附录A.0.22划分，砚山县地震基本烈度为6度，设计基本地震加速度值0.05g，所属设计地震分组为第二组。</w:t>
      </w:r>
    </w:p>
    <w:p>
      <w:pPr>
        <w:pStyle w:val="7"/>
        <w:ind w:firstLine="480"/>
      </w:pPr>
      <w:r>
        <w:rPr>
          <w:rFonts w:hint="eastAsia"/>
        </w:rPr>
        <w:t>根据《云南地质构造及区域稳定性遥感综合调查报告》，砚山县域区属罗平～广南～文山地壳稳定区。</w:t>
      </w:r>
    </w:p>
    <w:p>
      <w:pPr>
        <w:pStyle w:val="8"/>
      </w:pPr>
      <w:r>
        <w:rPr>
          <w:rFonts w:hint="eastAsia"/>
        </w:rPr>
        <w:t>5.1.3河流水系</w:t>
      </w:r>
    </w:p>
    <w:p>
      <w:pPr>
        <w:pStyle w:val="7"/>
        <w:ind w:firstLine="520"/>
        <w:rPr>
          <w:spacing w:val="10"/>
        </w:rPr>
      </w:pPr>
      <w:r>
        <w:rPr>
          <w:spacing w:val="10"/>
        </w:rPr>
        <w:t>砚山地处红河、珠江两流域分水岭，河网密度小。砚山县属珠江流域西江水系面积1548.85k</w:t>
      </w:r>
      <w:r>
        <w:t>m</w:t>
      </w:r>
      <w:r>
        <w:rPr>
          <w:vertAlign w:val="superscript"/>
        </w:rPr>
        <w:t>2</w:t>
      </w:r>
      <w:r>
        <w:rPr>
          <w:spacing w:val="10"/>
        </w:rPr>
        <w:t>，占41.4%；属红河流域泸江水系面积2189.15km</w:t>
      </w:r>
      <w:r>
        <w:rPr>
          <w:spacing w:val="10"/>
          <w:vertAlign w:val="superscript"/>
        </w:rPr>
        <w:t>2</w:t>
      </w:r>
      <w:r>
        <w:rPr>
          <w:spacing w:val="10"/>
        </w:rPr>
        <w:t>，占58.6%。主要河流有公革河、阿山龙河、八嘎河、稼依河、翁达河等，总长224.76km，流域面积3737.98k</w:t>
      </w:r>
      <w:r>
        <w:t>m</w:t>
      </w:r>
      <w:r>
        <w:rPr>
          <w:vertAlign w:val="superscript"/>
        </w:rPr>
        <w:t>2</w:t>
      </w:r>
      <w:r>
        <w:rPr>
          <w:spacing w:val="10"/>
        </w:rPr>
        <w:t>，水能资源蕴藏量2.83万千瓦。</w:t>
      </w:r>
    </w:p>
    <w:p>
      <w:pPr>
        <w:pStyle w:val="7"/>
        <w:ind w:firstLine="480"/>
      </w:pPr>
      <w:r>
        <w:t>1</w:t>
      </w:r>
      <w:r>
        <w:rPr>
          <w:rFonts w:hint="eastAsia"/>
        </w:rPr>
        <w:t>、</w:t>
      </w:r>
      <w:r>
        <w:t>阿山龙河发源于平远镇丰收水库，流入阿山龙落洞。</w:t>
      </w:r>
    </w:p>
    <w:p>
      <w:pPr>
        <w:pStyle w:val="7"/>
        <w:ind w:firstLine="480"/>
      </w:pPr>
      <w:r>
        <w:t>2</w:t>
      </w:r>
      <w:r>
        <w:rPr>
          <w:rFonts w:hint="eastAsia"/>
        </w:rPr>
        <w:t>、</w:t>
      </w:r>
      <w:r>
        <w:t>八嘎河主要发源于龙所水头寨，流经坪寨、三星、八嘎和凹嘎等。全县较大湖泊有两个，即海子边海和差黑海。</w:t>
      </w:r>
    </w:p>
    <w:p>
      <w:pPr>
        <w:spacing w:line="360" w:lineRule="auto"/>
        <w:ind w:firstLine="482"/>
      </w:pPr>
      <w:r>
        <w:t>3</w:t>
      </w:r>
      <w:r>
        <w:rPr>
          <w:rFonts w:hint="eastAsia"/>
        </w:rPr>
        <w:t>、</w:t>
      </w:r>
      <w:r>
        <w:t>稼依河发源于蒙自市三门棵，流经阿舍、平远、稼依3个乡镇的35个村公所。</w:t>
      </w:r>
    </w:p>
    <w:p>
      <w:pPr>
        <w:spacing w:line="360" w:lineRule="auto"/>
        <w:ind w:firstLine="482"/>
      </w:pPr>
      <w:r>
        <w:t>4</w:t>
      </w:r>
      <w:r>
        <w:rPr>
          <w:rFonts w:hint="eastAsia"/>
        </w:rPr>
        <w:t>、</w:t>
      </w:r>
      <w:r>
        <w:t>翁达河发源于江那镇路德办事处施勒村，流经路德、新民两水库到翁达附近转为地下河，在九股水与盘龙河汇舍。</w:t>
      </w:r>
    </w:p>
    <w:p>
      <w:pPr>
        <w:pStyle w:val="7"/>
        <w:ind w:firstLine="480"/>
      </w:pPr>
      <w:r>
        <w:t>5</w:t>
      </w:r>
      <w:r>
        <w:rPr>
          <w:rFonts w:hint="eastAsia"/>
        </w:rPr>
        <w:t>、</w:t>
      </w:r>
      <w:r>
        <w:t>公革河发源于江那镇龙潭寨、属西江水系，主要流径回龙、听湖两水库，流至者腊乡大新寨与阿野支流汇合，流出县境后称南丘河。南丘河：清水江上游，发源于砚山县回龙水库，在罗平八大河汇入南盘江。河流流经砚山县，至丘北县与清水河交汇，交汇口以上称南丘河，以下称清水江。南丘河河流全长106km，流域径流面积1746km</w:t>
      </w:r>
      <w:r>
        <w:rPr>
          <w:vertAlign w:val="superscript"/>
        </w:rPr>
        <w:t>2</w:t>
      </w:r>
      <w:r>
        <w:t>，河道平均坡降为4.1‰。河湾系数2.52。南丘河在砚山县境内全长94km，河床高差215m，坡降2.3‰，流域面积1372km</w:t>
      </w:r>
      <w:r>
        <w:rPr>
          <w:vertAlign w:val="superscript"/>
        </w:rPr>
        <w:t>2</w:t>
      </w:r>
      <w:r>
        <w:t>，砚山县境内南丘河流域面积1300km</w:t>
      </w:r>
      <w:r>
        <w:rPr>
          <w:vertAlign w:val="superscript"/>
        </w:rPr>
        <w:t>2</w:t>
      </w:r>
      <w:r>
        <w:t>，多年平均径流量3.79亿m</w:t>
      </w:r>
      <w:r>
        <w:rPr>
          <w:vertAlign w:val="superscript"/>
        </w:rPr>
        <w:t>3</w:t>
      </w:r>
      <w:r>
        <w:t>。</w:t>
      </w:r>
    </w:p>
    <w:p>
      <w:pPr>
        <w:pStyle w:val="7"/>
        <w:ind w:firstLine="480"/>
      </w:pPr>
      <w:r>
        <w:rPr>
          <w:bCs/>
        </w:rPr>
        <w:t>清水江发源于砚山县回龙水库，其主流在砚山县境上游段称公革河，下游段称南丘河。支流清水河发源于丘北县曰者镇摆落村，清水河由西向东流至丘北县天星乡法</w:t>
      </w:r>
      <w:r>
        <w:rPr>
          <w:bCs/>
          <w:u w:val="single"/>
        </w:rPr>
        <w:t>白村</w:t>
      </w:r>
      <w:r>
        <w:rPr>
          <w:bCs/>
        </w:rPr>
        <w:t>附近汇入南丘河，南丘、清水两河汇合后称革雷河，并折向北流，于广南县者兔乡者莫村公所入广南县境，称马碧河。再于丘北县温浏乡石别村公所与广南搭界，成为两县界河，始称清水江。</w:t>
      </w:r>
    </w:p>
    <w:p>
      <w:pPr>
        <w:pStyle w:val="7"/>
        <w:ind w:firstLine="480"/>
      </w:pPr>
      <w:r>
        <w:t>（1）红舍克水库位于珠江流域西江水系公革河上游的干河乡红舍克村，地理位置为东经104°19′，北纬23°43′，设计标准为30年一遇，径流面积为26.8km²，水库总库容630万m³，兴利库容310万m³，调洪库容300万m³，死库容20万m³。主要功能是生活供水、农田灌溉和防洪，设计灌溉1.6万亩。</w:t>
      </w:r>
    </w:p>
    <w:p>
      <w:pPr>
        <w:pStyle w:val="7"/>
        <w:ind w:firstLine="480"/>
      </w:pPr>
      <w:r>
        <w:t>（2）听湖水库位于珠江流域西江水系公革河上游的俩勒村，地理位置为东经104°21′，北纬23°28′，设计标准为50年一遇，径流面积71.45km²，水库总库容2320万m³，兴利库容1218万m³，调洪库容975万m³，死库容127万m³。主要功能是农业灌溉和防洪，设计灌溉面积2.61万亩。</w:t>
      </w:r>
    </w:p>
    <w:p>
      <w:pPr>
        <w:pStyle w:val="7"/>
        <w:ind w:firstLine="480"/>
      </w:pPr>
      <w:r>
        <w:t>项目附近地表水体为南面19</w:t>
      </w:r>
      <w:r>
        <w:rPr>
          <w:rFonts w:hint="eastAsia"/>
        </w:rPr>
        <w:t>60</w:t>
      </w:r>
      <w:r>
        <w:t>m处为听湖水库和东面19</w:t>
      </w:r>
      <w:r>
        <w:rPr>
          <w:rFonts w:hint="eastAsia"/>
        </w:rPr>
        <w:t>98</w:t>
      </w:r>
      <w:r>
        <w:t>m处的公革河，经调查听湖水库和公革河没有饮用功能，生产厂区后期雨水经厂内雨水沟渠收集后排入项目区南侧园区雨水管网，通过园区雨水管网排入项目区东面的公革河。</w:t>
      </w:r>
    </w:p>
    <w:p>
      <w:pPr>
        <w:pStyle w:val="7"/>
        <w:ind w:firstLine="480"/>
      </w:pPr>
      <w:r>
        <w:t>水系图见附图4。园区雨水管网规划图见附图</w:t>
      </w:r>
      <w:r>
        <w:rPr>
          <w:rFonts w:hint="eastAsia"/>
        </w:rPr>
        <w:t>7</w:t>
      </w:r>
      <w:r>
        <w:t>。</w:t>
      </w:r>
    </w:p>
    <w:p>
      <w:pPr>
        <w:pStyle w:val="8"/>
      </w:pPr>
      <w:r>
        <w:rPr>
          <w:rFonts w:hint="eastAsia"/>
        </w:rPr>
        <w:t>5.1.4气候特征</w:t>
      </w:r>
    </w:p>
    <w:p>
      <w:pPr>
        <w:pStyle w:val="7"/>
        <w:ind w:firstLine="480"/>
      </w:pPr>
      <w:r>
        <w:t>砚山县地处低纬高原地带，属亚热带低纬高原山地季风气候，冬无严寒，夏无酷暑，雨热同季，干湿分明，年温差大，日温差小，降雨年内分配较为不均。5-10月为雨季，降雨量较为集中，占全年降水量的82.6%，11月至翌年4月为旱季，降水量只占全年降水量的17.4%。</w:t>
      </w:r>
    </w:p>
    <w:p>
      <w:pPr>
        <w:pStyle w:val="7"/>
        <w:ind w:firstLine="480"/>
      </w:pPr>
      <w:r>
        <w:t>多年平均降雨量为1011.9mm，年最大降水量1269.7mm</w:t>
      </w:r>
      <w:r>
        <w:rPr>
          <w:rFonts w:hint="eastAsia"/>
          <w:lang w:eastAsia="zh-CN"/>
        </w:rPr>
        <w:t>，</w:t>
      </w:r>
      <w:r>
        <w:t>年最小降水量670.9mm</w:t>
      </w:r>
      <w:r>
        <w:rPr>
          <w:rFonts w:hint="eastAsia"/>
          <w:lang w:eastAsia="zh-CN"/>
        </w:rPr>
        <w:t>，</w:t>
      </w:r>
      <w:r>
        <w:t>日最大降水量163.6mm，多年平均蒸发量1792.3mm（蒸发皿为20cm），多年平均气温16.0℃；极端最高气温33.2℃；极端最低气温-7.8℃；全年最热月为7月份，平均气温21.0℃；最冷月为1月，平均气温8.7℃。多年平均日照时数2200h，日照百分率50.2%。多年平均风速2.9m/s。</w:t>
      </w:r>
    </w:p>
    <w:p>
      <w:pPr>
        <w:pStyle w:val="8"/>
      </w:pPr>
      <w:r>
        <w:rPr>
          <w:rFonts w:hint="eastAsia"/>
        </w:rPr>
        <w:t>5.1.5土壤</w:t>
      </w:r>
    </w:p>
    <w:p>
      <w:pPr>
        <w:pStyle w:val="7"/>
        <w:ind w:firstLine="480"/>
      </w:pPr>
      <w:r>
        <w:rPr>
          <w:rFonts w:hint="eastAsia"/>
        </w:rPr>
        <w:t>砚山县全境土壤有红壤、黄壤、紫色土、石灰岩土、水稻土等5个土类，11个亚类，17个土属，31个土种，其中红壤性耕地面积占耕地总面积的53.59%，水稻土面积占耕地总面积的26.44%，土壤肥力较低，有机质含量贫乏，偏酸，耕作层较浅，氮、磷、钾含量少且不协调。</w:t>
      </w:r>
    </w:p>
    <w:p>
      <w:pPr>
        <w:pStyle w:val="8"/>
      </w:pPr>
      <w:r>
        <w:rPr>
          <w:rFonts w:hint="eastAsia"/>
        </w:rPr>
        <w:t>5.1.6自然资源</w:t>
      </w:r>
    </w:p>
    <w:p>
      <w:pPr>
        <w:pStyle w:val="7"/>
        <w:ind w:firstLine="480"/>
      </w:pPr>
      <w:r>
        <w:rPr>
          <w:rFonts w:hint="eastAsia"/>
        </w:rPr>
        <w:t>砚山县具有复杂多变的地形地貌特征和北亚热带、中亚热带、南温带等立体气候，生物资源丰富，在389种栽培植物中，砚山县是名贵中药材三七的原产地和主产地，1995年被命名为“中国三七之乡”，已开发出三七保健茶、三七蜜精、蜜片、三七片、三七酒等10多个系列40余种产品。近年来，砚山县的辣椒产业发展迅速，已开发了6个系列10多个品种。除了对三七和辣椒的开发和利用，砚山县对其它100多种中草药材都有待于深入开发和综合利用。</w:t>
      </w:r>
    </w:p>
    <w:p>
      <w:pPr>
        <w:pStyle w:val="7"/>
        <w:ind w:firstLine="480"/>
      </w:pPr>
      <w:r>
        <w:rPr>
          <w:rFonts w:hint="eastAsia"/>
        </w:rPr>
        <w:t>砚山县矿产资源丰富，境内已发现的矿产有锰、铅锌、铝土、金、银、铜、锑、煤、沸石、澎润土、花岗石、玛瑙等29种。工业储量锰3600余万吨、铅锌100余万吨、铝土1200余万吨、沸石17亿吨、原煤3000余万吨。斗南锰矿属全国八大锰矿之一，沸石为西南诸省区独有，金矿石含量超过8g/t，有着很好的开发价值。</w:t>
      </w:r>
    </w:p>
    <w:p>
      <w:pPr>
        <w:pStyle w:val="5"/>
      </w:pPr>
      <w:bookmarkStart w:id="94" w:name="_Toc18464"/>
      <w:r>
        <w:rPr>
          <w:rFonts w:hint="eastAsia"/>
        </w:rPr>
        <w:t>5.2工业园区概况</w:t>
      </w:r>
      <w:bookmarkEnd w:id="94"/>
    </w:p>
    <w:p>
      <w:pPr>
        <w:pStyle w:val="7"/>
        <w:ind w:firstLine="482"/>
        <w:rPr>
          <w:b/>
          <w:bCs/>
        </w:rPr>
      </w:pPr>
      <w:r>
        <w:rPr>
          <w:b/>
          <w:bCs/>
        </w:rPr>
        <w:t>1、规划范围</w:t>
      </w:r>
    </w:p>
    <w:p>
      <w:pPr>
        <w:pStyle w:val="7"/>
        <w:ind w:firstLine="480"/>
      </w:pPr>
      <w:r>
        <w:t>砚山工业园区包括三个片区，总规划用地面积为21.69km（2169.24ha），位于县城北侧和东侧（下风向），并在布标片区东北侧预留约1km作为园区远景发展备用地。</w:t>
      </w:r>
    </w:p>
    <w:p>
      <w:pPr>
        <w:pStyle w:val="7"/>
        <w:ind w:firstLine="480"/>
      </w:pPr>
      <w:r>
        <w:t>（1）布标片区</w:t>
      </w:r>
    </w:p>
    <w:p>
      <w:pPr>
        <w:spacing w:line="360" w:lineRule="auto"/>
        <w:ind w:firstLine="480" w:firstLineChars="200"/>
      </w:pPr>
      <w:r>
        <w:t>作为砚山工业园区的核心片区，包括两个产业园，形成“园中园”的发展模式。</w:t>
      </w:r>
    </w:p>
    <w:p>
      <w:pPr>
        <w:pStyle w:val="7"/>
        <w:ind w:firstLine="480"/>
      </w:pPr>
      <w:r>
        <w:t>1）绿色铝创新产业园</w:t>
      </w:r>
    </w:p>
    <w:p>
      <w:pPr>
        <w:spacing w:line="360" w:lineRule="auto"/>
        <w:ind w:firstLine="480" w:firstLineChars="200"/>
      </w:pPr>
      <w:r>
        <w:t>规划面积7.09 km（709.06ha），东至小听湖（搬迁）村一带，西至处暑村（搬迁）一带，南至G323国道新线，北至马鞍山村南侧一带。</w:t>
      </w:r>
    </w:p>
    <w:p>
      <w:pPr>
        <w:spacing w:line="360" w:lineRule="auto"/>
        <w:ind w:firstLine="480" w:firstLineChars="200"/>
      </w:pPr>
      <w:r>
        <w:t>2）承接产业园</w:t>
      </w:r>
    </w:p>
    <w:p>
      <w:pPr>
        <w:pStyle w:val="7"/>
        <w:ind w:firstLine="480"/>
      </w:pPr>
      <w:r>
        <w:t>规划面积6.46 km（646.27ha），东至粮食局仓储区道路一线，西至上舍克村西侧的山体附近，南至叶黄素油膏厂一带，北至广昆高速一带。</w:t>
      </w:r>
    </w:p>
    <w:p>
      <w:pPr>
        <w:spacing w:line="360" w:lineRule="auto"/>
        <w:ind w:firstLine="480" w:firstLineChars="200"/>
      </w:pPr>
      <w:r>
        <w:t>（2）二道箐片区</w:t>
      </w:r>
    </w:p>
    <w:p>
      <w:pPr>
        <w:spacing w:line="360" w:lineRule="auto"/>
        <w:ind w:firstLine="480" w:firstLineChars="200"/>
      </w:pPr>
      <w:r>
        <w:t>规划面积2.76 km（275.77ha），东至水塘及山体一带，西至五家寨村东侧一带，南侧和北侧紧邻规划的基本农田红线。</w:t>
      </w:r>
    </w:p>
    <w:p>
      <w:pPr>
        <w:spacing w:line="360" w:lineRule="auto"/>
        <w:ind w:firstLine="480" w:firstLineChars="200"/>
      </w:pPr>
      <w:r>
        <w:t>（3）三星坝片区</w:t>
      </w:r>
    </w:p>
    <w:p>
      <w:pPr>
        <w:widowControl/>
        <w:adjustRightInd w:val="0"/>
        <w:snapToGrid w:val="0"/>
        <w:spacing w:line="360" w:lineRule="auto"/>
        <w:ind w:firstLine="480" w:firstLineChars="200"/>
        <w:jc w:val="left"/>
      </w:pPr>
      <w:r>
        <w:t>位于县城东侧，规划面积5.38km（538.14ha），东至老鹰窝山脉，西至民航路，南至国家农业示范区北侧山体附近，北至炮团北侧的石头大寨山体一带</w:t>
      </w:r>
      <w:r>
        <w:rPr>
          <w:rFonts w:hint="eastAsia"/>
          <w:lang w:eastAsia="zh-CN"/>
        </w:rPr>
        <w:t>。</w:t>
      </w:r>
    </w:p>
    <w:p>
      <w:pPr>
        <w:pStyle w:val="7"/>
        <w:ind w:firstLine="482"/>
        <w:rPr>
          <w:b/>
          <w:bCs/>
        </w:rPr>
      </w:pPr>
      <w:r>
        <w:rPr>
          <w:b/>
          <w:bCs/>
        </w:rPr>
        <w:t>2、规划定位</w:t>
      </w:r>
    </w:p>
    <w:p>
      <w:pPr>
        <w:pStyle w:val="7"/>
        <w:ind w:firstLine="480"/>
      </w:pPr>
      <w:r>
        <w:t>产业定位：云南省重要的水电铝材一体化产业园区；云南省以电子信息产业为重点的承接产业核心区之一；文山州外向型加工和制造园区：重点发展水电铝材一体化产业、电子信息产业、特色食品制造产业，打造成为基础设施配套完善、资源循环利用率高、生态环境较好的新型工业园区。</w:t>
      </w:r>
    </w:p>
    <w:p>
      <w:pPr>
        <w:pStyle w:val="7"/>
        <w:ind w:firstLine="480"/>
      </w:pPr>
      <w:r>
        <w:t>各片区产业定位：</w:t>
      </w:r>
    </w:p>
    <w:p>
      <w:pPr>
        <w:pStyle w:val="7"/>
        <w:ind w:firstLine="480"/>
      </w:pPr>
      <w:r>
        <w:t>（1）布标片区</w:t>
      </w:r>
    </w:p>
    <w:p>
      <w:pPr>
        <w:spacing w:line="360" w:lineRule="auto"/>
        <w:ind w:firstLine="482"/>
      </w:pPr>
      <w:r>
        <w:t>重点发展水电铝材一体化产业、电子信息产业，并综合发展特色食品制造产业、消费品制造产业和现代物流产业。</w:t>
      </w:r>
    </w:p>
    <w:p>
      <w:pPr>
        <w:spacing w:line="360" w:lineRule="auto"/>
        <w:ind w:firstLine="482"/>
      </w:pPr>
      <w:r>
        <w:t>（2）二道箐片区</w:t>
      </w:r>
    </w:p>
    <w:p>
      <w:pPr>
        <w:spacing w:line="360" w:lineRule="auto"/>
        <w:ind w:firstLine="482"/>
      </w:pPr>
      <w:r>
        <w:t>主要发展水电铝的配套产业（以碳素等配套原料产业为重点）。</w:t>
      </w:r>
    </w:p>
    <w:p>
      <w:pPr>
        <w:spacing w:line="360" w:lineRule="auto"/>
        <w:ind w:firstLine="482"/>
      </w:pPr>
      <w:r>
        <w:t>（3）三星坝片区</w:t>
      </w:r>
    </w:p>
    <w:p>
      <w:pPr>
        <w:spacing w:line="360" w:lineRule="auto"/>
        <w:ind w:firstLine="482"/>
      </w:pPr>
      <w:r>
        <w:t>主要发展建材产业，包括铝型材。</w:t>
      </w:r>
    </w:p>
    <w:p>
      <w:pPr>
        <w:pStyle w:val="7"/>
        <w:ind w:firstLine="480"/>
      </w:pPr>
      <w:r>
        <w:t>本项目建设地点位于云南省文山州砚山工业园区布标片区范围内，符合园区“规划”。</w:t>
      </w:r>
    </w:p>
    <w:p>
      <w:pPr>
        <w:pStyle w:val="5"/>
      </w:pPr>
      <w:bookmarkStart w:id="95" w:name="_Toc31657"/>
      <w:r>
        <w:rPr>
          <w:rFonts w:hint="eastAsia"/>
        </w:rPr>
        <w:t>5.3环境质量现状</w:t>
      </w:r>
      <w:bookmarkEnd w:id="95"/>
    </w:p>
    <w:p>
      <w:pPr>
        <w:pStyle w:val="8"/>
      </w:pPr>
      <w:r>
        <w:rPr>
          <w:rFonts w:hint="eastAsia"/>
        </w:rPr>
        <w:t>5.3.1环境空气质量现状</w:t>
      </w:r>
    </w:p>
    <w:p>
      <w:pPr>
        <w:pStyle w:val="9"/>
      </w:pPr>
      <w:r>
        <w:rPr>
          <w:rFonts w:hint="eastAsia"/>
        </w:rPr>
        <w:t>5.3.1.1行政区域达标区判定</w:t>
      </w:r>
    </w:p>
    <w:p>
      <w:pPr>
        <w:pStyle w:val="7"/>
        <w:ind w:firstLine="480"/>
        <w:rPr>
          <w:highlight w:val="none"/>
        </w:rPr>
      </w:pPr>
      <w:r>
        <w:rPr>
          <w:rFonts w:hint="eastAsia"/>
          <w:highlight w:val="none"/>
        </w:rPr>
        <w:t>根据2</w:t>
      </w:r>
      <w:r>
        <w:rPr>
          <w:highlight w:val="none"/>
        </w:rPr>
        <w:t>0</w:t>
      </w:r>
      <w:r>
        <w:rPr>
          <w:rFonts w:hint="eastAsia"/>
          <w:highlight w:val="none"/>
        </w:rPr>
        <w:t>2</w:t>
      </w:r>
      <w:r>
        <w:rPr>
          <w:rFonts w:hint="eastAsia"/>
          <w:highlight w:val="none"/>
          <w:lang w:val="en-US" w:eastAsia="zh-CN"/>
        </w:rPr>
        <w:t>1</w:t>
      </w:r>
      <w:r>
        <w:rPr>
          <w:rFonts w:hint="eastAsia"/>
          <w:highlight w:val="none"/>
        </w:rPr>
        <w:t>年砚山县常规监测站点（砚山县民族中学）的环境空气质量统计结果，6项基本污染物环境质量现状如下表所示：</w:t>
      </w:r>
    </w:p>
    <w:p>
      <w:pPr>
        <w:pStyle w:val="31"/>
        <w:rPr>
          <w:highlight w:val="none"/>
        </w:rPr>
      </w:pPr>
      <w:r>
        <w:rPr>
          <w:rFonts w:hint="eastAsia"/>
          <w:highlight w:val="none"/>
        </w:rPr>
        <w:t>表5</w:t>
      </w:r>
      <w:r>
        <w:rPr>
          <w:highlight w:val="none"/>
        </w:rPr>
        <w:t xml:space="preserve">.3-1  </w:t>
      </w:r>
      <w:r>
        <w:rPr>
          <w:rFonts w:hint="eastAsia"/>
          <w:highlight w:val="none"/>
        </w:rPr>
        <w:t>砚山县基本污染物环境质量现状</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1"/>
        <w:gridCol w:w="3711"/>
        <w:gridCol w:w="1285"/>
        <w:gridCol w:w="1353"/>
        <w:gridCol w:w="1114"/>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Align w:val="center"/>
          </w:tcPr>
          <w:p>
            <w:pPr>
              <w:pStyle w:val="32"/>
              <w:bidi w:val="0"/>
            </w:pPr>
            <w:r>
              <w:t>污染物名称</w:t>
            </w:r>
          </w:p>
        </w:tc>
        <w:tc>
          <w:tcPr>
            <w:tcW w:w="1999" w:type="pct"/>
            <w:vAlign w:val="center"/>
          </w:tcPr>
          <w:p>
            <w:pPr>
              <w:pStyle w:val="32"/>
              <w:bidi w:val="0"/>
            </w:pPr>
            <w:r>
              <w:t>年评价指标</w:t>
            </w:r>
          </w:p>
        </w:tc>
        <w:tc>
          <w:tcPr>
            <w:tcW w:w="692" w:type="pct"/>
            <w:vAlign w:val="center"/>
          </w:tcPr>
          <w:p>
            <w:pPr>
              <w:pStyle w:val="32"/>
              <w:bidi w:val="0"/>
            </w:pPr>
            <w:r>
              <w:t>评价标准/（μg/m</w:t>
            </w:r>
            <w:r>
              <w:rPr>
                <w:vertAlign w:val="superscript"/>
              </w:rPr>
              <w:t>3</w:t>
            </w:r>
            <w:r>
              <w:t>）</w:t>
            </w:r>
          </w:p>
        </w:tc>
        <w:tc>
          <w:tcPr>
            <w:tcW w:w="729" w:type="pct"/>
            <w:vAlign w:val="center"/>
          </w:tcPr>
          <w:p>
            <w:pPr>
              <w:pStyle w:val="32"/>
              <w:bidi w:val="0"/>
            </w:pPr>
            <w:r>
              <w:t>现状浓度/（μg/ m</w:t>
            </w:r>
            <w:r>
              <w:rPr>
                <w:vertAlign w:val="superscript"/>
              </w:rPr>
              <w:t>3</w:t>
            </w:r>
            <w:r>
              <w:t>）</w:t>
            </w:r>
          </w:p>
        </w:tc>
        <w:tc>
          <w:tcPr>
            <w:tcW w:w="600" w:type="pct"/>
            <w:vAlign w:val="center"/>
          </w:tcPr>
          <w:p>
            <w:pPr>
              <w:pStyle w:val="32"/>
              <w:bidi w:val="0"/>
            </w:pPr>
            <w:r>
              <w:t>占标率/%</w:t>
            </w:r>
          </w:p>
        </w:tc>
        <w:tc>
          <w:tcPr>
            <w:tcW w:w="482" w:type="pct"/>
            <w:vAlign w:val="center"/>
          </w:tcPr>
          <w:p>
            <w:pPr>
              <w:pStyle w:val="32"/>
              <w:bidi w:val="0"/>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restart"/>
            <w:vAlign w:val="center"/>
          </w:tcPr>
          <w:p>
            <w:pPr>
              <w:pStyle w:val="32"/>
              <w:bidi w:val="0"/>
            </w:pPr>
            <w:r>
              <w:t>SO</w:t>
            </w:r>
            <w:r>
              <w:rPr>
                <w:vertAlign w:val="subscript"/>
              </w:rPr>
              <w:t>2</w:t>
            </w:r>
          </w:p>
        </w:tc>
        <w:tc>
          <w:tcPr>
            <w:tcW w:w="1999" w:type="pct"/>
            <w:vAlign w:val="center"/>
          </w:tcPr>
          <w:p>
            <w:pPr>
              <w:pStyle w:val="32"/>
              <w:bidi w:val="0"/>
            </w:pPr>
            <w:r>
              <w:t>24h平均第98百分位数</w:t>
            </w:r>
          </w:p>
        </w:tc>
        <w:tc>
          <w:tcPr>
            <w:tcW w:w="692" w:type="pct"/>
            <w:vAlign w:val="center"/>
          </w:tcPr>
          <w:p>
            <w:pPr>
              <w:pStyle w:val="32"/>
              <w:bidi w:val="0"/>
            </w:pPr>
            <w:r>
              <w:t>150</w:t>
            </w:r>
          </w:p>
        </w:tc>
        <w:tc>
          <w:tcPr>
            <w:tcW w:w="729" w:type="pct"/>
            <w:vAlign w:val="center"/>
          </w:tcPr>
          <w:p>
            <w:pPr>
              <w:pStyle w:val="32"/>
              <w:bidi w:val="0"/>
              <w:rPr>
                <w:rFonts w:hint="default"/>
                <w:lang w:val="en-US" w:eastAsia="zh-CN"/>
              </w:rPr>
            </w:pPr>
            <w:r>
              <w:rPr>
                <w:rFonts w:hint="eastAsia"/>
                <w:lang w:val="en-US" w:eastAsia="zh-CN"/>
              </w:rPr>
              <w:t>41</w:t>
            </w:r>
          </w:p>
        </w:tc>
        <w:tc>
          <w:tcPr>
            <w:tcW w:w="600" w:type="pct"/>
            <w:vAlign w:val="center"/>
          </w:tcPr>
          <w:p>
            <w:pPr>
              <w:pStyle w:val="32"/>
              <w:bidi w:val="0"/>
              <w:rPr>
                <w:rFonts w:hint="default"/>
                <w:lang w:val="en-US" w:eastAsia="zh-CN"/>
              </w:rPr>
            </w:pPr>
            <w:r>
              <w:rPr>
                <w:rFonts w:hint="eastAsia"/>
                <w:lang w:val="en-US" w:eastAsia="zh-CN"/>
              </w:rPr>
              <w:t>27.33</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continue"/>
            <w:vAlign w:val="center"/>
          </w:tcPr>
          <w:p>
            <w:pPr>
              <w:pStyle w:val="32"/>
              <w:bidi w:val="0"/>
            </w:pPr>
          </w:p>
        </w:tc>
        <w:tc>
          <w:tcPr>
            <w:tcW w:w="1999" w:type="pct"/>
            <w:vAlign w:val="center"/>
          </w:tcPr>
          <w:p>
            <w:pPr>
              <w:pStyle w:val="32"/>
              <w:bidi w:val="0"/>
            </w:pPr>
            <w:r>
              <w:t>年平均</w:t>
            </w:r>
          </w:p>
        </w:tc>
        <w:tc>
          <w:tcPr>
            <w:tcW w:w="692" w:type="pct"/>
            <w:vAlign w:val="center"/>
          </w:tcPr>
          <w:p>
            <w:pPr>
              <w:pStyle w:val="32"/>
              <w:bidi w:val="0"/>
            </w:pPr>
            <w:r>
              <w:t>60</w:t>
            </w:r>
          </w:p>
        </w:tc>
        <w:tc>
          <w:tcPr>
            <w:tcW w:w="729" w:type="pct"/>
            <w:vAlign w:val="center"/>
          </w:tcPr>
          <w:p>
            <w:pPr>
              <w:pStyle w:val="32"/>
              <w:bidi w:val="0"/>
              <w:rPr>
                <w:rFonts w:hint="default"/>
                <w:lang w:val="en-US" w:eastAsia="zh-CN"/>
              </w:rPr>
            </w:pPr>
            <w:r>
              <w:rPr>
                <w:rFonts w:hint="eastAsia"/>
                <w:lang w:val="en-US" w:eastAsia="zh-CN"/>
              </w:rPr>
              <w:t>17.63</w:t>
            </w:r>
          </w:p>
        </w:tc>
        <w:tc>
          <w:tcPr>
            <w:tcW w:w="600" w:type="pct"/>
            <w:vAlign w:val="center"/>
          </w:tcPr>
          <w:p>
            <w:pPr>
              <w:pStyle w:val="32"/>
              <w:bidi w:val="0"/>
              <w:rPr>
                <w:rFonts w:hint="default"/>
                <w:lang w:val="en-US" w:eastAsia="zh-CN"/>
              </w:rPr>
            </w:pPr>
            <w:r>
              <w:rPr>
                <w:rFonts w:hint="eastAsia"/>
                <w:lang w:val="en-US" w:eastAsia="zh-CN"/>
              </w:rPr>
              <w:t>29.38</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restart"/>
            <w:vAlign w:val="center"/>
          </w:tcPr>
          <w:p>
            <w:pPr>
              <w:pStyle w:val="32"/>
              <w:bidi w:val="0"/>
            </w:pPr>
            <w:r>
              <w:t>NO</w:t>
            </w:r>
            <w:r>
              <w:rPr>
                <w:vertAlign w:val="subscript"/>
              </w:rPr>
              <w:t>2</w:t>
            </w:r>
          </w:p>
        </w:tc>
        <w:tc>
          <w:tcPr>
            <w:tcW w:w="1999" w:type="pct"/>
            <w:vAlign w:val="center"/>
          </w:tcPr>
          <w:p>
            <w:pPr>
              <w:pStyle w:val="32"/>
              <w:bidi w:val="0"/>
            </w:pPr>
            <w:r>
              <w:t>24h平均第98百分位数</w:t>
            </w:r>
          </w:p>
        </w:tc>
        <w:tc>
          <w:tcPr>
            <w:tcW w:w="692" w:type="pct"/>
            <w:vAlign w:val="center"/>
          </w:tcPr>
          <w:p>
            <w:pPr>
              <w:pStyle w:val="32"/>
              <w:bidi w:val="0"/>
            </w:pPr>
            <w:r>
              <w:t>80</w:t>
            </w:r>
          </w:p>
        </w:tc>
        <w:tc>
          <w:tcPr>
            <w:tcW w:w="729" w:type="pct"/>
            <w:vAlign w:val="center"/>
          </w:tcPr>
          <w:p>
            <w:pPr>
              <w:pStyle w:val="32"/>
              <w:bidi w:val="0"/>
              <w:rPr>
                <w:rFonts w:hint="default"/>
                <w:lang w:val="en-US" w:eastAsia="zh-CN"/>
              </w:rPr>
            </w:pPr>
            <w:r>
              <w:rPr>
                <w:rFonts w:hint="eastAsia"/>
                <w:lang w:val="en-US" w:eastAsia="zh-CN"/>
              </w:rPr>
              <w:t>19</w:t>
            </w:r>
          </w:p>
        </w:tc>
        <w:tc>
          <w:tcPr>
            <w:tcW w:w="600" w:type="pct"/>
            <w:vAlign w:val="center"/>
          </w:tcPr>
          <w:p>
            <w:pPr>
              <w:pStyle w:val="32"/>
              <w:bidi w:val="0"/>
              <w:rPr>
                <w:rFonts w:hint="default"/>
                <w:lang w:val="en-US" w:eastAsia="zh-CN"/>
              </w:rPr>
            </w:pPr>
            <w:r>
              <w:rPr>
                <w:rFonts w:hint="eastAsia"/>
                <w:lang w:val="en-US" w:eastAsia="zh-CN"/>
              </w:rPr>
              <w:t>23.75</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continue"/>
            <w:vAlign w:val="center"/>
          </w:tcPr>
          <w:p>
            <w:pPr>
              <w:pStyle w:val="32"/>
              <w:bidi w:val="0"/>
            </w:pPr>
          </w:p>
        </w:tc>
        <w:tc>
          <w:tcPr>
            <w:tcW w:w="1999" w:type="pct"/>
            <w:vAlign w:val="center"/>
          </w:tcPr>
          <w:p>
            <w:pPr>
              <w:pStyle w:val="32"/>
              <w:bidi w:val="0"/>
            </w:pPr>
            <w:r>
              <w:t>年平均</w:t>
            </w:r>
          </w:p>
        </w:tc>
        <w:tc>
          <w:tcPr>
            <w:tcW w:w="692" w:type="pct"/>
            <w:vAlign w:val="center"/>
          </w:tcPr>
          <w:p>
            <w:pPr>
              <w:pStyle w:val="32"/>
              <w:bidi w:val="0"/>
            </w:pPr>
            <w:r>
              <w:t>40</w:t>
            </w:r>
          </w:p>
        </w:tc>
        <w:tc>
          <w:tcPr>
            <w:tcW w:w="729" w:type="pct"/>
            <w:vAlign w:val="center"/>
          </w:tcPr>
          <w:p>
            <w:pPr>
              <w:pStyle w:val="32"/>
              <w:bidi w:val="0"/>
              <w:rPr>
                <w:rFonts w:hint="default"/>
                <w:lang w:val="en-US" w:eastAsia="zh-CN"/>
              </w:rPr>
            </w:pPr>
            <w:r>
              <w:rPr>
                <w:rFonts w:hint="eastAsia"/>
                <w:lang w:val="en-US" w:eastAsia="zh-CN"/>
              </w:rPr>
              <w:t>8.19</w:t>
            </w:r>
          </w:p>
        </w:tc>
        <w:tc>
          <w:tcPr>
            <w:tcW w:w="600" w:type="pct"/>
            <w:vAlign w:val="center"/>
          </w:tcPr>
          <w:p>
            <w:pPr>
              <w:pStyle w:val="32"/>
              <w:bidi w:val="0"/>
            </w:pPr>
            <w:r>
              <w:rPr>
                <w:rFonts w:hint="default"/>
                <w:lang w:val="en-US" w:eastAsia="zh-CN"/>
              </w:rPr>
              <w:t>20.475</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restart"/>
            <w:vAlign w:val="center"/>
          </w:tcPr>
          <w:p>
            <w:pPr>
              <w:pStyle w:val="32"/>
              <w:bidi w:val="0"/>
            </w:pPr>
            <w:r>
              <w:t>PM</w:t>
            </w:r>
            <w:r>
              <w:rPr>
                <w:vertAlign w:val="subscript"/>
              </w:rPr>
              <w:t>10</w:t>
            </w:r>
          </w:p>
        </w:tc>
        <w:tc>
          <w:tcPr>
            <w:tcW w:w="1999" w:type="pct"/>
            <w:vAlign w:val="center"/>
          </w:tcPr>
          <w:p>
            <w:pPr>
              <w:pStyle w:val="32"/>
              <w:bidi w:val="0"/>
            </w:pPr>
            <w:r>
              <w:t>24h平均第95百分位数</w:t>
            </w:r>
          </w:p>
        </w:tc>
        <w:tc>
          <w:tcPr>
            <w:tcW w:w="692" w:type="pct"/>
            <w:vAlign w:val="center"/>
          </w:tcPr>
          <w:p>
            <w:pPr>
              <w:pStyle w:val="32"/>
              <w:bidi w:val="0"/>
            </w:pPr>
            <w:r>
              <w:t>150</w:t>
            </w:r>
          </w:p>
        </w:tc>
        <w:tc>
          <w:tcPr>
            <w:tcW w:w="729" w:type="pct"/>
            <w:vAlign w:val="center"/>
          </w:tcPr>
          <w:p>
            <w:pPr>
              <w:pStyle w:val="32"/>
              <w:bidi w:val="0"/>
              <w:rPr>
                <w:rFonts w:hint="default"/>
                <w:lang w:val="en-US" w:eastAsia="zh-CN"/>
              </w:rPr>
            </w:pPr>
            <w:r>
              <w:rPr>
                <w:rFonts w:hint="eastAsia"/>
                <w:lang w:val="en-US" w:eastAsia="zh-CN"/>
              </w:rPr>
              <w:t>72</w:t>
            </w:r>
          </w:p>
        </w:tc>
        <w:tc>
          <w:tcPr>
            <w:tcW w:w="600" w:type="pct"/>
            <w:vAlign w:val="center"/>
          </w:tcPr>
          <w:p>
            <w:pPr>
              <w:pStyle w:val="32"/>
              <w:bidi w:val="0"/>
            </w:pPr>
            <w:r>
              <w:rPr>
                <w:rFonts w:hint="default"/>
                <w:lang w:val="en-US" w:eastAsia="zh-CN"/>
              </w:rPr>
              <w:t>48</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continue"/>
            <w:vAlign w:val="center"/>
          </w:tcPr>
          <w:p>
            <w:pPr>
              <w:pStyle w:val="32"/>
              <w:bidi w:val="0"/>
            </w:pPr>
          </w:p>
        </w:tc>
        <w:tc>
          <w:tcPr>
            <w:tcW w:w="1999" w:type="pct"/>
            <w:vAlign w:val="center"/>
          </w:tcPr>
          <w:p>
            <w:pPr>
              <w:pStyle w:val="32"/>
              <w:bidi w:val="0"/>
            </w:pPr>
            <w:r>
              <w:t>年平均</w:t>
            </w:r>
          </w:p>
        </w:tc>
        <w:tc>
          <w:tcPr>
            <w:tcW w:w="692" w:type="pct"/>
            <w:vAlign w:val="center"/>
          </w:tcPr>
          <w:p>
            <w:pPr>
              <w:pStyle w:val="32"/>
              <w:bidi w:val="0"/>
            </w:pPr>
            <w:r>
              <w:t>70</w:t>
            </w:r>
          </w:p>
        </w:tc>
        <w:tc>
          <w:tcPr>
            <w:tcW w:w="729" w:type="pct"/>
            <w:vAlign w:val="center"/>
          </w:tcPr>
          <w:p>
            <w:pPr>
              <w:pStyle w:val="32"/>
              <w:bidi w:val="0"/>
              <w:rPr>
                <w:rFonts w:hint="default"/>
                <w:lang w:val="en-US" w:eastAsia="zh-CN"/>
              </w:rPr>
            </w:pPr>
            <w:r>
              <w:rPr>
                <w:rFonts w:hint="eastAsia"/>
                <w:lang w:val="en-US" w:eastAsia="zh-CN"/>
              </w:rPr>
              <w:t>32.5</w:t>
            </w:r>
          </w:p>
        </w:tc>
        <w:tc>
          <w:tcPr>
            <w:tcW w:w="600" w:type="pct"/>
            <w:vAlign w:val="center"/>
          </w:tcPr>
          <w:p>
            <w:pPr>
              <w:pStyle w:val="32"/>
              <w:bidi w:val="0"/>
            </w:pPr>
            <w:r>
              <w:rPr>
                <w:rFonts w:hint="default"/>
                <w:lang w:val="en-US" w:eastAsia="zh-CN"/>
              </w:rPr>
              <w:t>46.42</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restart"/>
            <w:vAlign w:val="center"/>
          </w:tcPr>
          <w:p>
            <w:pPr>
              <w:pStyle w:val="32"/>
              <w:bidi w:val="0"/>
            </w:pPr>
            <w:r>
              <w:t>PM</w:t>
            </w:r>
            <w:r>
              <w:rPr>
                <w:vertAlign w:val="subscript"/>
              </w:rPr>
              <w:t>2.5</w:t>
            </w:r>
          </w:p>
        </w:tc>
        <w:tc>
          <w:tcPr>
            <w:tcW w:w="1999" w:type="pct"/>
            <w:vAlign w:val="center"/>
          </w:tcPr>
          <w:p>
            <w:pPr>
              <w:pStyle w:val="32"/>
              <w:bidi w:val="0"/>
            </w:pPr>
            <w:r>
              <w:t>24h平均第95百分位数</w:t>
            </w:r>
          </w:p>
        </w:tc>
        <w:tc>
          <w:tcPr>
            <w:tcW w:w="692" w:type="pct"/>
            <w:vAlign w:val="center"/>
          </w:tcPr>
          <w:p>
            <w:pPr>
              <w:pStyle w:val="32"/>
              <w:bidi w:val="0"/>
            </w:pPr>
            <w:r>
              <w:t>75</w:t>
            </w:r>
          </w:p>
        </w:tc>
        <w:tc>
          <w:tcPr>
            <w:tcW w:w="729" w:type="pct"/>
            <w:vAlign w:val="center"/>
          </w:tcPr>
          <w:p>
            <w:pPr>
              <w:pStyle w:val="32"/>
              <w:bidi w:val="0"/>
              <w:rPr>
                <w:rFonts w:hint="default"/>
                <w:lang w:val="en-US" w:eastAsia="zh-CN"/>
              </w:rPr>
            </w:pPr>
            <w:r>
              <w:rPr>
                <w:rFonts w:hint="eastAsia"/>
                <w:lang w:val="en-US" w:eastAsia="zh-CN"/>
              </w:rPr>
              <w:t>51</w:t>
            </w:r>
          </w:p>
        </w:tc>
        <w:tc>
          <w:tcPr>
            <w:tcW w:w="600" w:type="pct"/>
            <w:vAlign w:val="center"/>
          </w:tcPr>
          <w:p>
            <w:pPr>
              <w:pStyle w:val="32"/>
              <w:bidi w:val="0"/>
            </w:pPr>
            <w:r>
              <w:rPr>
                <w:rFonts w:hint="default"/>
                <w:lang w:val="en-US" w:eastAsia="zh-CN"/>
              </w:rPr>
              <w:t>68</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Merge w:val="continue"/>
            <w:vAlign w:val="center"/>
          </w:tcPr>
          <w:p>
            <w:pPr>
              <w:pStyle w:val="32"/>
              <w:bidi w:val="0"/>
            </w:pPr>
          </w:p>
        </w:tc>
        <w:tc>
          <w:tcPr>
            <w:tcW w:w="1999" w:type="pct"/>
            <w:vAlign w:val="center"/>
          </w:tcPr>
          <w:p>
            <w:pPr>
              <w:pStyle w:val="32"/>
              <w:bidi w:val="0"/>
            </w:pPr>
            <w:r>
              <w:t>年平均</w:t>
            </w:r>
          </w:p>
        </w:tc>
        <w:tc>
          <w:tcPr>
            <w:tcW w:w="692" w:type="pct"/>
            <w:vAlign w:val="center"/>
          </w:tcPr>
          <w:p>
            <w:pPr>
              <w:pStyle w:val="32"/>
              <w:bidi w:val="0"/>
            </w:pPr>
            <w:r>
              <w:t>35</w:t>
            </w:r>
          </w:p>
        </w:tc>
        <w:tc>
          <w:tcPr>
            <w:tcW w:w="729" w:type="pct"/>
            <w:vAlign w:val="center"/>
          </w:tcPr>
          <w:p>
            <w:pPr>
              <w:pStyle w:val="32"/>
              <w:bidi w:val="0"/>
              <w:rPr>
                <w:rFonts w:hint="default"/>
                <w:lang w:val="en-US" w:eastAsia="zh-CN"/>
              </w:rPr>
            </w:pPr>
            <w:r>
              <w:rPr>
                <w:rFonts w:hint="eastAsia"/>
                <w:lang w:val="en-US" w:eastAsia="zh-CN"/>
              </w:rPr>
              <w:t>20.10</w:t>
            </w:r>
          </w:p>
        </w:tc>
        <w:tc>
          <w:tcPr>
            <w:tcW w:w="600" w:type="pct"/>
            <w:vAlign w:val="center"/>
          </w:tcPr>
          <w:p>
            <w:pPr>
              <w:pStyle w:val="32"/>
              <w:bidi w:val="0"/>
            </w:pPr>
            <w:r>
              <w:rPr>
                <w:rFonts w:hint="default"/>
                <w:lang w:val="en-US" w:eastAsia="zh-CN"/>
              </w:rPr>
              <w:t>57.42</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Align w:val="center"/>
          </w:tcPr>
          <w:p>
            <w:pPr>
              <w:pStyle w:val="32"/>
              <w:bidi w:val="0"/>
            </w:pPr>
            <w:r>
              <w:t>CO</w:t>
            </w:r>
          </w:p>
        </w:tc>
        <w:tc>
          <w:tcPr>
            <w:tcW w:w="1999" w:type="pct"/>
            <w:vAlign w:val="center"/>
          </w:tcPr>
          <w:p>
            <w:pPr>
              <w:pStyle w:val="32"/>
              <w:bidi w:val="0"/>
            </w:pPr>
            <w:r>
              <w:t>24h平均第95百分位数</w:t>
            </w:r>
          </w:p>
        </w:tc>
        <w:tc>
          <w:tcPr>
            <w:tcW w:w="692" w:type="pct"/>
            <w:vAlign w:val="center"/>
          </w:tcPr>
          <w:p>
            <w:pPr>
              <w:pStyle w:val="32"/>
              <w:bidi w:val="0"/>
            </w:pPr>
            <w:r>
              <w:t>4000</w:t>
            </w:r>
          </w:p>
        </w:tc>
        <w:tc>
          <w:tcPr>
            <w:tcW w:w="729" w:type="pct"/>
            <w:vAlign w:val="center"/>
          </w:tcPr>
          <w:p>
            <w:pPr>
              <w:pStyle w:val="32"/>
              <w:bidi w:val="0"/>
              <w:rPr>
                <w:rFonts w:hint="default"/>
                <w:lang w:val="en-US" w:eastAsia="zh-CN"/>
              </w:rPr>
            </w:pPr>
            <w:r>
              <w:rPr>
                <w:rFonts w:hint="eastAsia"/>
                <w:lang w:val="en-US" w:eastAsia="zh-CN"/>
              </w:rPr>
              <w:t>1400</w:t>
            </w:r>
          </w:p>
        </w:tc>
        <w:tc>
          <w:tcPr>
            <w:tcW w:w="600" w:type="pct"/>
            <w:vAlign w:val="center"/>
          </w:tcPr>
          <w:p>
            <w:pPr>
              <w:pStyle w:val="32"/>
              <w:bidi w:val="0"/>
            </w:pPr>
            <w:r>
              <w:rPr>
                <w:rFonts w:hint="default"/>
                <w:lang w:val="en-US" w:eastAsia="zh-CN"/>
              </w:rPr>
              <w:t>35</w:t>
            </w:r>
          </w:p>
        </w:tc>
        <w:tc>
          <w:tcPr>
            <w:tcW w:w="482" w:type="pct"/>
            <w:vAlign w:val="center"/>
          </w:tcPr>
          <w:p>
            <w:pPr>
              <w:pStyle w:val="32"/>
              <w:bidi w:val="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6" w:type="pct"/>
            <w:vAlign w:val="center"/>
          </w:tcPr>
          <w:p>
            <w:pPr>
              <w:pStyle w:val="32"/>
              <w:bidi w:val="0"/>
            </w:pPr>
            <w:r>
              <w:t>O</w:t>
            </w:r>
            <w:r>
              <w:rPr>
                <w:vertAlign w:val="subscript"/>
              </w:rPr>
              <w:t>3</w:t>
            </w:r>
          </w:p>
        </w:tc>
        <w:tc>
          <w:tcPr>
            <w:tcW w:w="1999" w:type="pct"/>
            <w:vAlign w:val="center"/>
          </w:tcPr>
          <w:p>
            <w:pPr>
              <w:pStyle w:val="32"/>
              <w:bidi w:val="0"/>
            </w:pPr>
            <w:r>
              <w:t>日最大8h滑动平均值的第90百分位数</w:t>
            </w:r>
          </w:p>
        </w:tc>
        <w:tc>
          <w:tcPr>
            <w:tcW w:w="692" w:type="pct"/>
            <w:vAlign w:val="center"/>
          </w:tcPr>
          <w:p>
            <w:pPr>
              <w:pStyle w:val="32"/>
              <w:bidi w:val="0"/>
            </w:pPr>
            <w:r>
              <w:t>160</w:t>
            </w:r>
          </w:p>
        </w:tc>
        <w:tc>
          <w:tcPr>
            <w:tcW w:w="729" w:type="pct"/>
            <w:vAlign w:val="center"/>
          </w:tcPr>
          <w:p>
            <w:pPr>
              <w:pStyle w:val="32"/>
              <w:bidi w:val="0"/>
              <w:rPr>
                <w:rFonts w:hint="default"/>
                <w:lang w:val="en-US" w:eastAsia="zh-CN"/>
              </w:rPr>
            </w:pPr>
            <w:r>
              <w:rPr>
                <w:rFonts w:hint="eastAsia"/>
                <w:lang w:val="en-US" w:eastAsia="zh-CN"/>
              </w:rPr>
              <w:t>64</w:t>
            </w:r>
          </w:p>
        </w:tc>
        <w:tc>
          <w:tcPr>
            <w:tcW w:w="600" w:type="pct"/>
            <w:vAlign w:val="center"/>
          </w:tcPr>
          <w:p>
            <w:pPr>
              <w:pStyle w:val="32"/>
              <w:bidi w:val="0"/>
            </w:pPr>
            <w:r>
              <w:rPr>
                <w:rFonts w:hint="default"/>
                <w:lang w:val="en-US" w:eastAsia="zh-CN"/>
              </w:rPr>
              <w:t>40</w:t>
            </w:r>
          </w:p>
        </w:tc>
        <w:tc>
          <w:tcPr>
            <w:tcW w:w="482" w:type="pct"/>
            <w:vAlign w:val="center"/>
          </w:tcPr>
          <w:p>
            <w:pPr>
              <w:pStyle w:val="32"/>
              <w:bidi w:val="0"/>
            </w:pPr>
            <w:r>
              <w:t>达标</w:t>
            </w:r>
          </w:p>
        </w:tc>
      </w:tr>
    </w:tbl>
    <w:p>
      <w:pPr>
        <w:pStyle w:val="7"/>
        <w:ind w:firstLine="480"/>
        <w:rPr>
          <w:highlight w:val="none"/>
        </w:rPr>
      </w:pPr>
      <w:r>
        <w:rPr>
          <w:rFonts w:hint="eastAsia"/>
          <w:highlight w:val="none"/>
        </w:rPr>
        <w:t>由表</w:t>
      </w:r>
      <w:r>
        <w:rPr>
          <w:highlight w:val="none"/>
        </w:rPr>
        <w:t>4.3-1</w:t>
      </w:r>
      <w:r>
        <w:rPr>
          <w:rFonts w:hint="eastAsia"/>
          <w:highlight w:val="none"/>
        </w:rPr>
        <w:t>可知，项目所在区</w:t>
      </w:r>
      <w:r>
        <w:rPr>
          <w:rFonts w:hint="eastAsia"/>
          <w:highlight w:val="none"/>
          <w:lang w:val="en-US" w:eastAsia="zh-CN"/>
        </w:rPr>
        <w:t>2021</w:t>
      </w:r>
      <w:r>
        <w:rPr>
          <w:rFonts w:hint="eastAsia"/>
          <w:highlight w:val="none"/>
        </w:rPr>
        <w:t>年的环境空气质量中，常规六项污染物S</w:t>
      </w:r>
      <w:r>
        <w:rPr>
          <w:highlight w:val="none"/>
        </w:rPr>
        <w:t>O</w:t>
      </w:r>
      <w:r>
        <w:rPr>
          <w:highlight w:val="none"/>
          <w:vertAlign w:val="subscript"/>
        </w:rPr>
        <w:t>2</w:t>
      </w:r>
      <w:r>
        <w:rPr>
          <w:rFonts w:hint="eastAsia"/>
          <w:highlight w:val="none"/>
        </w:rPr>
        <w:t>、</w:t>
      </w:r>
      <w:r>
        <w:rPr>
          <w:highlight w:val="none"/>
        </w:rPr>
        <w:t>NO</w:t>
      </w:r>
      <w:r>
        <w:rPr>
          <w:highlight w:val="none"/>
          <w:vertAlign w:val="subscript"/>
        </w:rPr>
        <w:t>2</w:t>
      </w:r>
      <w:r>
        <w:rPr>
          <w:rFonts w:hint="eastAsia"/>
          <w:highlight w:val="none"/>
        </w:rPr>
        <w:t>、P</w:t>
      </w:r>
      <w:r>
        <w:rPr>
          <w:highlight w:val="none"/>
        </w:rPr>
        <w:t>M</w:t>
      </w:r>
      <w:r>
        <w:rPr>
          <w:highlight w:val="none"/>
          <w:vertAlign w:val="subscript"/>
        </w:rPr>
        <w:t>10</w:t>
      </w:r>
      <w:r>
        <w:rPr>
          <w:rFonts w:hint="eastAsia"/>
          <w:highlight w:val="none"/>
        </w:rPr>
        <w:t>、P</w:t>
      </w:r>
      <w:r>
        <w:rPr>
          <w:highlight w:val="none"/>
        </w:rPr>
        <w:t>M</w:t>
      </w:r>
      <w:r>
        <w:rPr>
          <w:highlight w:val="none"/>
          <w:vertAlign w:val="subscript"/>
        </w:rPr>
        <w:t>2.5</w:t>
      </w:r>
      <w:r>
        <w:rPr>
          <w:rFonts w:hint="eastAsia"/>
          <w:highlight w:val="none"/>
        </w:rPr>
        <w:t>的年平均质量浓度和其百分位数平均质量浓度均可达到《环境空气质量标准》（G</w:t>
      </w:r>
      <w:r>
        <w:rPr>
          <w:highlight w:val="none"/>
        </w:rPr>
        <w:t>B3095-2012</w:t>
      </w:r>
      <w:r>
        <w:rPr>
          <w:rFonts w:hint="eastAsia"/>
          <w:highlight w:val="none"/>
        </w:rPr>
        <w:t>）中二级标准限值要求，C</w:t>
      </w:r>
      <w:r>
        <w:rPr>
          <w:highlight w:val="none"/>
        </w:rPr>
        <w:t>O</w:t>
      </w:r>
      <w:r>
        <w:rPr>
          <w:rFonts w:hint="eastAsia"/>
          <w:highlight w:val="none"/>
        </w:rPr>
        <w:t>的保证率日均质量浓度限值和O</w:t>
      </w:r>
      <w:r>
        <w:rPr>
          <w:highlight w:val="none"/>
          <w:vertAlign w:val="subscript"/>
        </w:rPr>
        <w:t>3</w:t>
      </w:r>
      <w:r>
        <w:rPr>
          <w:rFonts w:hint="eastAsia"/>
          <w:highlight w:val="none"/>
          <w:vertAlign w:val="subscript"/>
        </w:rPr>
        <w:t xml:space="preserve"> </w:t>
      </w:r>
      <w:r>
        <w:rPr>
          <w:highlight w:val="none"/>
        </w:rPr>
        <w:t>8</w:t>
      </w:r>
      <w:r>
        <w:rPr>
          <w:rFonts w:hint="eastAsia"/>
          <w:highlight w:val="none"/>
        </w:rPr>
        <w:t>h保证率下的浓度值也均可满足《环境空气质量标准》（G</w:t>
      </w:r>
      <w:r>
        <w:rPr>
          <w:highlight w:val="none"/>
        </w:rPr>
        <w:t>B3095-2012</w:t>
      </w:r>
      <w:r>
        <w:rPr>
          <w:rFonts w:hint="eastAsia"/>
          <w:highlight w:val="none"/>
        </w:rPr>
        <w:t>）中二级标准限值要求。</w:t>
      </w:r>
    </w:p>
    <w:p>
      <w:pPr>
        <w:spacing w:line="360" w:lineRule="auto"/>
        <w:ind w:firstLine="480" w:firstLineChars="200"/>
        <w:contextualSpacing/>
        <w:jc w:val="left"/>
        <w:rPr>
          <w:rFonts w:ascii="宋体" w:hAnsi="宋体"/>
          <w:highlight w:val="none"/>
        </w:rPr>
      </w:pPr>
      <w:r>
        <w:rPr>
          <w:rFonts w:hint="eastAsia" w:ascii="宋体" w:hAnsi="宋体"/>
          <w:highlight w:val="none"/>
        </w:rPr>
        <w:t>根据上述指标判定，项目所在区域砚山县属于环境空气质量达标区域。</w:t>
      </w:r>
    </w:p>
    <w:p>
      <w:pPr>
        <w:pStyle w:val="9"/>
      </w:pPr>
      <w:r>
        <w:rPr>
          <w:rFonts w:hint="eastAsia"/>
        </w:rPr>
        <w:t>5.3.1.2现有监测资料收集</w:t>
      </w:r>
    </w:p>
    <w:p>
      <w:pPr>
        <w:pStyle w:val="7"/>
        <w:ind w:firstLine="480"/>
      </w:pPr>
      <w:r>
        <w:rPr>
          <w:rFonts w:hint="eastAsia"/>
        </w:rPr>
        <w:t>评价收集了《云南宏泰新型材料有限公司年产203万吨电解铝建设项目环境影响报告书》及《年产120万吨轻质高强铝合金材料项目环境影响报告书》（云南创新合金有限公司）中的监测数据；云南宏泰新型材料有限公司紧邻项目东南侧，云南创新合金有限公司紧邻项目北侧。</w:t>
      </w:r>
    </w:p>
    <w:p>
      <w:pPr>
        <w:pStyle w:val="7"/>
        <w:ind w:firstLine="482"/>
        <w:rPr>
          <w:b/>
          <w:bCs/>
        </w:rPr>
      </w:pPr>
      <w:r>
        <w:rPr>
          <w:rFonts w:hint="eastAsia"/>
          <w:b/>
          <w:bCs/>
        </w:rPr>
        <w:t>1、《云南宏泰新型材料有限公司年产203万吨电解铝建设项目环境影响报告书》中</w:t>
      </w:r>
      <w:r>
        <w:rPr>
          <w:b/>
          <w:bCs/>
        </w:rPr>
        <w:t>项目所处区域环境空气质量现状</w:t>
      </w:r>
    </w:p>
    <w:p>
      <w:pPr>
        <w:pStyle w:val="7"/>
        <w:ind w:firstLine="480"/>
      </w:pPr>
      <w:r>
        <w:rPr>
          <w:rFonts w:hint="eastAsia"/>
        </w:rPr>
        <w:t>《云南宏泰新型材料有限公司年产203万吨电解铝建设项目环境影响报告书》中由</w:t>
      </w:r>
      <w:r>
        <w:t>云南升环检测技术有限公司于2019年11月6日—11月12日对项目所处区域环境空气质量现状进行了一期监测。</w:t>
      </w:r>
    </w:p>
    <w:p>
      <w:pPr>
        <w:pStyle w:val="7"/>
        <w:ind w:firstLine="480"/>
      </w:pPr>
      <w:r>
        <w:rPr>
          <w:rFonts w:hint="eastAsia"/>
        </w:rPr>
        <w:t>（1）</w:t>
      </w:r>
      <w:r>
        <w:t>监测点位、因子和时段等</w:t>
      </w:r>
    </w:p>
    <w:p>
      <w:pPr>
        <w:pStyle w:val="7"/>
        <w:ind w:firstLine="480"/>
        <w:rPr>
          <w:bCs/>
          <w:highlight w:val="none"/>
        </w:rPr>
      </w:pPr>
      <w:r>
        <w:rPr>
          <w:bCs/>
        </w:rPr>
        <w:t>环境空气质量现状监测布点结合区域环境功能、地形地貌特征和主、次风向等因素，共布设了5个监测点</w:t>
      </w:r>
      <w:r>
        <w:rPr>
          <w:rFonts w:hint="eastAsia"/>
          <w:bCs/>
        </w:rPr>
        <w:t>，本次评价利用该项目环评期间的监测数据</w:t>
      </w:r>
      <w:r>
        <w:rPr>
          <w:bCs/>
        </w:rPr>
        <w:t>。具体位置详见表</w:t>
      </w:r>
      <w:r>
        <w:rPr>
          <w:rFonts w:hint="eastAsia"/>
          <w:bCs/>
        </w:rPr>
        <w:t>5</w:t>
      </w:r>
      <w:r>
        <w:rPr>
          <w:bCs/>
        </w:rPr>
        <w:t>.3-</w:t>
      </w:r>
      <w:r>
        <w:rPr>
          <w:rFonts w:hint="eastAsia"/>
          <w:bCs/>
        </w:rPr>
        <w:t>2</w:t>
      </w:r>
      <w:r>
        <w:rPr>
          <w:bCs/>
        </w:rPr>
        <w:t>，</w:t>
      </w:r>
      <w:r>
        <w:rPr>
          <w:highlight w:val="none"/>
        </w:rPr>
        <w:t>监测布点图见附图6。</w:t>
      </w:r>
    </w:p>
    <w:p>
      <w:pPr>
        <w:pStyle w:val="31"/>
      </w:pPr>
      <w:r>
        <w:t>表</w:t>
      </w:r>
      <w:r>
        <w:rPr>
          <w:rFonts w:hint="eastAsia"/>
        </w:rPr>
        <w:t>5</w:t>
      </w:r>
      <w:r>
        <w:t>.3-</w:t>
      </w:r>
      <w:r>
        <w:rPr>
          <w:rFonts w:hint="eastAsia"/>
        </w:rPr>
        <w:t>2</w:t>
      </w:r>
      <w:r>
        <w:t xml:space="preserve">  环境空气质量现状监测布点一览表</w:t>
      </w:r>
    </w:p>
    <w:tbl>
      <w:tblPr>
        <w:tblStyle w:val="27"/>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690"/>
        <w:gridCol w:w="2244"/>
        <w:gridCol w:w="2483"/>
        <w:gridCol w:w="1205"/>
        <w:gridCol w:w="991"/>
        <w:gridCol w:w="146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80" w:type="pct"/>
            <w:tcBorders>
              <w:top w:val="single" w:color="auto" w:sz="4" w:space="0"/>
              <w:left w:val="single" w:color="auto" w:sz="2" w:space="0"/>
              <w:bottom w:val="single" w:color="auto" w:sz="2" w:space="0"/>
              <w:right w:val="single" w:color="auto" w:sz="2" w:space="0"/>
            </w:tcBorders>
            <w:vAlign w:val="center"/>
          </w:tcPr>
          <w:p>
            <w:pPr>
              <w:pStyle w:val="33"/>
            </w:pPr>
            <w:r>
              <w:t>序号</w:t>
            </w:r>
          </w:p>
        </w:tc>
        <w:tc>
          <w:tcPr>
            <w:tcW w:w="1236" w:type="pct"/>
            <w:tcBorders>
              <w:top w:val="single" w:color="auto" w:sz="4" w:space="0"/>
              <w:left w:val="single" w:color="auto" w:sz="2" w:space="0"/>
              <w:bottom w:val="single" w:color="auto" w:sz="2" w:space="0"/>
              <w:right w:val="single" w:color="auto" w:sz="2" w:space="0"/>
            </w:tcBorders>
            <w:vAlign w:val="center"/>
          </w:tcPr>
          <w:p>
            <w:pPr>
              <w:pStyle w:val="33"/>
            </w:pPr>
            <w:r>
              <w:t>监测点名称</w:t>
            </w:r>
          </w:p>
        </w:tc>
        <w:tc>
          <w:tcPr>
            <w:tcW w:w="1368" w:type="pct"/>
            <w:tcBorders>
              <w:top w:val="single" w:color="auto" w:sz="4" w:space="0"/>
              <w:left w:val="single" w:color="auto" w:sz="2" w:space="0"/>
              <w:bottom w:val="single" w:color="auto" w:sz="2" w:space="0"/>
              <w:right w:val="single" w:color="auto" w:sz="2" w:space="0"/>
            </w:tcBorders>
            <w:vAlign w:val="center"/>
          </w:tcPr>
          <w:p>
            <w:pPr>
              <w:pStyle w:val="33"/>
            </w:pPr>
            <w:r>
              <w:t>监测因子</w:t>
            </w:r>
          </w:p>
        </w:tc>
        <w:tc>
          <w:tcPr>
            <w:tcW w:w="664" w:type="pct"/>
            <w:tcBorders>
              <w:top w:val="single" w:color="auto" w:sz="4" w:space="0"/>
              <w:left w:val="single" w:color="auto" w:sz="2" w:space="0"/>
              <w:bottom w:val="single" w:color="auto" w:sz="2" w:space="0"/>
              <w:right w:val="single" w:color="auto" w:sz="4" w:space="0"/>
            </w:tcBorders>
            <w:vAlign w:val="center"/>
          </w:tcPr>
          <w:p>
            <w:pPr>
              <w:pStyle w:val="33"/>
            </w:pPr>
            <w:r>
              <w:t>与厂址的相对位置</w:t>
            </w:r>
          </w:p>
        </w:tc>
        <w:tc>
          <w:tcPr>
            <w:tcW w:w="546" w:type="pct"/>
            <w:tcBorders>
              <w:top w:val="single" w:color="auto" w:sz="4" w:space="0"/>
              <w:left w:val="single" w:color="auto" w:sz="4" w:space="0"/>
              <w:bottom w:val="single" w:color="auto" w:sz="2" w:space="0"/>
              <w:right w:val="single" w:color="auto" w:sz="2" w:space="0"/>
            </w:tcBorders>
            <w:vAlign w:val="center"/>
          </w:tcPr>
          <w:p>
            <w:pPr>
              <w:pStyle w:val="33"/>
              <w:rPr>
                <w:rFonts w:hint="eastAsia" w:eastAsia="宋体"/>
                <w:lang w:eastAsia="zh-CN"/>
              </w:rPr>
            </w:pPr>
            <w:r>
              <w:t>距厂界的最近距离</w:t>
            </w:r>
            <w:r>
              <w:rPr>
                <w:rFonts w:hint="eastAsia"/>
                <w:lang w:eastAsia="zh-CN"/>
              </w:rPr>
              <w:t>（</w:t>
            </w:r>
            <w:r>
              <w:t>m</w:t>
            </w:r>
            <w:r>
              <w:rPr>
                <w:rFonts w:hint="eastAsia"/>
                <w:lang w:eastAsia="zh-CN"/>
              </w:rPr>
              <w:t>）</w:t>
            </w:r>
          </w:p>
        </w:tc>
        <w:tc>
          <w:tcPr>
            <w:tcW w:w="806" w:type="pct"/>
            <w:tcBorders>
              <w:top w:val="single" w:color="auto" w:sz="4" w:space="0"/>
              <w:left w:val="single" w:color="auto" w:sz="2" w:space="0"/>
              <w:bottom w:val="single" w:color="auto" w:sz="2" w:space="0"/>
              <w:right w:val="single" w:color="auto" w:sz="2" w:space="0"/>
            </w:tcBorders>
            <w:vAlign w:val="center"/>
          </w:tcPr>
          <w:p>
            <w:pPr>
              <w:pStyle w:val="33"/>
            </w:pPr>
            <w:r>
              <w:t>功能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80" w:type="pct"/>
            <w:tcBorders>
              <w:top w:val="single" w:color="auto" w:sz="2" w:space="0"/>
              <w:left w:val="single" w:color="auto" w:sz="2" w:space="0"/>
              <w:bottom w:val="single" w:color="auto" w:sz="2" w:space="0"/>
              <w:right w:val="single" w:color="auto" w:sz="2" w:space="0"/>
            </w:tcBorders>
            <w:vAlign w:val="center"/>
          </w:tcPr>
          <w:p>
            <w:pPr>
              <w:pStyle w:val="33"/>
            </w:pPr>
            <w:r>
              <w:t>1</w:t>
            </w:r>
          </w:p>
        </w:tc>
        <w:tc>
          <w:tcPr>
            <w:tcW w:w="1236" w:type="pct"/>
            <w:tcBorders>
              <w:top w:val="single" w:color="auto" w:sz="2" w:space="0"/>
              <w:left w:val="single" w:color="auto" w:sz="2" w:space="0"/>
              <w:bottom w:val="single" w:color="auto" w:sz="4" w:space="0"/>
              <w:right w:val="single" w:color="auto" w:sz="2" w:space="0"/>
            </w:tcBorders>
            <w:vAlign w:val="center"/>
          </w:tcPr>
          <w:p>
            <w:pPr>
              <w:pStyle w:val="33"/>
            </w:pPr>
            <w:r>
              <w:t>听湖水库（大坝处）</w:t>
            </w:r>
          </w:p>
        </w:tc>
        <w:tc>
          <w:tcPr>
            <w:tcW w:w="1368" w:type="pct"/>
            <w:tcBorders>
              <w:top w:val="single" w:color="auto" w:sz="2" w:space="0"/>
              <w:left w:val="single" w:color="auto" w:sz="2" w:space="0"/>
              <w:bottom w:val="single" w:color="auto" w:sz="4" w:space="0"/>
              <w:right w:val="single" w:color="auto" w:sz="2" w:space="0"/>
            </w:tcBorders>
            <w:vAlign w:val="center"/>
          </w:tcPr>
          <w:p>
            <w:pPr>
              <w:pStyle w:val="33"/>
            </w:pPr>
            <w:r>
              <w:t>SO</w:t>
            </w:r>
            <w:r>
              <w:rPr>
                <w:vertAlign w:val="subscript"/>
              </w:rPr>
              <w:t>2</w:t>
            </w:r>
            <w:r>
              <w:t>、NO</w:t>
            </w:r>
            <w:r>
              <w:rPr>
                <w:vertAlign w:val="subscript"/>
              </w:rPr>
              <w:t>2</w:t>
            </w:r>
            <w:r>
              <w:t>、TSP、PM</w:t>
            </w:r>
            <w:r>
              <w:rPr>
                <w:vertAlign w:val="subscript"/>
              </w:rPr>
              <w:t>10</w:t>
            </w:r>
            <w:r>
              <w:t>、PM</w:t>
            </w:r>
            <w:r>
              <w:rPr>
                <w:vertAlign w:val="subscript"/>
              </w:rPr>
              <w:t>2.5</w:t>
            </w:r>
            <w:r>
              <w:t>、</w:t>
            </w:r>
          </w:p>
          <w:p>
            <w:pPr>
              <w:pStyle w:val="33"/>
            </w:pPr>
            <w:r>
              <w:t>CO、O</w:t>
            </w:r>
            <w:r>
              <w:rPr>
                <w:vertAlign w:val="subscript"/>
              </w:rPr>
              <w:t>3</w:t>
            </w:r>
            <w:r>
              <w:t>、氟化物、氟沉降</w:t>
            </w:r>
          </w:p>
        </w:tc>
        <w:tc>
          <w:tcPr>
            <w:tcW w:w="664" w:type="pct"/>
            <w:tcBorders>
              <w:top w:val="single" w:color="auto" w:sz="2" w:space="0"/>
              <w:left w:val="single" w:color="auto" w:sz="2" w:space="0"/>
              <w:bottom w:val="single" w:color="auto" w:sz="4" w:space="0"/>
              <w:right w:val="single" w:color="auto" w:sz="4" w:space="0"/>
            </w:tcBorders>
            <w:vAlign w:val="center"/>
          </w:tcPr>
          <w:p>
            <w:pPr>
              <w:pStyle w:val="33"/>
            </w:pPr>
            <w:r>
              <w:t>东南</w:t>
            </w:r>
          </w:p>
        </w:tc>
        <w:tc>
          <w:tcPr>
            <w:tcW w:w="546" w:type="pct"/>
            <w:tcBorders>
              <w:top w:val="single" w:color="auto" w:sz="2" w:space="0"/>
              <w:left w:val="single" w:color="auto" w:sz="4" w:space="0"/>
              <w:bottom w:val="single" w:color="auto" w:sz="4" w:space="0"/>
              <w:right w:val="single" w:color="auto" w:sz="2" w:space="0"/>
            </w:tcBorders>
            <w:vAlign w:val="center"/>
          </w:tcPr>
          <w:p>
            <w:pPr>
              <w:pStyle w:val="33"/>
            </w:pPr>
            <w:r>
              <w:t>2052</w:t>
            </w:r>
          </w:p>
        </w:tc>
        <w:tc>
          <w:tcPr>
            <w:tcW w:w="806" w:type="pct"/>
            <w:tcBorders>
              <w:top w:val="single" w:color="auto" w:sz="2" w:space="0"/>
              <w:left w:val="single" w:color="auto" w:sz="2" w:space="0"/>
              <w:bottom w:val="single" w:color="auto" w:sz="4" w:space="0"/>
              <w:right w:val="single" w:color="auto" w:sz="2" w:space="0"/>
            </w:tcBorders>
            <w:vAlign w:val="center"/>
          </w:tcPr>
          <w:p>
            <w:pPr>
              <w:pStyle w:val="33"/>
            </w:pPr>
            <w:r>
              <w:t>环境空气</w:t>
            </w:r>
          </w:p>
          <w:p>
            <w:pPr>
              <w:pStyle w:val="33"/>
            </w:pPr>
            <w:r>
              <w:t>一级标准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80" w:type="pct"/>
            <w:tcBorders>
              <w:top w:val="single" w:color="auto" w:sz="2" w:space="0"/>
              <w:left w:val="single" w:color="auto" w:sz="2" w:space="0"/>
              <w:bottom w:val="single" w:color="auto" w:sz="2" w:space="0"/>
              <w:right w:val="single" w:color="auto" w:sz="2" w:space="0"/>
            </w:tcBorders>
            <w:vAlign w:val="center"/>
          </w:tcPr>
          <w:p>
            <w:pPr>
              <w:pStyle w:val="33"/>
            </w:pPr>
            <w:r>
              <w:t>2</w:t>
            </w:r>
          </w:p>
        </w:tc>
        <w:tc>
          <w:tcPr>
            <w:tcW w:w="1236" w:type="pct"/>
            <w:tcBorders>
              <w:top w:val="single" w:color="auto" w:sz="4" w:space="0"/>
              <w:left w:val="single" w:color="auto" w:sz="2" w:space="0"/>
              <w:bottom w:val="single" w:color="auto" w:sz="4" w:space="0"/>
              <w:right w:val="single" w:color="auto" w:sz="2" w:space="0"/>
            </w:tcBorders>
            <w:vAlign w:val="center"/>
          </w:tcPr>
          <w:p>
            <w:pPr>
              <w:pStyle w:val="33"/>
            </w:pPr>
            <w:r>
              <w:t>生产厂区中心</w:t>
            </w:r>
            <w:r>
              <w:rPr>
                <w:rFonts w:hint="eastAsia"/>
              </w:rPr>
              <w:t>（云南宏泰新型材料有限公司）</w:t>
            </w:r>
          </w:p>
        </w:tc>
        <w:tc>
          <w:tcPr>
            <w:tcW w:w="1368" w:type="pct"/>
            <w:vMerge w:val="restart"/>
            <w:tcBorders>
              <w:top w:val="single" w:color="auto" w:sz="4" w:space="0"/>
              <w:left w:val="single" w:color="auto" w:sz="2" w:space="0"/>
              <w:right w:val="single" w:color="auto" w:sz="2" w:space="0"/>
            </w:tcBorders>
            <w:vAlign w:val="center"/>
          </w:tcPr>
          <w:p>
            <w:pPr>
              <w:pStyle w:val="33"/>
            </w:pPr>
            <w:r>
              <w:t>TSP、氟化物、氟沉降</w:t>
            </w:r>
          </w:p>
        </w:tc>
        <w:tc>
          <w:tcPr>
            <w:tcW w:w="664" w:type="pct"/>
            <w:tcBorders>
              <w:top w:val="single" w:color="auto" w:sz="4" w:space="0"/>
              <w:left w:val="single" w:color="auto" w:sz="2" w:space="0"/>
              <w:bottom w:val="single" w:color="auto" w:sz="4" w:space="0"/>
              <w:right w:val="single" w:color="auto" w:sz="4" w:space="0"/>
            </w:tcBorders>
            <w:vAlign w:val="center"/>
          </w:tcPr>
          <w:p>
            <w:pPr>
              <w:pStyle w:val="33"/>
            </w:pPr>
            <w:r>
              <w:rPr>
                <w:rFonts w:hint="eastAsia"/>
              </w:rPr>
              <w:t>东北</w:t>
            </w:r>
          </w:p>
        </w:tc>
        <w:tc>
          <w:tcPr>
            <w:tcW w:w="546" w:type="pct"/>
            <w:tcBorders>
              <w:top w:val="single" w:color="auto" w:sz="4" w:space="0"/>
              <w:left w:val="single" w:color="auto" w:sz="4" w:space="0"/>
              <w:bottom w:val="single" w:color="auto" w:sz="4" w:space="0"/>
              <w:right w:val="single" w:color="auto" w:sz="2" w:space="0"/>
            </w:tcBorders>
            <w:vAlign w:val="center"/>
          </w:tcPr>
          <w:p>
            <w:pPr>
              <w:pStyle w:val="33"/>
            </w:pPr>
            <w:r>
              <w:t>125</w:t>
            </w:r>
          </w:p>
        </w:tc>
        <w:tc>
          <w:tcPr>
            <w:tcW w:w="806" w:type="pct"/>
            <w:vMerge w:val="restart"/>
            <w:tcBorders>
              <w:top w:val="single" w:color="auto" w:sz="4" w:space="0"/>
              <w:left w:val="single" w:color="auto" w:sz="2" w:space="0"/>
              <w:right w:val="single" w:color="auto" w:sz="2" w:space="0"/>
            </w:tcBorders>
            <w:vAlign w:val="center"/>
          </w:tcPr>
          <w:p>
            <w:pPr>
              <w:pStyle w:val="33"/>
            </w:pPr>
            <w:r>
              <w:t>环境空气</w:t>
            </w:r>
          </w:p>
          <w:p>
            <w:pPr>
              <w:pStyle w:val="33"/>
            </w:pPr>
            <w:r>
              <w:t>二级标准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80" w:type="pct"/>
            <w:tcBorders>
              <w:top w:val="single" w:color="auto" w:sz="2" w:space="0"/>
              <w:left w:val="single" w:color="auto" w:sz="2" w:space="0"/>
              <w:bottom w:val="single" w:color="auto" w:sz="2" w:space="0"/>
              <w:right w:val="single" w:color="auto" w:sz="2" w:space="0"/>
            </w:tcBorders>
            <w:vAlign w:val="center"/>
          </w:tcPr>
          <w:p>
            <w:pPr>
              <w:pStyle w:val="33"/>
            </w:pPr>
            <w:r>
              <w:t>3</w:t>
            </w:r>
          </w:p>
        </w:tc>
        <w:tc>
          <w:tcPr>
            <w:tcW w:w="1236" w:type="pct"/>
            <w:tcBorders>
              <w:top w:val="single" w:color="auto" w:sz="4" w:space="0"/>
              <w:left w:val="single" w:color="auto" w:sz="2" w:space="0"/>
              <w:bottom w:val="single" w:color="auto" w:sz="4" w:space="0"/>
              <w:right w:val="single" w:color="auto" w:sz="2" w:space="0"/>
            </w:tcBorders>
            <w:vAlign w:val="center"/>
          </w:tcPr>
          <w:p>
            <w:pPr>
              <w:pStyle w:val="33"/>
            </w:pPr>
            <w:r>
              <w:t>马鞍山村</w:t>
            </w:r>
          </w:p>
        </w:tc>
        <w:tc>
          <w:tcPr>
            <w:tcW w:w="1368" w:type="pct"/>
            <w:vMerge w:val="continue"/>
            <w:tcBorders>
              <w:left w:val="single" w:color="auto" w:sz="2" w:space="0"/>
              <w:right w:val="single" w:color="auto" w:sz="2" w:space="0"/>
            </w:tcBorders>
            <w:vAlign w:val="center"/>
          </w:tcPr>
          <w:p>
            <w:pPr>
              <w:pStyle w:val="33"/>
            </w:pPr>
          </w:p>
        </w:tc>
        <w:tc>
          <w:tcPr>
            <w:tcW w:w="664" w:type="pct"/>
            <w:tcBorders>
              <w:top w:val="single" w:color="auto" w:sz="4" w:space="0"/>
              <w:left w:val="single" w:color="auto" w:sz="2" w:space="0"/>
              <w:bottom w:val="single" w:color="auto" w:sz="4" w:space="0"/>
              <w:right w:val="single" w:color="auto" w:sz="4" w:space="0"/>
            </w:tcBorders>
            <w:vAlign w:val="center"/>
          </w:tcPr>
          <w:p>
            <w:pPr>
              <w:pStyle w:val="33"/>
            </w:pPr>
            <w:r>
              <w:t>北</w:t>
            </w:r>
          </w:p>
        </w:tc>
        <w:tc>
          <w:tcPr>
            <w:tcW w:w="546" w:type="pct"/>
            <w:tcBorders>
              <w:top w:val="single" w:color="auto" w:sz="4" w:space="0"/>
              <w:left w:val="single" w:color="auto" w:sz="4" w:space="0"/>
              <w:bottom w:val="single" w:color="auto" w:sz="4" w:space="0"/>
              <w:right w:val="single" w:color="auto" w:sz="2" w:space="0"/>
            </w:tcBorders>
            <w:vAlign w:val="center"/>
          </w:tcPr>
          <w:p>
            <w:pPr>
              <w:pStyle w:val="33"/>
            </w:pPr>
            <w:r>
              <w:t>545</w:t>
            </w:r>
          </w:p>
        </w:tc>
        <w:tc>
          <w:tcPr>
            <w:tcW w:w="806" w:type="pct"/>
            <w:vMerge w:val="continue"/>
            <w:tcBorders>
              <w:left w:val="single" w:color="auto" w:sz="2" w:space="0"/>
              <w:right w:val="single" w:color="auto" w:sz="2" w:space="0"/>
            </w:tcBorders>
            <w:vAlign w:val="center"/>
          </w:tcPr>
          <w:p>
            <w:pPr>
              <w:pStyle w:val="33"/>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80" w:type="pct"/>
            <w:tcBorders>
              <w:top w:val="single" w:color="auto" w:sz="2" w:space="0"/>
              <w:left w:val="single" w:color="auto" w:sz="2" w:space="0"/>
              <w:bottom w:val="single" w:color="auto" w:sz="2" w:space="0"/>
              <w:right w:val="single" w:color="auto" w:sz="2" w:space="0"/>
            </w:tcBorders>
            <w:vAlign w:val="center"/>
          </w:tcPr>
          <w:p>
            <w:pPr>
              <w:pStyle w:val="33"/>
            </w:pPr>
            <w:r>
              <w:t>4</w:t>
            </w:r>
          </w:p>
        </w:tc>
        <w:tc>
          <w:tcPr>
            <w:tcW w:w="1236" w:type="pct"/>
            <w:tcBorders>
              <w:top w:val="single" w:color="auto" w:sz="4" w:space="0"/>
              <w:left w:val="single" w:color="auto" w:sz="2" w:space="0"/>
              <w:bottom w:val="single" w:color="auto" w:sz="4" w:space="0"/>
              <w:right w:val="single" w:color="auto" w:sz="2" w:space="0"/>
            </w:tcBorders>
            <w:vAlign w:val="center"/>
          </w:tcPr>
          <w:p>
            <w:pPr>
              <w:pStyle w:val="33"/>
            </w:pPr>
            <w:r>
              <w:t>布标村</w:t>
            </w:r>
          </w:p>
        </w:tc>
        <w:tc>
          <w:tcPr>
            <w:tcW w:w="1368" w:type="pct"/>
            <w:vMerge w:val="continue"/>
            <w:tcBorders>
              <w:left w:val="single" w:color="auto" w:sz="2" w:space="0"/>
              <w:right w:val="single" w:color="auto" w:sz="2" w:space="0"/>
            </w:tcBorders>
            <w:vAlign w:val="center"/>
          </w:tcPr>
          <w:p>
            <w:pPr>
              <w:pStyle w:val="33"/>
            </w:pPr>
          </w:p>
        </w:tc>
        <w:tc>
          <w:tcPr>
            <w:tcW w:w="664" w:type="pct"/>
            <w:tcBorders>
              <w:top w:val="single" w:color="auto" w:sz="4" w:space="0"/>
              <w:left w:val="single" w:color="auto" w:sz="2" w:space="0"/>
              <w:bottom w:val="single" w:color="auto" w:sz="4" w:space="0"/>
              <w:right w:val="single" w:color="auto" w:sz="4" w:space="0"/>
            </w:tcBorders>
            <w:vAlign w:val="center"/>
          </w:tcPr>
          <w:p>
            <w:pPr>
              <w:pStyle w:val="33"/>
            </w:pPr>
            <w:r>
              <w:t>东南</w:t>
            </w:r>
          </w:p>
        </w:tc>
        <w:tc>
          <w:tcPr>
            <w:tcW w:w="546" w:type="pct"/>
            <w:tcBorders>
              <w:top w:val="single" w:color="auto" w:sz="4" w:space="0"/>
              <w:left w:val="single" w:color="auto" w:sz="4" w:space="0"/>
              <w:bottom w:val="single" w:color="auto" w:sz="4" w:space="0"/>
              <w:right w:val="single" w:color="auto" w:sz="2" w:space="0"/>
            </w:tcBorders>
            <w:vAlign w:val="center"/>
          </w:tcPr>
          <w:p>
            <w:pPr>
              <w:pStyle w:val="33"/>
            </w:pPr>
            <w:r>
              <w:t>920</w:t>
            </w:r>
          </w:p>
        </w:tc>
        <w:tc>
          <w:tcPr>
            <w:tcW w:w="806" w:type="pct"/>
            <w:vMerge w:val="continue"/>
            <w:tcBorders>
              <w:left w:val="single" w:color="auto" w:sz="2" w:space="0"/>
              <w:right w:val="single" w:color="auto" w:sz="2" w:space="0"/>
            </w:tcBorders>
            <w:vAlign w:val="center"/>
          </w:tcPr>
          <w:p>
            <w:pPr>
              <w:pStyle w:val="33"/>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80" w:type="pct"/>
            <w:tcBorders>
              <w:top w:val="single" w:color="auto" w:sz="2" w:space="0"/>
              <w:left w:val="single" w:color="auto" w:sz="2" w:space="0"/>
              <w:bottom w:val="single" w:color="auto" w:sz="2" w:space="0"/>
              <w:right w:val="single" w:color="auto" w:sz="2" w:space="0"/>
            </w:tcBorders>
            <w:vAlign w:val="center"/>
          </w:tcPr>
          <w:p>
            <w:pPr>
              <w:pStyle w:val="33"/>
            </w:pPr>
            <w:r>
              <w:t>5</w:t>
            </w:r>
          </w:p>
        </w:tc>
        <w:tc>
          <w:tcPr>
            <w:tcW w:w="1236" w:type="pct"/>
            <w:tcBorders>
              <w:top w:val="single" w:color="auto" w:sz="4" w:space="0"/>
              <w:left w:val="single" w:color="auto" w:sz="2" w:space="0"/>
              <w:bottom w:val="single" w:color="auto" w:sz="4" w:space="0"/>
              <w:right w:val="single" w:color="auto" w:sz="2" w:space="0"/>
            </w:tcBorders>
            <w:vAlign w:val="center"/>
          </w:tcPr>
          <w:p>
            <w:pPr>
              <w:pStyle w:val="33"/>
            </w:pPr>
            <w:r>
              <w:t>县城边界</w:t>
            </w:r>
            <w:r>
              <w:rPr>
                <w:rFonts w:hint="eastAsia"/>
                <w:lang w:eastAsia="zh-CN"/>
              </w:rPr>
              <w:t>（</w:t>
            </w:r>
            <w:r>
              <w:t>新农村上寨</w:t>
            </w:r>
            <w:r>
              <w:rPr>
                <w:rFonts w:hint="eastAsia"/>
                <w:lang w:eastAsia="zh-CN"/>
              </w:rPr>
              <w:t>）</w:t>
            </w:r>
            <w:r>
              <w:t>)</w:t>
            </w:r>
          </w:p>
        </w:tc>
        <w:tc>
          <w:tcPr>
            <w:tcW w:w="1368" w:type="pct"/>
            <w:vMerge w:val="continue"/>
            <w:tcBorders>
              <w:left w:val="single" w:color="auto" w:sz="2" w:space="0"/>
              <w:bottom w:val="single" w:color="auto" w:sz="4" w:space="0"/>
              <w:right w:val="single" w:color="auto" w:sz="2" w:space="0"/>
            </w:tcBorders>
            <w:vAlign w:val="center"/>
          </w:tcPr>
          <w:p>
            <w:pPr>
              <w:pStyle w:val="33"/>
            </w:pPr>
          </w:p>
        </w:tc>
        <w:tc>
          <w:tcPr>
            <w:tcW w:w="664" w:type="pct"/>
            <w:tcBorders>
              <w:top w:val="single" w:color="auto" w:sz="4" w:space="0"/>
              <w:left w:val="single" w:color="auto" w:sz="2" w:space="0"/>
              <w:bottom w:val="single" w:color="auto" w:sz="4" w:space="0"/>
              <w:right w:val="single" w:color="auto" w:sz="4" w:space="0"/>
            </w:tcBorders>
            <w:vAlign w:val="center"/>
          </w:tcPr>
          <w:p>
            <w:pPr>
              <w:pStyle w:val="33"/>
            </w:pPr>
            <w:r>
              <w:t>东南</w:t>
            </w:r>
          </w:p>
        </w:tc>
        <w:tc>
          <w:tcPr>
            <w:tcW w:w="546" w:type="pct"/>
            <w:tcBorders>
              <w:top w:val="single" w:color="auto" w:sz="4" w:space="0"/>
              <w:left w:val="single" w:color="auto" w:sz="4" w:space="0"/>
              <w:bottom w:val="single" w:color="auto" w:sz="4" w:space="0"/>
              <w:right w:val="single" w:color="auto" w:sz="2" w:space="0"/>
            </w:tcBorders>
            <w:vAlign w:val="center"/>
          </w:tcPr>
          <w:p>
            <w:pPr>
              <w:pStyle w:val="33"/>
            </w:pPr>
            <w:r>
              <w:t>4728</w:t>
            </w:r>
          </w:p>
        </w:tc>
        <w:tc>
          <w:tcPr>
            <w:tcW w:w="806" w:type="pct"/>
            <w:vMerge w:val="continue"/>
            <w:tcBorders>
              <w:left w:val="single" w:color="auto" w:sz="2" w:space="0"/>
              <w:right w:val="single" w:color="auto" w:sz="2" w:space="0"/>
            </w:tcBorders>
            <w:vAlign w:val="center"/>
          </w:tcPr>
          <w:p>
            <w:pPr>
              <w:pStyle w:val="33"/>
            </w:pPr>
          </w:p>
        </w:tc>
      </w:tr>
    </w:tbl>
    <w:p>
      <w:pPr>
        <w:pStyle w:val="7"/>
        <w:ind w:firstLine="480"/>
      </w:pPr>
      <w:r>
        <w:rPr>
          <w:rFonts w:hint="eastAsia"/>
        </w:rPr>
        <w:t>（2）</w:t>
      </w:r>
      <w:r>
        <w:t>监测频率</w:t>
      </w:r>
    </w:p>
    <w:p>
      <w:pPr>
        <w:pStyle w:val="7"/>
        <w:ind w:firstLine="480"/>
        <w:rPr>
          <w:caps/>
          <w:kern w:val="0"/>
        </w:rPr>
      </w:pPr>
      <w:r>
        <w:rPr>
          <w:bCs/>
        </w:rPr>
        <w:t>连续监测7天，其中SO</w:t>
      </w:r>
      <w:r>
        <w:rPr>
          <w:bCs/>
          <w:vertAlign w:val="subscript"/>
        </w:rPr>
        <w:t>2</w:t>
      </w:r>
      <w:r>
        <w:rPr>
          <w:bCs/>
        </w:rPr>
        <w:t>、NO</w:t>
      </w:r>
      <w:r>
        <w:rPr>
          <w:bCs/>
          <w:vertAlign w:val="subscript"/>
        </w:rPr>
        <w:t>2</w:t>
      </w:r>
      <w:r>
        <w:rPr>
          <w:bCs/>
        </w:rPr>
        <w:t>、CO、</w:t>
      </w:r>
      <w:r>
        <w:rPr>
          <w:caps/>
          <w:kern w:val="0"/>
        </w:rPr>
        <w:t>O</w:t>
      </w:r>
      <w:r>
        <w:rPr>
          <w:caps/>
          <w:kern w:val="0"/>
          <w:vertAlign w:val="subscript"/>
        </w:rPr>
        <w:t>3</w:t>
      </w:r>
      <w:r>
        <w:rPr>
          <w:bCs/>
        </w:rPr>
        <w:t>、氟化物小时浓度各测点每天采样4次，监测时间为每天的02:00、08:00、14:00、20:00，每次采样时间不少于45分钟；SO</w:t>
      </w:r>
      <w:r>
        <w:rPr>
          <w:bCs/>
          <w:vertAlign w:val="subscript"/>
        </w:rPr>
        <w:t>2</w:t>
      </w:r>
      <w:r>
        <w:rPr>
          <w:bCs/>
        </w:rPr>
        <w:t>、氟化物、NO</w:t>
      </w:r>
      <w:r>
        <w:rPr>
          <w:bCs/>
          <w:vertAlign w:val="subscript"/>
        </w:rPr>
        <w:t>2</w:t>
      </w:r>
      <w:r>
        <w:rPr>
          <w:bCs/>
        </w:rPr>
        <w:t>、PM</w:t>
      </w:r>
      <w:r>
        <w:rPr>
          <w:bCs/>
          <w:vertAlign w:val="subscript"/>
        </w:rPr>
        <w:t>10</w:t>
      </w:r>
      <w:r>
        <w:rPr>
          <w:bCs/>
        </w:rPr>
        <w:t>、TSP、PM</w:t>
      </w:r>
      <w:r>
        <w:rPr>
          <w:bCs/>
          <w:vertAlign w:val="subscript"/>
        </w:rPr>
        <w:t>2.5</w:t>
      </w:r>
      <w:r>
        <w:rPr>
          <w:bCs/>
        </w:rPr>
        <w:t>日均浓度每天采样1次，其中SO</w:t>
      </w:r>
      <w:r>
        <w:rPr>
          <w:bCs/>
          <w:vertAlign w:val="subscript"/>
        </w:rPr>
        <w:t>2</w:t>
      </w:r>
      <w:r>
        <w:rPr>
          <w:bCs/>
        </w:rPr>
        <w:t>、NO</w:t>
      </w:r>
      <w:r>
        <w:rPr>
          <w:bCs/>
          <w:vertAlign w:val="subscript"/>
        </w:rPr>
        <w:t>2</w:t>
      </w:r>
      <w:r>
        <w:rPr>
          <w:bCs/>
        </w:rPr>
        <w:t>、氟化物、PM</w:t>
      </w:r>
      <w:r>
        <w:rPr>
          <w:bCs/>
          <w:vertAlign w:val="subscript"/>
        </w:rPr>
        <w:t>10</w:t>
      </w:r>
      <w:r>
        <w:rPr>
          <w:bCs/>
        </w:rPr>
        <w:t>、PM</w:t>
      </w:r>
      <w:r>
        <w:rPr>
          <w:bCs/>
          <w:vertAlign w:val="subscript"/>
        </w:rPr>
        <w:t>2.5</w:t>
      </w:r>
      <w:r>
        <w:rPr>
          <w:bCs/>
        </w:rPr>
        <w:t>每天至少有20小时的采样时间，CO、TSP每天至少有24小时的采样时间，</w:t>
      </w:r>
      <w:r>
        <w:rPr>
          <w:caps/>
          <w:kern w:val="0"/>
        </w:rPr>
        <w:t>O</w:t>
      </w:r>
      <w:r>
        <w:rPr>
          <w:caps/>
          <w:kern w:val="0"/>
          <w:vertAlign w:val="subscript"/>
        </w:rPr>
        <w:t>3</w:t>
      </w:r>
      <w:r>
        <w:t>每天8小时的采样时间</w:t>
      </w:r>
      <w:r>
        <w:rPr>
          <w:bCs/>
        </w:rPr>
        <w:t>，氟化物挂片（氟沉降）放置时间不得小于25天。</w:t>
      </w:r>
    </w:p>
    <w:p>
      <w:pPr>
        <w:pStyle w:val="7"/>
        <w:ind w:firstLine="480"/>
      </w:pPr>
      <w:r>
        <w:rPr>
          <w:rFonts w:hint="eastAsia"/>
        </w:rPr>
        <w:t>（3）</w:t>
      </w:r>
      <w:r>
        <w:t>监测方法</w:t>
      </w:r>
    </w:p>
    <w:p>
      <w:pPr>
        <w:pStyle w:val="7"/>
        <w:ind w:firstLine="480"/>
      </w:pPr>
      <w:r>
        <w:t>环境空气质量现状监测分析方法按照《环境空气质量标准》（GB3095-2012）及《空气和废气监测分析方法》（第四版）执行。</w:t>
      </w:r>
    </w:p>
    <w:p>
      <w:pPr>
        <w:pStyle w:val="7"/>
        <w:ind w:firstLine="480"/>
      </w:pPr>
      <w:r>
        <w:rPr>
          <w:rFonts w:hint="eastAsia"/>
        </w:rPr>
        <w:t>（4）评价方法</w:t>
      </w:r>
    </w:p>
    <w:p>
      <w:pPr>
        <w:pStyle w:val="7"/>
        <w:ind w:firstLine="480"/>
      </w:pPr>
      <w:r>
        <w:t>本评价采用单因子评价指数法对空气环境质量现状进行评价，确定空气环境的质量水平。单因子评价指数计算公式如下：</w:t>
      </w:r>
    </w:p>
    <w:p>
      <w:pPr>
        <w:pStyle w:val="7"/>
        <w:ind w:firstLine="480"/>
        <w:rPr>
          <w:bCs/>
        </w:rPr>
      </w:pPr>
      <w:r>
        <w:rPr>
          <w:bCs/>
        </w:rPr>
        <w:t>I</w:t>
      </w:r>
      <w:r>
        <w:rPr>
          <w:bCs/>
          <w:vertAlign w:val="subscript"/>
        </w:rPr>
        <w:t>i</w:t>
      </w:r>
      <w:r>
        <w:rPr>
          <w:bCs/>
        </w:rPr>
        <w:t>= C</w:t>
      </w:r>
      <w:r>
        <w:rPr>
          <w:bCs/>
          <w:vertAlign w:val="subscript"/>
        </w:rPr>
        <w:t>i</w:t>
      </w:r>
      <w:r>
        <w:rPr>
          <w:bCs/>
        </w:rPr>
        <w:t xml:space="preserve"> / C</w:t>
      </w:r>
      <w:r>
        <w:rPr>
          <w:bCs/>
          <w:vertAlign w:val="subscript"/>
        </w:rPr>
        <w:t>0i</w:t>
      </w:r>
    </w:p>
    <w:p>
      <w:pPr>
        <w:pStyle w:val="7"/>
        <w:ind w:firstLine="480"/>
        <w:rPr>
          <w:bCs/>
        </w:rPr>
      </w:pPr>
      <w:r>
        <w:rPr>
          <w:bCs/>
        </w:rPr>
        <w:t>式中：I</w:t>
      </w:r>
      <w:r>
        <w:rPr>
          <w:bCs/>
          <w:vertAlign w:val="subscript"/>
        </w:rPr>
        <w:t>i</w:t>
      </w:r>
      <w:r>
        <w:rPr>
          <w:bCs/>
        </w:rPr>
        <w:t>—污染物i的单因子评价指数；</w:t>
      </w:r>
      <w:bookmarkStart w:id="96" w:name="_Hlt535851686"/>
      <w:bookmarkEnd w:id="96"/>
    </w:p>
    <w:p>
      <w:pPr>
        <w:pStyle w:val="7"/>
        <w:ind w:firstLine="480"/>
        <w:rPr>
          <w:bCs/>
        </w:rPr>
      </w:pPr>
      <w:r>
        <w:rPr>
          <w:bCs/>
        </w:rPr>
        <w:t>C</w:t>
      </w:r>
      <w:r>
        <w:rPr>
          <w:bCs/>
          <w:vertAlign w:val="subscript"/>
        </w:rPr>
        <w:t>i</w:t>
      </w:r>
      <w:r>
        <w:rPr>
          <w:bCs/>
        </w:rPr>
        <w:t>—污染物i的实测浓度；</w:t>
      </w:r>
    </w:p>
    <w:p>
      <w:pPr>
        <w:pStyle w:val="7"/>
        <w:ind w:firstLine="480"/>
        <w:rPr>
          <w:bCs/>
        </w:rPr>
      </w:pPr>
      <w:r>
        <w:rPr>
          <w:bCs/>
        </w:rPr>
        <w:t>C</w:t>
      </w:r>
      <w:r>
        <w:rPr>
          <w:bCs/>
          <w:vertAlign w:val="subscript"/>
        </w:rPr>
        <w:t>0i</w:t>
      </w:r>
      <w:r>
        <w:rPr>
          <w:bCs/>
        </w:rPr>
        <w:t>—污染物i的评价标准。</w:t>
      </w:r>
    </w:p>
    <w:p>
      <w:pPr>
        <w:pStyle w:val="7"/>
        <w:numPr>
          <w:ilvl w:val="0"/>
          <w:numId w:val="2"/>
        </w:numPr>
        <w:ind w:firstLine="480"/>
      </w:pPr>
      <w:r>
        <w:t>监测统计结果分析及评价</w:t>
      </w:r>
    </w:p>
    <w:p>
      <w:pPr>
        <w:pStyle w:val="7"/>
        <w:ind w:firstLine="482"/>
        <w:rPr>
          <w:b/>
          <w:bCs/>
          <w:u w:val="single"/>
        </w:rPr>
      </w:pPr>
      <w:r>
        <w:rPr>
          <w:rFonts w:hint="eastAsia"/>
          <w:b/>
          <w:bCs/>
          <w:u w:val="single"/>
        </w:rPr>
        <w:t>①</w:t>
      </w:r>
      <w:r>
        <w:rPr>
          <w:b/>
          <w:bCs/>
          <w:u w:val="single"/>
        </w:rPr>
        <w:t>一类区监测结果</w:t>
      </w:r>
    </w:p>
    <w:p>
      <w:pPr>
        <w:pStyle w:val="31"/>
      </w:pPr>
      <w:r>
        <w:t>表</w:t>
      </w:r>
      <w:r>
        <w:rPr>
          <w:rFonts w:hint="eastAsia"/>
        </w:rPr>
        <w:t>5</w:t>
      </w:r>
      <w:r>
        <w:t>.3-</w:t>
      </w:r>
      <w:r>
        <w:rPr>
          <w:rFonts w:hint="eastAsia"/>
        </w:rPr>
        <w:t>3</w:t>
      </w:r>
      <w:r>
        <w:t xml:space="preserve">  听湖水库（大坝处）各污染物1小时平均浓度监测结果  单位：mg/m</w:t>
      </w:r>
      <w:r>
        <w:rPr>
          <w:vertAlign w:val="superscript"/>
        </w:rPr>
        <w:t>3</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113"/>
        <w:gridCol w:w="1373"/>
        <w:gridCol w:w="1318"/>
        <w:gridCol w:w="1022"/>
        <w:gridCol w:w="1186"/>
        <w:gridCol w:w="1000"/>
        <w:gridCol w:w="1141"/>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10" w:type="pct"/>
            <w:vAlign w:val="center"/>
          </w:tcPr>
          <w:p>
            <w:pPr>
              <w:jc w:val="center"/>
              <w:rPr>
                <w:sz w:val="18"/>
                <w:szCs w:val="18"/>
              </w:rPr>
            </w:pPr>
            <w:r>
              <w:rPr>
                <w:sz w:val="18"/>
                <w:szCs w:val="18"/>
              </w:rPr>
              <w:t>采样</w:t>
            </w:r>
          </w:p>
          <w:p>
            <w:pPr>
              <w:jc w:val="center"/>
              <w:rPr>
                <w:sz w:val="18"/>
                <w:szCs w:val="18"/>
              </w:rPr>
            </w:pPr>
            <w:r>
              <w:rPr>
                <w:sz w:val="18"/>
                <w:szCs w:val="18"/>
              </w:rPr>
              <w:t>点位</w:t>
            </w:r>
          </w:p>
        </w:tc>
        <w:tc>
          <w:tcPr>
            <w:tcW w:w="599" w:type="pct"/>
            <w:vAlign w:val="center"/>
          </w:tcPr>
          <w:p>
            <w:pPr>
              <w:jc w:val="center"/>
              <w:rPr>
                <w:sz w:val="18"/>
                <w:szCs w:val="18"/>
              </w:rPr>
            </w:pPr>
            <w:r>
              <w:rPr>
                <w:sz w:val="18"/>
                <w:szCs w:val="18"/>
              </w:rPr>
              <w:t>采样</w:t>
            </w:r>
          </w:p>
          <w:p>
            <w:pPr>
              <w:jc w:val="center"/>
              <w:rPr>
                <w:sz w:val="18"/>
                <w:szCs w:val="18"/>
              </w:rPr>
            </w:pPr>
            <w:r>
              <w:rPr>
                <w:sz w:val="18"/>
                <w:szCs w:val="18"/>
              </w:rPr>
              <w:t>日期</w:t>
            </w:r>
          </w:p>
        </w:tc>
        <w:tc>
          <w:tcPr>
            <w:tcW w:w="739" w:type="pct"/>
            <w:vAlign w:val="center"/>
          </w:tcPr>
          <w:p>
            <w:pPr>
              <w:jc w:val="center"/>
              <w:rPr>
                <w:sz w:val="18"/>
                <w:szCs w:val="18"/>
              </w:rPr>
            </w:pPr>
            <w:r>
              <w:rPr>
                <w:sz w:val="18"/>
                <w:szCs w:val="18"/>
              </w:rPr>
              <w:t>采样时段</w:t>
            </w:r>
          </w:p>
        </w:tc>
        <w:tc>
          <w:tcPr>
            <w:tcW w:w="709" w:type="pct"/>
            <w:vAlign w:val="center"/>
          </w:tcPr>
          <w:p>
            <w:pPr>
              <w:jc w:val="center"/>
              <w:rPr>
                <w:sz w:val="18"/>
                <w:szCs w:val="18"/>
              </w:rPr>
            </w:pPr>
            <w:r>
              <w:rPr>
                <w:sz w:val="18"/>
                <w:szCs w:val="18"/>
              </w:rPr>
              <w:t>SO</w:t>
            </w:r>
            <w:r>
              <w:rPr>
                <w:sz w:val="18"/>
                <w:szCs w:val="18"/>
                <w:vertAlign w:val="subscript"/>
              </w:rPr>
              <w:t>2</w:t>
            </w:r>
          </w:p>
        </w:tc>
        <w:tc>
          <w:tcPr>
            <w:tcW w:w="550" w:type="pct"/>
            <w:vAlign w:val="center"/>
          </w:tcPr>
          <w:p>
            <w:pPr>
              <w:widowControl/>
              <w:adjustRightInd w:val="0"/>
              <w:snapToGrid w:val="0"/>
              <w:jc w:val="center"/>
              <w:rPr>
                <w:bCs/>
                <w:sz w:val="18"/>
                <w:szCs w:val="18"/>
              </w:rPr>
            </w:pPr>
            <w:r>
              <w:rPr>
                <w:bCs/>
                <w:sz w:val="18"/>
                <w:szCs w:val="18"/>
              </w:rPr>
              <w:t>标准</w:t>
            </w:r>
            <w:r>
              <w:rPr>
                <w:sz w:val="18"/>
                <w:szCs w:val="18"/>
              </w:rPr>
              <w:t>值</w:t>
            </w:r>
          </w:p>
        </w:tc>
        <w:tc>
          <w:tcPr>
            <w:tcW w:w="638" w:type="pct"/>
            <w:vAlign w:val="center"/>
          </w:tcPr>
          <w:p>
            <w:pPr>
              <w:widowControl/>
              <w:adjustRightInd w:val="0"/>
              <w:snapToGrid w:val="0"/>
              <w:jc w:val="center"/>
              <w:rPr>
                <w:bCs/>
                <w:sz w:val="18"/>
                <w:szCs w:val="18"/>
              </w:rPr>
            </w:pPr>
            <w:r>
              <w:rPr>
                <w:bCs/>
                <w:sz w:val="18"/>
                <w:szCs w:val="18"/>
              </w:rPr>
              <w:t xml:space="preserve"> 最大浓度</w:t>
            </w:r>
          </w:p>
          <w:p>
            <w:pPr>
              <w:widowControl/>
              <w:adjustRightInd w:val="0"/>
              <w:snapToGrid w:val="0"/>
              <w:jc w:val="center"/>
              <w:rPr>
                <w:bCs/>
                <w:sz w:val="18"/>
                <w:szCs w:val="18"/>
              </w:rPr>
            </w:pPr>
            <w:r>
              <w:rPr>
                <w:bCs/>
                <w:sz w:val="18"/>
                <w:szCs w:val="18"/>
              </w:rPr>
              <w:t>占标率/%</w:t>
            </w:r>
          </w:p>
        </w:tc>
        <w:tc>
          <w:tcPr>
            <w:tcW w:w="538" w:type="pct"/>
            <w:vAlign w:val="center"/>
          </w:tcPr>
          <w:p>
            <w:pPr>
              <w:widowControl/>
              <w:adjustRightInd w:val="0"/>
              <w:snapToGrid w:val="0"/>
              <w:jc w:val="center"/>
              <w:rPr>
                <w:bCs/>
                <w:sz w:val="18"/>
                <w:szCs w:val="18"/>
              </w:rPr>
            </w:pPr>
            <w:r>
              <w:rPr>
                <w:bCs/>
                <w:sz w:val="18"/>
                <w:szCs w:val="18"/>
              </w:rPr>
              <w:t>超标率/%</w:t>
            </w:r>
          </w:p>
        </w:tc>
        <w:tc>
          <w:tcPr>
            <w:tcW w:w="614" w:type="pct"/>
            <w:vAlign w:val="center"/>
          </w:tcPr>
          <w:p>
            <w:pPr>
              <w:widowControl/>
              <w:adjustRightInd w:val="0"/>
              <w:snapToGrid w:val="0"/>
              <w:jc w:val="left"/>
              <w:rPr>
                <w:bCs/>
                <w:sz w:val="18"/>
                <w:szCs w:val="18"/>
              </w:rPr>
            </w:pPr>
            <w:r>
              <w:rPr>
                <w:bCs/>
                <w:sz w:val="18"/>
                <w:szCs w:val="18"/>
              </w:rPr>
              <w:t>达标情况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restart"/>
            <w:vAlign w:val="center"/>
          </w:tcPr>
          <w:p>
            <w:pPr>
              <w:widowControl/>
              <w:jc w:val="center"/>
              <w:rPr>
                <w:kern w:val="0"/>
                <w:sz w:val="18"/>
                <w:szCs w:val="18"/>
              </w:rPr>
            </w:pPr>
            <w:r>
              <w:rPr>
                <w:caps/>
                <w:kern w:val="0"/>
                <w:sz w:val="18"/>
                <w:szCs w:val="18"/>
              </w:rPr>
              <w:t>听湖水库（大坝处）</w:t>
            </w:r>
          </w:p>
        </w:tc>
        <w:tc>
          <w:tcPr>
            <w:tcW w:w="599" w:type="pct"/>
            <w:vMerge w:val="restart"/>
            <w:vAlign w:val="center"/>
          </w:tcPr>
          <w:p>
            <w:pPr>
              <w:widowControl/>
              <w:rPr>
                <w:kern w:val="0"/>
                <w:sz w:val="18"/>
                <w:szCs w:val="18"/>
              </w:rPr>
            </w:pPr>
            <w:r>
              <w:rPr>
                <w:kern w:val="0"/>
                <w:sz w:val="18"/>
                <w:szCs w:val="18"/>
              </w:rPr>
              <w:t>11月06日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0.002</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6.67</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0.004</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0.010</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0.005</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11月07日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0.006</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8.00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0.012</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0.005</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0.012</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11月08日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0.005</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13.33</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0.006</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0.020</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0.014</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11月09日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0.004</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13.33</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0.012</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0.020</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0.013</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11月10日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0.006</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9.33</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0.007</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0.014</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0.010</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11月11日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0.004</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9.33</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0.007</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0.014</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0.009</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11月12日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0.001</w:t>
            </w:r>
          </w:p>
        </w:tc>
        <w:tc>
          <w:tcPr>
            <w:tcW w:w="550" w:type="pct"/>
            <w:vAlign w:val="center"/>
          </w:tcPr>
          <w:p>
            <w:pPr>
              <w:jc w:val="center"/>
              <w:rPr>
                <w:sz w:val="18"/>
                <w:szCs w:val="18"/>
              </w:rPr>
            </w:pPr>
            <w:r>
              <w:rPr>
                <w:sz w:val="18"/>
                <w:szCs w:val="18"/>
              </w:rPr>
              <w:t>0.15</w:t>
            </w:r>
          </w:p>
        </w:tc>
        <w:tc>
          <w:tcPr>
            <w:tcW w:w="638" w:type="pct"/>
            <w:vMerge w:val="restart"/>
            <w:vAlign w:val="center"/>
          </w:tcPr>
          <w:p>
            <w:pPr>
              <w:jc w:val="center"/>
              <w:rPr>
                <w:sz w:val="18"/>
                <w:szCs w:val="18"/>
              </w:rPr>
            </w:pPr>
            <w:r>
              <w:rPr>
                <w:sz w:val="18"/>
                <w:szCs w:val="18"/>
              </w:rPr>
              <w:t>8.67</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0.008</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0.013</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0.009</w:t>
            </w:r>
          </w:p>
        </w:tc>
        <w:tc>
          <w:tcPr>
            <w:tcW w:w="550" w:type="pct"/>
            <w:vAlign w:val="center"/>
          </w:tcPr>
          <w:p>
            <w:pPr>
              <w:jc w:val="center"/>
              <w:rPr>
                <w:sz w:val="18"/>
                <w:szCs w:val="18"/>
              </w:rPr>
            </w:pPr>
            <w:r>
              <w:rPr>
                <w:sz w:val="18"/>
                <w:szCs w:val="18"/>
              </w:rPr>
              <w:t>0.15</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10" w:type="pct"/>
            <w:vAlign w:val="center"/>
          </w:tcPr>
          <w:p>
            <w:pPr>
              <w:jc w:val="center"/>
              <w:rPr>
                <w:sz w:val="18"/>
                <w:szCs w:val="18"/>
              </w:rPr>
            </w:pPr>
            <w:r>
              <w:rPr>
                <w:sz w:val="18"/>
                <w:szCs w:val="18"/>
              </w:rPr>
              <w:t>采样点位</w:t>
            </w:r>
          </w:p>
        </w:tc>
        <w:tc>
          <w:tcPr>
            <w:tcW w:w="599" w:type="pct"/>
            <w:vAlign w:val="center"/>
          </w:tcPr>
          <w:p>
            <w:pPr>
              <w:jc w:val="center"/>
              <w:rPr>
                <w:sz w:val="18"/>
                <w:szCs w:val="18"/>
              </w:rPr>
            </w:pPr>
            <w:r>
              <w:rPr>
                <w:sz w:val="18"/>
                <w:szCs w:val="18"/>
              </w:rPr>
              <w:t>采样日期</w:t>
            </w:r>
          </w:p>
        </w:tc>
        <w:tc>
          <w:tcPr>
            <w:tcW w:w="739" w:type="pct"/>
            <w:vAlign w:val="center"/>
          </w:tcPr>
          <w:p>
            <w:pPr>
              <w:jc w:val="center"/>
              <w:rPr>
                <w:sz w:val="18"/>
                <w:szCs w:val="18"/>
              </w:rPr>
            </w:pPr>
            <w:r>
              <w:rPr>
                <w:sz w:val="18"/>
                <w:szCs w:val="18"/>
              </w:rPr>
              <w:t>采样时段</w:t>
            </w:r>
          </w:p>
        </w:tc>
        <w:tc>
          <w:tcPr>
            <w:tcW w:w="709" w:type="pct"/>
            <w:vAlign w:val="center"/>
          </w:tcPr>
          <w:p>
            <w:pPr>
              <w:jc w:val="center"/>
              <w:rPr>
                <w:sz w:val="18"/>
                <w:szCs w:val="18"/>
              </w:rPr>
            </w:pPr>
            <w:r>
              <w:rPr>
                <w:sz w:val="18"/>
                <w:szCs w:val="18"/>
              </w:rPr>
              <w:t>NO</w:t>
            </w:r>
            <w:r>
              <w:rPr>
                <w:sz w:val="18"/>
                <w:szCs w:val="18"/>
                <w:vertAlign w:val="subscript"/>
              </w:rPr>
              <w:t>2</w:t>
            </w:r>
          </w:p>
        </w:tc>
        <w:tc>
          <w:tcPr>
            <w:tcW w:w="550" w:type="pct"/>
            <w:vAlign w:val="center"/>
          </w:tcPr>
          <w:p>
            <w:pPr>
              <w:widowControl/>
              <w:adjustRightInd w:val="0"/>
              <w:snapToGrid w:val="0"/>
              <w:jc w:val="center"/>
              <w:rPr>
                <w:bCs/>
                <w:sz w:val="18"/>
                <w:szCs w:val="18"/>
              </w:rPr>
            </w:pPr>
            <w:r>
              <w:rPr>
                <w:bCs/>
                <w:sz w:val="18"/>
                <w:szCs w:val="18"/>
              </w:rPr>
              <w:t>标准</w:t>
            </w:r>
            <w:r>
              <w:rPr>
                <w:sz w:val="18"/>
                <w:szCs w:val="18"/>
              </w:rPr>
              <w:t>值</w:t>
            </w:r>
          </w:p>
        </w:tc>
        <w:tc>
          <w:tcPr>
            <w:tcW w:w="638" w:type="pct"/>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538" w:type="pct"/>
            <w:vAlign w:val="center"/>
          </w:tcPr>
          <w:p>
            <w:pPr>
              <w:widowControl/>
              <w:adjustRightInd w:val="0"/>
              <w:snapToGrid w:val="0"/>
              <w:jc w:val="center"/>
              <w:rPr>
                <w:bCs/>
                <w:sz w:val="18"/>
                <w:szCs w:val="18"/>
              </w:rPr>
            </w:pPr>
            <w:r>
              <w:rPr>
                <w:bCs/>
                <w:sz w:val="18"/>
                <w:szCs w:val="18"/>
              </w:rPr>
              <w:t>超标率/%</w:t>
            </w:r>
          </w:p>
        </w:tc>
        <w:tc>
          <w:tcPr>
            <w:tcW w:w="614" w:type="pct"/>
            <w:vAlign w:val="center"/>
          </w:tcPr>
          <w:p>
            <w:pPr>
              <w:widowControl/>
              <w:adjustRightInd w:val="0"/>
              <w:snapToGrid w:val="0"/>
              <w:jc w:val="center"/>
              <w:rPr>
                <w:bCs/>
                <w:sz w:val="18"/>
                <w:szCs w:val="18"/>
              </w:rPr>
            </w:pPr>
            <w:r>
              <w:rPr>
                <w:bCs/>
                <w:sz w:val="18"/>
                <w:szCs w:val="18"/>
              </w:rPr>
              <w:t>达标</w:t>
            </w:r>
          </w:p>
          <w:p>
            <w:pPr>
              <w:widowControl/>
              <w:adjustRightInd w:val="0"/>
              <w:snapToGrid w:val="0"/>
              <w:jc w:val="center"/>
              <w:rPr>
                <w:bCs/>
                <w:sz w:val="18"/>
                <w:szCs w:val="18"/>
              </w:rPr>
            </w:pPr>
            <w:r>
              <w:rPr>
                <w:bCs/>
                <w:sz w:val="18"/>
                <w:szCs w:val="18"/>
              </w:rPr>
              <w:t>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restart"/>
            <w:vAlign w:val="center"/>
          </w:tcPr>
          <w:p>
            <w:pPr>
              <w:widowControl/>
              <w:jc w:val="center"/>
              <w:rPr>
                <w:caps/>
                <w:kern w:val="0"/>
                <w:sz w:val="18"/>
                <w:szCs w:val="18"/>
              </w:rPr>
            </w:pPr>
          </w:p>
          <w:p>
            <w:pPr>
              <w:widowControl/>
              <w:jc w:val="center"/>
              <w:rPr>
                <w:kern w:val="0"/>
                <w:sz w:val="18"/>
                <w:szCs w:val="18"/>
              </w:rPr>
            </w:pPr>
            <w:r>
              <w:rPr>
                <w:caps/>
                <w:kern w:val="0"/>
                <w:sz w:val="18"/>
                <w:szCs w:val="18"/>
              </w:rPr>
              <w:t>听湖水库（大坝处）</w:t>
            </w:r>
          </w:p>
        </w:tc>
        <w:tc>
          <w:tcPr>
            <w:tcW w:w="599" w:type="pct"/>
            <w:vMerge w:val="restart"/>
            <w:vAlign w:val="center"/>
          </w:tcPr>
          <w:p>
            <w:pPr>
              <w:widowControl/>
              <w:jc w:val="center"/>
              <w:rPr>
                <w:kern w:val="0"/>
                <w:sz w:val="18"/>
                <w:szCs w:val="18"/>
              </w:rPr>
            </w:pPr>
            <w:r>
              <w:rPr>
                <w:kern w:val="0"/>
                <w:sz w:val="18"/>
                <w:szCs w:val="18"/>
              </w:rPr>
              <w:t>11月06日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0.020</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15.50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0.031</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0.025</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0.027</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11月07日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0.018</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18.50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0.024</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0.037</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0.023</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11月08日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0.017</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15.00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0.030</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0.024</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0.027</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11月09日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0.019</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21.50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0.029</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0.043</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0.033</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11月10日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0.023</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21.00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0.031</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0.042</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0.031</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11月11日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0.016</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18.00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0.026</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0.036</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0.029</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11月12日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0.015</w:t>
            </w:r>
          </w:p>
        </w:tc>
        <w:tc>
          <w:tcPr>
            <w:tcW w:w="550" w:type="pct"/>
            <w:vAlign w:val="center"/>
          </w:tcPr>
          <w:p>
            <w:pPr>
              <w:jc w:val="center"/>
              <w:rPr>
                <w:sz w:val="18"/>
                <w:szCs w:val="18"/>
              </w:rPr>
            </w:pPr>
            <w:r>
              <w:rPr>
                <w:sz w:val="18"/>
                <w:szCs w:val="18"/>
              </w:rPr>
              <w:t>0.20</w:t>
            </w:r>
          </w:p>
        </w:tc>
        <w:tc>
          <w:tcPr>
            <w:tcW w:w="638" w:type="pct"/>
            <w:vMerge w:val="restart"/>
            <w:vAlign w:val="center"/>
          </w:tcPr>
          <w:p>
            <w:pPr>
              <w:jc w:val="center"/>
              <w:rPr>
                <w:sz w:val="18"/>
                <w:szCs w:val="18"/>
              </w:rPr>
            </w:pPr>
            <w:r>
              <w:rPr>
                <w:sz w:val="18"/>
                <w:szCs w:val="18"/>
              </w:rPr>
              <w:t>16.50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0.020</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0.033</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0.025</w:t>
            </w:r>
          </w:p>
        </w:tc>
        <w:tc>
          <w:tcPr>
            <w:tcW w:w="550" w:type="pct"/>
            <w:vAlign w:val="center"/>
          </w:tcPr>
          <w:p>
            <w:pPr>
              <w:jc w:val="center"/>
              <w:rPr>
                <w:sz w:val="18"/>
                <w:szCs w:val="18"/>
              </w:rPr>
            </w:pPr>
            <w:r>
              <w:rPr>
                <w:sz w:val="18"/>
                <w:szCs w:val="18"/>
              </w:rPr>
              <w:t>0.20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10" w:type="pct"/>
            <w:vAlign w:val="center"/>
          </w:tcPr>
          <w:p>
            <w:pPr>
              <w:jc w:val="center"/>
              <w:rPr>
                <w:sz w:val="18"/>
                <w:szCs w:val="18"/>
              </w:rPr>
            </w:pPr>
            <w:r>
              <w:rPr>
                <w:sz w:val="18"/>
                <w:szCs w:val="18"/>
              </w:rPr>
              <w:t>采样点位</w:t>
            </w:r>
          </w:p>
        </w:tc>
        <w:tc>
          <w:tcPr>
            <w:tcW w:w="599" w:type="pct"/>
            <w:vAlign w:val="center"/>
          </w:tcPr>
          <w:p>
            <w:pPr>
              <w:jc w:val="center"/>
              <w:rPr>
                <w:sz w:val="18"/>
                <w:szCs w:val="18"/>
              </w:rPr>
            </w:pPr>
            <w:r>
              <w:rPr>
                <w:sz w:val="18"/>
                <w:szCs w:val="18"/>
              </w:rPr>
              <w:t>采样日期</w:t>
            </w:r>
          </w:p>
        </w:tc>
        <w:tc>
          <w:tcPr>
            <w:tcW w:w="739" w:type="pct"/>
            <w:vAlign w:val="center"/>
          </w:tcPr>
          <w:p>
            <w:pPr>
              <w:jc w:val="center"/>
              <w:rPr>
                <w:sz w:val="18"/>
                <w:szCs w:val="18"/>
              </w:rPr>
            </w:pPr>
            <w:r>
              <w:rPr>
                <w:sz w:val="18"/>
                <w:szCs w:val="18"/>
              </w:rPr>
              <w:t>采样时段</w:t>
            </w:r>
          </w:p>
        </w:tc>
        <w:tc>
          <w:tcPr>
            <w:tcW w:w="709" w:type="pct"/>
            <w:vAlign w:val="center"/>
          </w:tcPr>
          <w:p>
            <w:pPr>
              <w:jc w:val="center"/>
              <w:rPr>
                <w:sz w:val="18"/>
                <w:szCs w:val="18"/>
              </w:rPr>
            </w:pPr>
            <w:r>
              <w:rPr>
                <w:sz w:val="18"/>
                <w:szCs w:val="18"/>
              </w:rPr>
              <w:t>CO</w:t>
            </w:r>
          </w:p>
        </w:tc>
        <w:tc>
          <w:tcPr>
            <w:tcW w:w="550" w:type="pct"/>
            <w:vAlign w:val="center"/>
          </w:tcPr>
          <w:p>
            <w:pPr>
              <w:widowControl/>
              <w:adjustRightInd w:val="0"/>
              <w:snapToGrid w:val="0"/>
              <w:jc w:val="center"/>
              <w:rPr>
                <w:bCs/>
                <w:sz w:val="18"/>
                <w:szCs w:val="18"/>
              </w:rPr>
            </w:pPr>
            <w:r>
              <w:rPr>
                <w:bCs/>
                <w:sz w:val="18"/>
                <w:szCs w:val="18"/>
              </w:rPr>
              <w:t>标准</w:t>
            </w:r>
            <w:r>
              <w:rPr>
                <w:sz w:val="18"/>
                <w:szCs w:val="18"/>
              </w:rPr>
              <w:t>值</w:t>
            </w:r>
          </w:p>
        </w:tc>
        <w:tc>
          <w:tcPr>
            <w:tcW w:w="638" w:type="pct"/>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538" w:type="pct"/>
            <w:vAlign w:val="center"/>
          </w:tcPr>
          <w:p>
            <w:pPr>
              <w:widowControl/>
              <w:adjustRightInd w:val="0"/>
              <w:snapToGrid w:val="0"/>
              <w:jc w:val="center"/>
              <w:rPr>
                <w:bCs/>
                <w:sz w:val="18"/>
                <w:szCs w:val="18"/>
              </w:rPr>
            </w:pPr>
            <w:r>
              <w:rPr>
                <w:bCs/>
                <w:sz w:val="18"/>
                <w:szCs w:val="18"/>
              </w:rPr>
              <w:t>超标率/%</w:t>
            </w:r>
          </w:p>
        </w:tc>
        <w:tc>
          <w:tcPr>
            <w:tcW w:w="614" w:type="pct"/>
            <w:vAlign w:val="center"/>
          </w:tcPr>
          <w:p>
            <w:pPr>
              <w:widowControl/>
              <w:adjustRightInd w:val="0"/>
              <w:snapToGrid w:val="0"/>
              <w:jc w:val="left"/>
              <w:rPr>
                <w:bCs/>
                <w:sz w:val="18"/>
                <w:szCs w:val="18"/>
              </w:rPr>
            </w:pPr>
            <w:r>
              <w:rPr>
                <w:bCs/>
                <w:sz w:val="18"/>
                <w:szCs w:val="18"/>
              </w:rPr>
              <w:t>达标情况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restart"/>
            <w:vAlign w:val="center"/>
          </w:tcPr>
          <w:p>
            <w:pPr>
              <w:widowControl/>
              <w:jc w:val="center"/>
              <w:rPr>
                <w:kern w:val="0"/>
                <w:sz w:val="18"/>
                <w:szCs w:val="18"/>
              </w:rPr>
            </w:pPr>
            <w:r>
              <w:rPr>
                <w:caps/>
                <w:kern w:val="0"/>
                <w:sz w:val="18"/>
                <w:szCs w:val="18"/>
              </w:rPr>
              <w:t>听湖水库（大坝处）</w:t>
            </w:r>
          </w:p>
        </w:tc>
        <w:tc>
          <w:tcPr>
            <w:tcW w:w="599" w:type="pct"/>
            <w:vMerge w:val="restart"/>
            <w:vAlign w:val="center"/>
          </w:tcPr>
          <w:p>
            <w:pPr>
              <w:widowControl/>
              <w:jc w:val="center"/>
              <w:rPr>
                <w:kern w:val="0"/>
                <w:sz w:val="18"/>
                <w:szCs w:val="18"/>
              </w:rPr>
            </w:pPr>
            <w:r>
              <w:rPr>
                <w:kern w:val="0"/>
                <w:sz w:val="18"/>
                <w:szCs w:val="18"/>
              </w:rPr>
              <w:t>11月06日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0.48</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7.60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0.58</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0.76</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0.60</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11月07日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0.53</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7.00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0.56</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0.68</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0.70</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11月08日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0.49</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10.10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0.74</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1.01</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0.84</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11月09日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0.49</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8.40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0.55</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0.84</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0.73</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11月10日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0.54</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10.00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0.81</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1.00</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0.88</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11月11日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0.44</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7.40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0.60</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0.74</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0.61</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11月12日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0.58</w:t>
            </w:r>
          </w:p>
        </w:tc>
        <w:tc>
          <w:tcPr>
            <w:tcW w:w="550" w:type="pct"/>
            <w:vAlign w:val="center"/>
          </w:tcPr>
          <w:p>
            <w:pPr>
              <w:jc w:val="center"/>
              <w:rPr>
                <w:sz w:val="18"/>
                <w:szCs w:val="18"/>
              </w:rPr>
            </w:pPr>
            <w:r>
              <w:rPr>
                <w:sz w:val="18"/>
                <w:szCs w:val="18"/>
              </w:rPr>
              <w:t>10</w:t>
            </w:r>
          </w:p>
        </w:tc>
        <w:tc>
          <w:tcPr>
            <w:tcW w:w="638" w:type="pct"/>
            <w:vMerge w:val="restart"/>
            <w:vAlign w:val="center"/>
          </w:tcPr>
          <w:p>
            <w:pPr>
              <w:jc w:val="center"/>
              <w:rPr>
                <w:sz w:val="18"/>
                <w:szCs w:val="18"/>
              </w:rPr>
            </w:pPr>
            <w:r>
              <w:rPr>
                <w:sz w:val="18"/>
                <w:szCs w:val="18"/>
              </w:rPr>
              <w:t>10.40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0.94</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1.04</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0.79</w:t>
            </w:r>
          </w:p>
        </w:tc>
        <w:tc>
          <w:tcPr>
            <w:tcW w:w="550" w:type="pct"/>
            <w:vAlign w:val="center"/>
          </w:tcPr>
          <w:p>
            <w:pPr>
              <w:jc w:val="center"/>
              <w:rPr>
                <w:sz w:val="18"/>
                <w:szCs w:val="18"/>
              </w:rPr>
            </w:pPr>
            <w:r>
              <w:rPr>
                <w:sz w:val="18"/>
                <w:szCs w:val="18"/>
              </w:rPr>
              <w:t>10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10" w:type="pct"/>
            <w:vAlign w:val="center"/>
          </w:tcPr>
          <w:p>
            <w:pPr>
              <w:jc w:val="center"/>
              <w:rPr>
                <w:sz w:val="18"/>
                <w:szCs w:val="18"/>
              </w:rPr>
            </w:pPr>
            <w:r>
              <w:rPr>
                <w:sz w:val="18"/>
                <w:szCs w:val="18"/>
              </w:rPr>
              <w:t>采样点位</w:t>
            </w:r>
          </w:p>
        </w:tc>
        <w:tc>
          <w:tcPr>
            <w:tcW w:w="599" w:type="pct"/>
            <w:vAlign w:val="center"/>
          </w:tcPr>
          <w:p>
            <w:pPr>
              <w:jc w:val="center"/>
              <w:rPr>
                <w:sz w:val="18"/>
                <w:szCs w:val="18"/>
              </w:rPr>
            </w:pPr>
            <w:r>
              <w:rPr>
                <w:sz w:val="18"/>
                <w:szCs w:val="18"/>
              </w:rPr>
              <w:t>采样日期</w:t>
            </w:r>
          </w:p>
        </w:tc>
        <w:tc>
          <w:tcPr>
            <w:tcW w:w="739" w:type="pct"/>
            <w:vAlign w:val="center"/>
          </w:tcPr>
          <w:p>
            <w:pPr>
              <w:jc w:val="center"/>
              <w:rPr>
                <w:sz w:val="18"/>
                <w:szCs w:val="18"/>
              </w:rPr>
            </w:pPr>
            <w:r>
              <w:rPr>
                <w:sz w:val="18"/>
                <w:szCs w:val="18"/>
              </w:rPr>
              <w:t>采样时段</w:t>
            </w:r>
          </w:p>
        </w:tc>
        <w:tc>
          <w:tcPr>
            <w:tcW w:w="709" w:type="pct"/>
            <w:vAlign w:val="center"/>
          </w:tcPr>
          <w:p>
            <w:pPr>
              <w:jc w:val="center"/>
              <w:rPr>
                <w:sz w:val="18"/>
                <w:szCs w:val="18"/>
              </w:rPr>
            </w:pPr>
            <w:r>
              <w:rPr>
                <w:sz w:val="18"/>
                <w:szCs w:val="18"/>
              </w:rPr>
              <w:t>氟化物（</w:t>
            </w:r>
            <w:r>
              <w:rPr>
                <w:bCs/>
                <w:sz w:val="18"/>
                <w:szCs w:val="18"/>
              </w:rPr>
              <w:t>µg/m</w:t>
            </w:r>
            <w:r>
              <w:rPr>
                <w:bCs/>
                <w:sz w:val="18"/>
                <w:szCs w:val="18"/>
                <w:vertAlign w:val="superscript"/>
              </w:rPr>
              <w:t>3</w:t>
            </w:r>
            <w:r>
              <w:rPr>
                <w:sz w:val="18"/>
                <w:szCs w:val="18"/>
              </w:rPr>
              <w:t>）</w:t>
            </w:r>
          </w:p>
        </w:tc>
        <w:tc>
          <w:tcPr>
            <w:tcW w:w="550" w:type="pct"/>
            <w:vAlign w:val="center"/>
          </w:tcPr>
          <w:p>
            <w:pPr>
              <w:widowControl/>
              <w:adjustRightInd w:val="0"/>
              <w:snapToGrid w:val="0"/>
              <w:jc w:val="center"/>
              <w:rPr>
                <w:bCs/>
                <w:sz w:val="18"/>
                <w:szCs w:val="18"/>
              </w:rPr>
            </w:pPr>
            <w:r>
              <w:rPr>
                <w:bCs/>
                <w:sz w:val="18"/>
                <w:szCs w:val="18"/>
              </w:rPr>
              <w:t>标准</w:t>
            </w:r>
            <w:r>
              <w:rPr>
                <w:sz w:val="18"/>
                <w:szCs w:val="18"/>
              </w:rPr>
              <w:t>值</w:t>
            </w:r>
          </w:p>
        </w:tc>
        <w:tc>
          <w:tcPr>
            <w:tcW w:w="638" w:type="pct"/>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538" w:type="pct"/>
            <w:vAlign w:val="center"/>
          </w:tcPr>
          <w:p>
            <w:pPr>
              <w:widowControl/>
              <w:adjustRightInd w:val="0"/>
              <w:snapToGrid w:val="0"/>
              <w:jc w:val="center"/>
              <w:rPr>
                <w:bCs/>
                <w:sz w:val="18"/>
                <w:szCs w:val="18"/>
              </w:rPr>
            </w:pPr>
            <w:r>
              <w:rPr>
                <w:bCs/>
                <w:sz w:val="18"/>
                <w:szCs w:val="18"/>
              </w:rPr>
              <w:t>超标率/%</w:t>
            </w:r>
          </w:p>
        </w:tc>
        <w:tc>
          <w:tcPr>
            <w:tcW w:w="614" w:type="pct"/>
            <w:vAlign w:val="center"/>
          </w:tcPr>
          <w:p>
            <w:pPr>
              <w:widowControl/>
              <w:adjustRightInd w:val="0"/>
              <w:snapToGrid w:val="0"/>
              <w:jc w:val="left"/>
              <w:rPr>
                <w:bCs/>
                <w:sz w:val="18"/>
                <w:szCs w:val="18"/>
              </w:rPr>
            </w:pPr>
            <w:r>
              <w:rPr>
                <w:bCs/>
                <w:sz w:val="18"/>
                <w:szCs w:val="18"/>
              </w:rPr>
              <w:t>达标</w:t>
            </w:r>
          </w:p>
          <w:p>
            <w:pPr>
              <w:widowControl/>
              <w:adjustRightInd w:val="0"/>
              <w:snapToGrid w:val="0"/>
              <w:jc w:val="left"/>
              <w:rPr>
                <w:bCs/>
                <w:sz w:val="18"/>
                <w:szCs w:val="18"/>
              </w:rPr>
            </w:pPr>
            <w:r>
              <w:rPr>
                <w:bCs/>
                <w:sz w:val="18"/>
                <w:szCs w:val="18"/>
              </w:rPr>
              <w:t>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restart"/>
            <w:vAlign w:val="center"/>
          </w:tcPr>
          <w:p>
            <w:pPr>
              <w:widowControl/>
              <w:jc w:val="center"/>
              <w:rPr>
                <w:kern w:val="0"/>
                <w:sz w:val="18"/>
                <w:szCs w:val="18"/>
              </w:rPr>
            </w:pPr>
            <w:r>
              <w:rPr>
                <w:caps/>
                <w:kern w:val="0"/>
                <w:sz w:val="18"/>
                <w:szCs w:val="18"/>
              </w:rPr>
              <w:t>听湖水库（大坝处）</w:t>
            </w:r>
          </w:p>
        </w:tc>
        <w:tc>
          <w:tcPr>
            <w:tcW w:w="599" w:type="pct"/>
            <w:vMerge w:val="restart"/>
            <w:vAlign w:val="center"/>
          </w:tcPr>
          <w:p>
            <w:pPr>
              <w:widowControl/>
              <w:jc w:val="center"/>
              <w:rPr>
                <w:kern w:val="0"/>
                <w:sz w:val="18"/>
                <w:szCs w:val="18"/>
              </w:rPr>
            </w:pPr>
            <w:r>
              <w:rPr>
                <w:kern w:val="0"/>
                <w:sz w:val="18"/>
                <w:szCs w:val="18"/>
              </w:rPr>
              <w:t>11月06日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restart"/>
            <w:vAlign w:val="center"/>
          </w:tcPr>
          <w:p>
            <w:pPr>
              <w:jc w:val="center"/>
              <w:rPr>
                <w:sz w:val="18"/>
                <w:szCs w:val="18"/>
              </w:rPr>
            </w:pPr>
            <w:r>
              <w:rPr>
                <w:sz w:val="18"/>
                <w:szCs w:val="18"/>
              </w:rPr>
              <w:t>3.00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 xml:space="preserve">0.6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0.5L</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11月07日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0.5L</w:t>
            </w:r>
          </w:p>
        </w:tc>
        <w:tc>
          <w:tcPr>
            <w:tcW w:w="550" w:type="pct"/>
            <w:vAlign w:val="center"/>
          </w:tcPr>
          <w:p>
            <w:pPr>
              <w:jc w:val="center"/>
              <w:rPr>
                <w:sz w:val="18"/>
                <w:szCs w:val="18"/>
              </w:rPr>
            </w:pPr>
            <w:r>
              <w:rPr>
                <w:sz w:val="18"/>
                <w:szCs w:val="18"/>
              </w:rPr>
              <w:t>20</w:t>
            </w:r>
          </w:p>
        </w:tc>
        <w:tc>
          <w:tcPr>
            <w:tcW w:w="638" w:type="pct"/>
            <w:vMerge w:val="restart"/>
            <w:vAlign w:val="center"/>
          </w:tcPr>
          <w:p>
            <w:pPr>
              <w:jc w:val="center"/>
              <w:rPr>
                <w:sz w:val="18"/>
                <w:szCs w:val="18"/>
              </w:rPr>
            </w:pPr>
            <w:r>
              <w:rPr>
                <w:sz w:val="18"/>
                <w:szCs w:val="18"/>
              </w:rPr>
              <w:t>2.50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0.5L</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0.5L</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11月08日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 xml:space="preserve">0.8 </w:t>
            </w:r>
          </w:p>
        </w:tc>
        <w:tc>
          <w:tcPr>
            <w:tcW w:w="550" w:type="pct"/>
            <w:vAlign w:val="center"/>
          </w:tcPr>
          <w:p>
            <w:pPr>
              <w:jc w:val="center"/>
              <w:rPr>
                <w:sz w:val="18"/>
                <w:szCs w:val="18"/>
              </w:rPr>
            </w:pPr>
            <w:r>
              <w:rPr>
                <w:sz w:val="18"/>
                <w:szCs w:val="18"/>
              </w:rPr>
              <w:t>20</w:t>
            </w:r>
          </w:p>
        </w:tc>
        <w:tc>
          <w:tcPr>
            <w:tcW w:w="638" w:type="pct"/>
            <w:vMerge w:val="restart"/>
            <w:vAlign w:val="center"/>
          </w:tcPr>
          <w:p>
            <w:pPr>
              <w:jc w:val="center"/>
              <w:rPr>
                <w:sz w:val="18"/>
                <w:szCs w:val="18"/>
              </w:rPr>
            </w:pPr>
            <w:r>
              <w:rPr>
                <w:sz w:val="18"/>
                <w:szCs w:val="18"/>
              </w:rPr>
              <w:t>4.50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 xml:space="preserve">0.6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 xml:space="preserve">0.9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11月09日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0.5L</w:t>
            </w:r>
          </w:p>
        </w:tc>
        <w:tc>
          <w:tcPr>
            <w:tcW w:w="550" w:type="pct"/>
            <w:vAlign w:val="center"/>
          </w:tcPr>
          <w:p>
            <w:pPr>
              <w:jc w:val="center"/>
              <w:rPr>
                <w:sz w:val="18"/>
                <w:szCs w:val="18"/>
              </w:rPr>
            </w:pPr>
            <w:r>
              <w:rPr>
                <w:sz w:val="18"/>
                <w:szCs w:val="18"/>
              </w:rPr>
              <w:t>20</w:t>
            </w:r>
          </w:p>
        </w:tc>
        <w:tc>
          <w:tcPr>
            <w:tcW w:w="638" w:type="pct"/>
            <w:vMerge w:val="restart"/>
          </w:tcPr>
          <w:p>
            <w:pPr>
              <w:jc w:val="center"/>
              <w:rPr>
                <w:sz w:val="18"/>
                <w:szCs w:val="18"/>
              </w:rPr>
            </w:pPr>
          </w:p>
          <w:p>
            <w:pPr>
              <w:jc w:val="center"/>
              <w:rPr>
                <w:sz w:val="18"/>
                <w:szCs w:val="18"/>
              </w:rPr>
            </w:pPr>
            <w:r>
              <w:rPr>
                <w:sz w:val="18"/>
                <w:szCs w:val="18"/>
              </w:rPr>
              <w:t>3.50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0.5L</w:t>
            </w:r>
          </w:p>
        </w:tc>
        <w:tc>
          <w:tcPr>
            <w:tcW w:w="550" w:type="pct"/>
            <w:vAlign w:val="center"/>
          </w:tcPr>
          <w:p>
            <w:pPr>
              <w:jc w:val="center"/>
              <w:rPr>
                <w:sz w:val="18"/>
                <w:szCs w:val="18"/>
              </w:rPr>
            </w:pPr>
            <w:r>
              <w:rPr>
                <w:sz w:val="18"/>
                <w:szCs w:val="18"/>
              </w:rPr>
              <w:t>20</w:t>
            </w:r>
          </w:p>
        </w:tc>
        <w:tc>
          <w:tcPr>
            <w:tcW w:w="638" w:type="pct"/>
            <w:vMerge w:val="continue"/>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 xml:space="preserve">0.7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11月10日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 xml:space="preserve">0.9 </w:t>
            </w:r>
          </w:p>
        </w:tc>
        <w:tc>
          <w:tcPr>
            <w:tcW w:w="550" w:type="pct"/>
            <w:vAlign w:val="center"/>
          </w:tcPr>
          <w:p>
            <w:pPr>
              <w:jc w:val="center"/>
              <w:rPr>
                <w:sz w:val="18"/>
                <w:szCs w:val="18"/>
              </w:rPr>
            </w:pPr>
            <w:r>
              <w:rPr>
                <w:sz w:val="18"/>
                <w:szCs w:val="18"/>
              </w:rPr>
              <w:t>20</w:t>
            </w:r>
          </w:p>
        </w:tc>
        <w:tc>
          <w:tcPr>
            <w:tcW w:w="638" w:type="pct"/>
            <w:vMerge w:val="restart"/>
            <w:vAlign w:val="center"/>
          </w:tcPr>
          <w:p>
            <w:pPr>
              <w:jc w:val="center"/>
              <w:rPr>
                <w:sz w:val="18"/>
                <w:szCs w:val="18"/>
              </w:rPr>
            </w:pPr>
            <w:r>
              <w:rPr>
                <w:sz w:val="18"/>
                <w:szCs w:val="18"/>
              </w:rPr>
              <w:t>4.50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 xml:space="preserve">0.7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0.6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11月11日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 xml:space="preserve">0.8 </w:t>
            </w:r>
          </w:p>
        </w:tc>
        <w:tc>
          <w:tcPr>
            <w:tcW w:w="550" w:type="pct"/>
            <w:vAlign w:val="center"/>
          </w:tcPr>
          <w:p>
            <w:pPr>
              <w:jc w:val="center"/>
              <w:rPr>
                <w:sz w:val="18"/>
                <w:szCs w:val="18"/>
              </w:rPr>
            </w:pPr>
            <w:r>
              <w:rPr>
                <w:sz w:val="18"/>
                <w:szCs w:val="18"/>
              </w:rPr>
              <w:t>20</w:t>
            </w:r>
          </w:p>
        </w:tc>
        <w:tc>
          <w:tcPr>
            <w:tcW w:w="638" w:type="pct"/>
            <w:vMerge w:val="restart"/>
            <w:vAlign w:val="center"/>
          </w:tcPr>
          <w:p>
            <w:pPr>
              <w:jc w:val="center"/>
              <w:rPr>
                <w:sz w:val="18"/>
                <w:szCs w:val="18"/>
              </w:rPr>
            </w:pPr>
            <w:r>
              <w:rPr>
                <w:sz w:val="18"/>
                <w:szCs w:val="18"/>
              </w:rPr>
              <w:t>4.00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 xml:space="preserve">0.6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0.6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 xml:space="preserve">0.5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11月12日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 xml:space="preserve">0.8 </w:t>
            </w:r>
          </w:p>
        </w:tc>
        <w:tc>
          <w:tcPr>
            <w:tcW w:w="550" w:type="pct"/>
            <w:vAlign w:val="center"/>
          </w:tcPr>
          <w:p>
            <w:pPr>
              <w:jc w:val="center"/>
              <w:rPr>
                <w:sz w:val="18"/>
                <w:szCs w:val="18"/>
              </w:rPr>
            </w:pPr>
            <w:r>
              <w:rPr>
                <w:sz w:val="18"/>
                <w:szCs w:val="18"/>
              </w:rPr>
              <w:t>20</w:t>
            </w:r>
          </w:p>
        </w:tc>
        <w:tc>
          <w:tcPr>
            <w:tcW w:w="638" w:type="pct"/>
            <w:vMerge w:val="restart"/>
            <w:vAlign w:val="center"/>
          </w:tcPr>
          <w:p>
            <w:pPr>
              <w:jc w:val="center"/>
              <w:rPr>
                <w:sz w:val="18"/>
                <w:szCs w:val="18"/>
              </w:rPr>
            </w:pPr>
            <w:r>
              <w:rPr>
                <w:sz w:val="18"/>
                <w:szCs w:val="18"/>
              </w:rPr>
              <w:t>4.00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 xml:space="preserve">0.8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 xml:space="preserve">0.7 </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0.6</w:t>
            </w:r>
          </w:p>
        </w:tc>
        <w:tc>
          <w:tcPr>
            <w:tcW w:w="550" w:type="pct"/>
            <w:vAlign w:val="center"/>
          </w:tcPr>
          <w:p>
            <w:pPr>
              <w:jc w:val="center"/>
              <w:rPr>
                <w:sz w:val="18"/>
                <w:szCs w:val="18"/>
              </w:rPr>
            </w:pPr>
            <w:r>
              <w:rPr>
                <w:sz w:val="18"/>
                <w:szCs w:val="18"/>
              </w:rPr>
              <w:t>20</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10" w:type="pct"/>
            <w:vAlign w:val="center"/>
          </w:tcPr>
          <w:p>
            <w:pPr>
              <w:jc w:val="center"/>
              <w:rPr>
                <w:sz w:val="18"/>
                <w:szCs w:val="18"/>
              </w:rPr>
            </w:pPr>
            <w:r>
              <w:rPr>
                <w:sz w:val="18"/>
                <w:szCs w:val="18"/>
              </w:rPr>
              <w:t>采样点位</w:t>
            </w:r>
          </w:p>
        </w:tc>
        <w:tc>
          <w:tcPr>
            <w:tcW w:w="599" w:type="pct"/>
            <w:vAlign w:val="center"/>
          </w:tcPr>
          <w:p>
            <w:pPr>
              <w:jc w:val="center"/>
              <w:rPr>
                <w:sz w:val="18"/>
                <w:szCs w:val="18"/>
              </w:rPr>
            </w:pPr>
            <w:r>
              <w:rPr>
                <w:sz w:val="18"/>
                <w:szCs w:val="18"/>
              </w:rPr>
              <w:t>采样日期</w:t>
            </w:r>
          </w:p>
        </w:tc>
        <w:tc>
          <w:tcPr>
            <w:tcW w:w="739" w:type="pct"/>
            <w:vAlign w:val="center"/>
          </w:tcPr>
          <w:p>
            <w:pPr>
              <w:jc w:val="center"/>
              <w:rPr>
                <w:sz w:val="18"/>
                <w:szCs w:val="18"/>
              </w:rPr>
            </w:pPr>
            <w:r>
              <w:rPr>
                <w:sz w:val="18"/>
                <w:szCs w:val="18"/>
              </w:rPr>
              <w:t>采样时段</w:t>
            </w:r>
          </w:p>
        </w:tc>
        <w:tc>
          <w:tcPr>
            <w:tcW w:w="709" w:type="pct"/>
            <w:vAlign w:val="center"/>
          </w:tcPr>
          <w:p>
            <w:pPr>
              <w:jc w:val="center"/>
              <w:rPr>
                <w:sz w:val="18"/>
                <w:szCs w:val="18"/>
              </w:rPr>
            </w:pPr>
            <w:r>
              <w:rPr>
                <w:sz w:val="18"/>
                <w:szCs w:val="18"/>
              </w:rPr>
              <w:t>O</w:t>
            </w:r>
            <w:r>
              <w:rPr>
                <w:sz w:val="18"/>
                <w:szCs w:val="18"/>
                <w:vertAlign w:val="subscript"/>
              </w:rPr>
              <w:t>3</w:t>
            </w:r>
          </w:p>
        </w:tc>
        <w:tc>
          <w:tcPr>
            <w:tcW w:w="550" w:type="pct"/>
            <w:vAlign w:val="center"/>
          </w:tcPr>
          <w:p>
            <w:pPr>
              <w:widowControl/>
              <w:adjustRightInd w:val="0"/>
              <w:snapToGrid w:val="0"/>
              <w:jc w:val="center"/>
              <w:rPr>
                <w:bCs/>
                <w:sz w:val="18"/>
                <w:szCs w:val="18"/>
              </w:rPr>
            </w:pPr>
            <w:r>
              <w:rPr>
                <w:bCs/>
                <w:sz w:val="18"/>
                <w:szCs w:val="18"/>
              </w:rPr>
              <w:t>标准</w:t>
            </w:r>
            <w:r>
              <w:rPr>
                <w:sz w:val="18"/>
                <w:szCs w:val="18"/>
              </w:rPr>
              <w:t>值</w:t>
            </w:r>
          </w:p>
        </w:tc>
        <w:tc>
          <w:tcPr>
            <w:tcW w:w="638" w:type="pct"/>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538" w:type="pct"/>
            <w:vAlign w:val="center"/>
          </w:tcPr>
          <w:p>
            <w:pPr>
              <w:widowControl/>
              <w:adjustRightInd w:val="0"/>
              <w:snapToGrid w:val="0"/>
              <w:jc w:val="center"/>
              <w:rPr>
                <w:bCs/>
                <w:sz w:val="18"/>
                <w:szCs w:val="18"/>
              </w:rPr>
            </w:pPr>
            <w:r>
              <w:rPr>
                <w:bCs/>
                <w:sz w:val="18"/>
                <w:szCs w:val="18"/>
              </w:rPr>
              <w:t>超标率/%</w:t>
            </w:r>
          </w:p>
        </w:tc>
        <w:tc>
          <w:tcPr>
            <w:tcW w:w="614" w:type="pct"/>
            <w:vAlign w:val="center"/>
          </w:tcPr>
          <w:p>
            <w:pPr>
              <w:widowControl/>
              <w:adjustRightInd w:val="0"/>
              <w:snapToGrid w:val="0"/>
              <w:jc w:val="left"/>
              <w:rPr>
                <w:bCs/>
                <w:sz w:val="18"/>
                <w:szCs w:val="18"/>
              </w:rPr>
            </w:pPr>
            <w:r>
              <w:rPr>
                <w:bCs/>
                <w:sz w:val="18"/>
                <w:szCs w:val="18"/>
              </w:rPr>
              <w:t>达标情况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restart"/>
            <w:vAlign w:val="center"/>
          </w:tcPr>
          <w:p>
            <w:pPr>
              <w:widowControl/>
              <w:jc w:val="center"/>
              <w:rPr>
                <w:kern w:val="0"/>
                <w:sz w:val="18"/>
                <w:szCs w:val="18"/>
              </w:rPr>
            </w:pPr>
            <w:r>
              <w:rPr>
                <w:caps/>
                <w:kern w:val="0"/>
                <w:sz w:val="18"/>
                <w:szCs w:val="18"/>
              </w:rPr>
              <w:t>听湖水库（大坝处）</w:t>
            </w:r>
          </w:p>
        </w:tc>
        <w:tc>
          <w:tcPr>
            <w:tcW w:w="599" w:type="pct"/>
            <w:vMerge w:val="restart"/>
            <w:vAlign w:val="center"/>
          </w:tcPr>
          <w:p>
            <w:pPr>
              <w:widowControl/>
              <w:jc w:val="center"/>
              <w:rPr>
                <w:kern w:val="0"/>
                <w:sz w:val="18"/>
                <w:szCs w:val="18"/>
              </w:rPr>
            </w:pPr>
            <w:r>
              <w:rPr>
                <w:kern w:val="0"/>
                <w:sz w:val="18"/>
                <w:szCs w:val="18"/>
              </w:rPr>
              <w:t>11月06日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0.017</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35.63</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0.024</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0.057</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widowControl/>
              <w:jc w:val="center"/>
              <w:rPr>
                <w:kern w:val="0"/>
                <w:sz w:val="18"/>
                <w:szCs w:val="18"/>
              </w:rPr>
            </w:pPr>
          </w:p>
        </w:tc>
        <w:tc>
          <w:tcPr>
            <w:tcW w:w="599" w:type="pct"/>
            <w:vMerge w:val="continue"/>
            <w:vAlign w:val="center"/>
          </w:tcPr>
          <w:p>
            <w:pPr>
              <w:widowControl/>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0.050</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11月07日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0.026</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44.38</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0.059</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0.071</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0.056</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11月08日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0.026</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33.75</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0.049</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0.054</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0.046</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11月09日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0.034</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46.25</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0.074</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0.055</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0.042</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11月10日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0.011</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38.13</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0.029</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0.061</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0.053</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11月11日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0.034</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41.25</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0.047</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0.066</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0.036</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restart"/>
            <w:vAlign w:val="center"/>
          </w:tcPr>
          <w:p>
            <w:pPr>
              <w:jc w:val="center"/>
              <w:rPr>
                <w:sz w:val="18"/>
                <w:szCs w:val="18"/>
              </w:rPr>
            </w:pPr>
            <w:r>
              <w:rPr>
                <w:kern w:val="0"/>
                <w:sz w:val="18"/>
                <w:szCs w:val="18"/>
              </w:rPr>
              <w:t>11月12日</w:t>
            </w:r>
          </w:p>
        </w:tc>
        <w:tc>
          <w:tcPr>
            <w:tcW w:w="739" w:type="pct"/>
            <w:vAlign w:val="bottom"/>
          </w:tcPr>
          <w:p>
            <w:pPr>
              <w:jc w:val="center"/>
              <w:rPr>
                <w:sz w:val="18"/>
                <w:szCs w:val="18"/>
              </w:rPr>
            </w:pPr>
            <w:r>
              <w:rPr>
                <w:sz w:val="18"/>
                <w:szCs w:val="18"/>
              </w:rPr>
              <w:t>02:00-03:00</w:t>
            </w:r>
          </w:p>
        </w:tc>
        <w:tc>
          <w:tcPr>
            <w:tcW w:w="709" w:type="pct"/>
            <w:vAlign w:val="center"/>
          </w:tcPr>
          <w:p>
            <w:pPr>
              <w:jc w:val="center"/>
              <w:rPr>
                <w:sz w:val="18"/>
                <w:szCs w:val="18"/>
              </w:rPr>
            </w:pPr>
            <w:r>
              <w:rPr>
                <w:sz w:val="18"/>
                <w:szCs w:val="18"/>
              </w:rPr>
              <w:t>0.026</w:t>
            </w:r>
          </w:p>
        </w:tc>
        <w:tc>
          <w:tcPr>
            <w:tcW w:w="550" w:type="pct"/>
            <w:vAlign w:val="center"/>
          </w:tcPr>
          <w:p>
            <w:pPr>
              <w:jc w:val="center"/>
              <w:rPr>
                <w:sz w:val="18"/>
                <w:szCs w:val="18"/>
              </w:rPr>
            </w:pPr>
            <w:r>
              <w:rPr>
                <w:sz w:val="18"/>
                <w:szCs w:val="18"/>
              </w:rPr>
              <w:t>0.16</w:t>
            </w:r>
          </w:p>
        </w:tc>
        <w:tc>
          <w:tcPr>
            <w:tcW w:w="638" w:type="pct"/>
            <w:vMerge w:val="restart"/>
            <w:vAlign w:val="center"/>
          </w:tcPr>
          <w:p>
            <w:pPr>
              <w:jc w:val="center"/>
              <w:rPr>
                <w:sz w:val="18"/>
                <w:szCs w:val="18"/>
              </w:rPr>
            </w:pPr>
            <w:r>
              <w:rPr>
                <w:sz w:val="18"/>
                <w:szCs w:val="18"/>
              </w:rPr>
              <w:t>42.50</w:t>
            </w: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08:00-09:00</w:t>
            </w:r>
          </w:p>
        </w:tc>
        <w:tc>
          <w:tcPr>
            <w:tcW w:w="709" w:type="pct"/>
            <w:vAlign w:val="center"/>
          </w:tcPr>
          <w:p>
            <w:pPr>
              <w:jc w:val="center"/>
              <w:rPr>
                <w:sz w:val="18"/>
                <w:szCs w:val="18"/>
              </w:rPr>
            </w:pPr>
            <w:r>
              <w:rPr>
                <w:sz w:val="18"/>
                <w:szCs w:val="18"/>
              </w:rPr>
              <w:t>0.036</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14:00-15:00</w:t>
            </w:r>
          </w:p>
        </w:tc>
        <w:tc>
          <w:tcPr>
            <w:tcW w:w="709" w:type="pct"/>
            <w:vAlign w:val="center"/>
          </w:tcPr>
          <w:p>
            <w:pPr>
              <w:jc w:val="center"/>
              <w:rPr>
                <w:sz w:val="18"/>
                <w:szCs w:val="18"/>
              </w:rPr>
            </w:pPr>
            <w:r>
              <w:rPr>
                <w:sz w:val="18"/>
                <w:szCs w:val="18"/>
              </w:rPr>
              <w:t>0.068</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610" w:type="pct"/>
            <w:vMerge w:val="continue"/>
            <w:vAlign w:val="center"/>
          </w:tcPr>
          <w:p>
            <w:pPr>
              <w:jc w:val="center"/>
              <w:rPr>
                <w:sz w:val="18"/>
                <w:szCs w:val="18"/>
              </w:rPr>
            </w:pPr>
          </w:p>
        </w:tc>
        <w:tc>
          <w:tcPr>
            <w:tcW w:w="599" w:type="pct"/>
            <w:vMerge w:val="continue"/>
            <w:vAlign w:val="center"/>
          </w:tcPr>
          <w:p>
            <w:pPr>
              <w:jc w:val="center"/>
              <w:rPr>
                <w:kern w:val="0"/>
                <w:sz w:val="18"/>
                <w:szCs w:val="18"/>
              </w:rPr>
            </w:pPr>
          </w:p>
        </w:tc>
        <w:tc>
          <w:tcPr>
            <w:tcW w:w="739" w:type="pct"/>
            <w:vAlign w:val="bottom"/>
          </w:tcPr>
          <w:p>
            <w:pPr>
              <w:jc w:val="center"/>
              <w:rPr>
                <w:sz w:val="18"/>
                <w:szCs w:val="18"/>
              </w:rPr>
            </w:pPr>
            <w:r>
              <w:rPr>
                <w:sz w:val="18"/>
                <w:szCs w:val="18"/>
              </w:rPr>
              <w:t>20:00-21:00</w:t>
            </w:r>
          </w:p>
        </w:tc>
        <w:tc>
          <w:tcPr>
            <w:tcW w:w="709" w:type="pct"/>
            <w:vAlign w:val="center"/>
          </w:tcPr>
          <w:p>
            <w:pPr>
              <w:jc w:val="center"/>
              <w:rPr>
                <w:sz w:val="18"/>
                <w:szCs w:val="18"/>
              </w:rPr>
            </w:pPr>
            <w:r>
              <w:rPr>
                <w:sz w:val="18"/>
                <w:szCs w:val="18"/>
              </w:rPr>
              <w:t>0.049</w:t>
            </w:r>
          </w:p>
        </w:tc>
        <w:tc>
          <w:tcPr>
            <w:tcW w:w="550" w:type="pct"/>
            <w:vAlign w:val="center"/>
          </w:tcPr>
          <w:p>
            <w:pPr>
              <w:jc w:val="center"/>
              <w:rPr>
                <w:sz w:val="18"/>
                <w:szCs w:val="18"/>
              </w:rPr>
            </w:pPr>
            <w:r>
              <w:rPr>
                <w:sz w:val="18"/>
                <w:szCs w:val="18"/>
              </w:rPr>
              <w:t>0.16</w:t>
            </w:r>
          </w:p>
        </w:tc>
        <w:tc>
          <w:tcPr>
            <w:tcW w:w="638" w:type="pct"/>
            <w:vMerge w:val="continue"/>
            <w:vAlign w:val="center"/>
          </w:tcPr>
          <w:p>
            <w:pPr>
              <w:jc w:val="center"/>
              <w:rPr>
                <w:sz w:val="18"/>
                <w:szCs w:val="18"/>
              </w:rPr>
            </w:pPr>
          </w:p>
        </w:tc>
        <w:tc>
          <w:tcPr>
            <w:tcW w:w="538" w:type="pct"/>
            <w:vAlign w:val="center"/>
          </w:tcPr>
          <w:p>
            <w:pPr>
              <w:jc w:val="center"/>
              <w:rPr>
                <w:sz w:val="18"/>
                <w:szCs w:val="18"/>
              </w:rPr>
            </w:pPr>
            <w:r>
              <w:rPr>
                <w:sz w:val="18"/>
                <w:szCs w:val="18"/>
              </w:rPr>
              <w:t>0</w:t>
            </w:r>
          </w:p>
        </w:tc>
        <w:tc>
          <w:tcPr>
            <w:tcW w:w="614" w:type="pct"/>
            <w:vAlign w:val="center"/>
          </w:tcPr>
          <w:p>
            <w:pPr>
              <w:jc w:val="center"/>
              <w:rPr>
                <w:sz w:val="18"/>
                <w:szCs w:val="18"/>
              </w:rPr>
            </w:pPr>
            <w:r>
              <w:rPr>
                <w:sz w:val="18"/>
                <w:szCs w:val="18"/>
              </w:rPr>
              <w:t>达标</w:t>
            </w:r>
          </w:p>
        </w:tc>
      </w:tr>
    </w:tbl>
    <w:p>
      <w:pPr>
        <w:pStyle w:val="44"/>
        <w:jc w:val="both"/>
      </w:pPr>
      <w:r>
        <w:t>备注“检出限+L”表示检测结果低于方法检出限</w:t>
      </w:r>
    </w:p>
    <w:p>
      <w:pPr>
        <w:pStyle w:val="7"/>
        <w:ind w:firstLine="480"/>
        <w:rPr>
          <w:bCs/>
        </w:rPr>
      </w:pPr>
      <w:r>
        <w:rPr>
          <w:bCs/>
        </w:rPr>
        <w:t>从现状监测结果来看</w:t>
      </w:r>
      <w:r>
        <w:rPr>
          <w:caps/>
          <w:kern w:val="0"/>
        </w:rPr>
        <w:t>听湖水库（大坝处）</w:t>
      </w:r>
      <w:r>
        <w:rPr>
          <w:bCs/>
        </w:rPr>
        <w:t>监测点所监测因子的现状小时浓度均满足《环境空气质量标准》（GB3095-2012）一级级标准</w:t>
      </w:r>
      <w:r>
        <w:t>要求</w:t>
      </w:r>
      <w:r>
        <w:rPr>
          <w:bCs/>
        </w:rPr>
        <w:t>。</w:t>
      </w:r>
    </w:p>
    <w:p>
      <w:pPr>
        <w:pStyle w:val="31"/>
      </w:pPr>
      <w:r>
        <w:t>表</w:t>
      </w:r>
      <w:r>
        <w:rPr>
          <w:rFonts w:hint="eastAsia"/>
        </w:rPr>
        <w:t>5.3-4</w:t>
      </w:r>
      <w:r>
        <w:t xml:space="preserve">  听湖水库（大坝处）各污染物24小时平均浓度监测结果 单位：mg/m</w:t>
      </w:r>
      <w:r>
        <w:rPr>
          <w:vertAlign w:val="superscript"/>
        </w:rPr>
        <w:t>3</w:t>
      </w:r>
    </w:p>
    <w:tbl>
      <w:tblPr>
        <w:tblStyle w:val="2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870"/>
        <w:gridCol w:w="1437"/>
        <w:gridCol w:w="1229"/>
        <w:gridCol w:w="1430"/>
        <w:gridCol w:w="1141"/>
        <w:gridCol w:w="10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08"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采样点位</w:t>
            </w:r>
          </w:p>
        </w:tc>
        <w:tc>
          <w:tcPr>
            <w:tcW w:w="1007" w:type="pct"/>
            <w:tcBorders>
              <w:top w:val="single" w:color="auto" w:sz="2" w:space="0"/>
              <w:bottom w:val="single" w:color="auto" w:sz="2" w:space="0"/>
              <w:tl2br w:val="single" w:color="auto" w:sz="4" w:space="0"/>
            </w:tcBorders>
            <w:vAlign w:val="center"/>
          </w:tcPr>
          <w:p>
            <w:pPr>
              <w:jc w:val="center"/>
              <w:rPr>
                <w:sz w:val="18"/>
                <w:szCs w:val="18"/>
              </w:rPr>
            </w:pPr>
            <w:r>
              <w:rPr>
                <w:sz w:val="18"/>
                <w:szCs w:val="18"/>
              </w:rPr>
              <w:t xml:space="preserve">      检测项目</w:t>
            </w:r>
          </w:p>
          <w:p>
            <w:pPr>
              <w:rPr>
                <w:sz w:val="18"/>
                <w:szCs w:val="18"/>
              </w:rPr>
            </w:pPr>
            <w:r>
              <w:rPr>
                <w:sz w:val="18"/>
                <w:szCs w:val="18"/>
              </w:rPr>
              <w:t>采样时段</w:t>
            </w:r>
          </w:p>
        </w:tc>
        <w:tc>
          <w:tcPr>
            <w:tcW w:w="774" w:type="pct"/>
            <w:tcBorders>
              <w:top w:val="single" w:color="auto" w:sz="2" w:space="0"/>
              <w:bottom w:val="single" w:color="auto" w:sz="2" w:space="0"/>
            </w:tcBorders>
            <w:vAlign w:val="center"/>
          </w:tcPr>
          <w:p>
            <w:pPr>
              <w:spacing w:line="240" w:lineRule="exact"/>
              <w:jc w:val="center"/>
              <w:rPr>
                <w:sz w:val="18"/>
                <w:szCs w:val="18"/>
              </w:rPr>
            </w:pPr>
            <w:r>
              <w:rPr>
                <w:sz w:val="18"/>
                <w:szCs w:val="18"/>
              </w:rPr>
              <w:t>SO</w:t>
            </w:r>
            <w:r>
              <w:rPr>
                <w:sz w:val="18"/>
                <w:szCs w:val="18"/>
                <w:vertAlign w:val="subscript"/>
              </w:rPr>
              <w:t>2</w:t>
            </w:r>
          </w:p>
        </w:tc>
        <w:tc>
          <w:tcPr>
            <w:tcW w:w="662"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770"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614"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超标率/%</w:t>
            </w:r>
          </w:p>
        </w:tc>
        <w:tc>
          <w:tcPr>
            <w:tcW w:w="565" w:type="pct"/>
            <w:tcBorders>
              <w:top w:val="single" w:color="auto" w:sz="2" w:space="0"/>
              <w:bottom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r>
              <w:rPr>
                <w:caps/>
                <w:kern w:val="0"/>
                <w:sz w:val="18"/>
                <w:szCs w:val="18"/>
              </w:rPr>
              <w:t>听湖水库</w:t>
            </w:r>
          </w:p>
          <w:p>
            <w:pPr>
              <w:widowControl/>
              <w:jc w:val="center"/>
              <w:rPr>
                <w:kern w:val="0"/>
                <w:sz w:val="18"/>
                <w:szCs w:val="18"/>
              </w:rPr>
            </w:pPr>
            <w:r>
              <w:rPr>
                <w:caps/>
                <w:kern w:val="0"/>
                <w:sz w:val="18"/>
                <w:szCs w:val="18"/>
              </w:rPr>
              <w:t>（大坝处）</w:t>
            </w:r>
          </w:p>
        </w:tc>
        <w:tc>
          <w:tcPr>
            <w:tcW w:w="1007" w:type="pct"/>
            <w:tcBorders>
              <w:top w:val="single" w:color="auto" w:sz="2" w:space="0"/>
              <w:bottom w:val="single" w:color="auto" w:sz="2" w:space="0"/>
            </w:tcBorders>
            <w:vAlign w:val="center"/>
          </w:tcPr>
          <w:p>
            <w:pPr>
              <w:jc w:val="center"/>
              <w:rPr>
                <w:sz w:val="18"/>
                <w:szCs w:val="18"/>
              </w:rPr>
            </w:pPr>
            <w:r>
              <w:rPr>
                <w:sz w:val="18"/>
                <w:szCs w:val="18"/>
              </w:rPr>
              <w:t>11月06日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0.007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restart"/>
            <w:tcBorders>
              <w:top w:val="single" w:color="auto" w:sz="2" w:space="0"/>
              <w:bottom w:val="single" w:color="auto" w:sz="2" w:space="0"/>
            </w:tcBorders>
            <w:vAlign w:val="center"/>
          </w:tcPr>
          <w:p>
            <w:pPr>
              <w:jc w:val="center"/>
              <w:rPr>
                <w:sz w:val="18"/>
                <w:szCs w:val="18"/>
              </w:rPr>
            </w:pPr>
            <w:r>
              <w:rPr>
                <w:sz w:val="18"/>
                <w:szCs w:val="18"/>
              </w:rPr>
              <w:t>28.00</w:t>
            </w: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11月07日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0.010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11月08日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0.014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11月09日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0.011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11月10日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0.009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11月11日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0.008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11月12日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0.010 </w:t>
            </w:r>
          </w:p>
        </w:tc>
        <w:tc>
          <w:tcPr>
            <w:tcW w:w="662" w:type="pct"/>
            <w:tcBorders>
              <w:top w:val="single" w:color="auto" w:sz="2" w:space="0"/>
              <w:bottom w:val="single" w:color="auto" w:sz="2" w:space="0"/>
            </w:tcBorders>
            <w:vAlign w:val="center"/>
          </w:tcPr>
          <w:p>
            <w:pPr>
              <w:jc w:val="center"/>
              <w:rPr>
                <w:sz w:val="18"/>
                <w:szCs w:val="18"/>
              </w:rPr>
            </w:pPr>
            <w:r>
              <w:rPr>
                <w:sz w:val="18"/>
                <w:szCs w:val="18"/>
              </w:rPr>
              <w:t>0.05</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r>
              <w:rPr>
                <w:caps/>
                <w:kern w:val="0"/>
                <w:sz w:val="18"/>
                <w:szCs w:val="18"/>
              </w:rPr>
              <w:t>听湖水库</w:t>
            </w:r>
          </w:p>
          <w:p>
            <w:pPr>
              <w:jc w:val="center"/>
              <w:rPr>
                <w:sz w:val="18"/>
                <w:szCs w:val="18"/>
              </w:rPr>
            </w:pPr>
            <w:r>
              <w:rPr>
                <w:caps/>
                <w:kern w:val="0"/>
                <w:sz w:val="18"/>
                <w:szCs w:val="18"/>
              </w:rPr>
              <w:t>（大坝处）</w:t>
            </w:r>
          </w:p>
        </w:tc>
        <w:tc>
          <w:tcPr>
            <w:tcW w:w="1007" w:type="pct"/>
            <w:tcBorders>
              <w:top w:val="single" w:color="auto" w:sz="2" w:space="0"/>
              <w:left w:val="single" w:color="auto" w:sz="4" w:space="0"/>
              <w:bottom w:val="single" w:color="auto" w:sz="2" w:space="0"/>
              <w:right w:val="single" w:color="auto" w:sz="4" w:space="0"/>
              <w:tl2br w:val="single" w:color="auto" w:sz="4" w:space="0"/>
            </w:tcBorders>
            <w:vAlign w:val="center"/>
          </w:tcPr>
          <w:p>
            <w:pPr>
              <w:jc w:val="center"/>
              <w:rPr>
                <w:sz w:val="18"/>
                <w:szCs w:val="18"/>
              </w:rPr>
            </w:pPr>
            <w:r>
              <w:rPr>
                <w:caps/>
                <w:kern w:val="0"/>
                <w:sz w:val="18"/>
                <w:szCs w:val="18"/>
              </w:rPr>
              <w:t xml:space="preserve">      </w:t>
            </w:r>
            <w:r>
              <w:rPr>
                <w:sz w:val="18"/>
                <w:szCs w:val="18"/>
              </w:rPr>
              <w:t>检测项目</w:t>
            </w:r>
          </w:p>
          <w:p>
            <w:pPr>
              <w:widowControl/>
              <w:rPr>
                <w:caps/>
                <w:kern w:val="0"/>
                <w:sz w:val="18"/>
                <w:szCs w:val="18"/>
              </w:rPr>
            </w:pPr>
            <w:r>
              <w:rPr>
                <w:caps/>
                <w:kern w:val="0"/>
                <w:sz w:val="18"/>
                <w:szCs w:val="18"/>
              </w:rPr>
              <w:t>采样时段</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bCs/>
                <w:sz w:val="18"/>
                <w:szCs w:val="18"/>
              </w:rPr>
            </w:pPr>
            <w:r>
              <w:rPr>
                <w:sz w:val="18"/>
                <w:szCs w:val="18"/>
              </w:rPr>
              <w:t>NO</w:t>
            </w:r>
            <w:r>
              <w:rPr>
                <w:sz w:val="18"/>
                <w:szCs w:val="18"/>
                <w:vertAlign w:val="subscript"/>
              </w:rPr>
              <w:t>2</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标准限值</w:t>
            </w:r>
          </w:p>
        </w:tc>
        <w:tc>
          <w:tcPr>
            <w:tcW w:w="770"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最大浓度</w:t>
            </w:r>
          </w:p>
          <w:p>
            <w:pPr>
              <w:jc w:val="center"/>
              <w:rPr>
                <w:sz w:val="18"/>
                <w:szCs w:val="18"/>
              </w:rPr>
            </w:pPr>
            <w:r>
              <w:rPr>
                <w:sz w:val="18"/>
                <w:szCs w:val="18"/>
              </w:rPr>
              <w:t>占标率/%</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p>
            <w:pPr>
              <w:jc w:val="center"/>
              <w:rPr>
                <w:sz w:val="18"/>
                <w:szCs w:val="18"/>
              </w:rPr>
            </w:pPr>
            <w:r>
              <w:rPr>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0.025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restar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41.25</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0.029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0.026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0.030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0.033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0.027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0.023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0.08</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p>
          <w:p>
            <w:pPr>
              <w:widowControl/>
              <w:jc w:val="center"/>
              <w:rPr>
                <w:caps/>
                <w:kern w:val="0"/>
                <w:sz w:val="18"/>
                <w:szCs w:val="18"/>
              </w:rPr>
            </w:pPr>
            <w:r>
              <w:rPr>
                <w:caps/>
                <w:kern w:val="0"/>
                <w:sz w:val="18"/>
                <w:szCs w:val="18"/>
              </w:rPr>
              <w:t>听湖</w:t>
            </w:r>
          </w:p>
          <w:p>
            <w:pPr>
              <w:widowControl/>
              <w:jc w:val="center"/>
              <w:rPr>
                <w:caps/>
                <w:kern w:val="0"/>
                <w:sz w:val="18"/>
                <w:szCs w:val="18"/>
              </w:rPr>
            </w:pPr>
            <w:r>
              <w:rPr>
                <w:caps/>
                <w:kern w:val="0"/>
                <w:sz w:val="18"/>
                <w:szCs w:val="18"/>
              </w:rPr>
              <w:t>水库</w:t>
            </w:r>
          </w:p>
          <w:p>
            <w:pPr>
              <w:jc w:val="center"/>
              <w:rPr>
                <w:sz w:val="18"/>
                <w:szCs w:val="18"/>
              </w:rPr>
            </w:pPr>
            <w:r>
              <w:rPr>
                <w:caps/>
                <w:kern w:val="0"/>
                <w:sz w:val="18"/>
                <w:szCs w:val="18"/>
              </w:rPr>
              <w:t>（大坝处）</w:t>
            </w:r>
          </w:p>
        </w:tc>
        <w:tc>
          <w:tcPr>
            <w:tcW w:w="1007" w:type="pct"/>
            <w:tcBorders>
              <w:top w:val="single" w:color="auto" w:sz="2" w:space="0"/>
              <w:left w:val="single" w:color="auto" w:sz="4" w:space="0"/>
              <w:bottom w:val="single" w:color="auto" w:sz="2" w:space="0"/>
              <w:right w:val="single" w:color="auto" w:sz="4" w:space="0"/>
              <w:tl2br w:val="single" w:color="auto" w:sz="4" w:space="0"/>
            </w:tcBorders>
            <w:vAlign w:val="center"/>
          </w:tcPr>
          <w:p>
            <w:pPr>
              <w:jc w:val="center"/>
              <w:rPr>
                <w:sz w:val="18"/>
                <w:szCs w:val="18"/>
              </w:rPr>
            </w:pPr>
            <w:r>
              <w:rPr>
                <w:caps/>
                <w:kern w:val="0"/>
                <w:sz w:val="18"/>
                <w:szCs w:val="18"/>
              </w:rPr>
              <w:t xml:space="preserve">      </w:t>
            </w:r>
            <w:r>
              <w:rPr>
                <w:sz w:val="18"/>
                <w:szCs w:val="18"/>
              </w:rPr>
              <w:t>检测项目</w:t>
            </w:r>
          </w:p>
          <w:p>
            <w:pPr>
              <w:widowControl/>
              <w:rPr>
                <w:caps/>
                <w:kern w:val="0"/>
                <w:sz w:val="18"/>
                <w:szCs w:val="18"/>
              </w:rPr>
            </w:pPr>
            <w:r>
              <w:rPr>
                <w:caps/>
                <w:kern w:val="0"/>
                <w:sz w:val="18"/>
                <w:szCs w:val="18"/>
              </w:rPr>
              <w:t>采样时段</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bCs/>
                <w:sz w:val="18"/>
                <w:szCs w:val="18"/>
              </w:rPr>
            </w:pPr>
            <w:r>
              <w:rPr>
                <w:sz w:val="18"/>
                <w:szCs w:val="18"/>
              </w:rPr>
              <w:t>CO</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770"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最大浓度</w:t>
            </w:r>
          </w:p>
          <w:p>
            <w:pPr>
              <w:jc w:val="center"/>
              <w:rPr>
                <w:sz w:val="18"/>
                <w:szCs w:val="18"/>
              </w:rPr>
            </w:pPr>
            <w:r>
              <w:rPr>
                <w:sz w:val="18"/>
                <w:szCs w:val="18"/>
              </w:rPr>
              <w:t>占标率/%</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p>
            <w:pPr>
              <w:jc w:val="center"/>
              <w:rPr>
                <w:sz w:val="18"/>
                <w:szCs w:val="18"/>
              </w:rPr>
            </w:pPr>
            <w:r>
              <w:rPr>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0.48</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restar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16.75</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0.49</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0.62</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0.52</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0.65</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0.48</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0.67</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08"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采样点位</w:t>
            </w:r>
          </w:p>
        </w:tc>
        <w:tc>
          <w:tcPr>
            <w:tcW w:w="1007" w:type="pct"/>
            <w:tcBorders>
              <w:top w:val="single" w:color="auto" w:sz="2" w:space="0"/>
              <w:bottom w:val="single" w:color="auto" w:sz="2" w:space="0"/>
              <w:tl2br w:val="single" w:color="auto" w:sz="4" w:space="0"/>
            </w:tcBorders>
            <w:vAlign w:val="center"/>
          </w:tcPr>
          <w:p>
            <w:pPr>
              <w:jc w:val="center"/>
              <w:rPr>
                <w:sz w:val="18"/>
                <w:szCs w:val="18"/>
              </w:rPr>
            </w:pPr>
            <w:r>
              <w:rPr>
                <w:sz w:val="18"/>
                <w:szCs w:val="18"/>
              </w:rPr>
              <w:t xml:space="preserve">      检测项目</w:t>
            </w:r>
          </w:p>
          <w:p>
            <w:pPr>
              <w:rPr>
                <w:sz w:val="18"/>
                <w:szCs w:val="18"/>
              </w:rPr>
            </w:pPr>
            <w:r>
              <w:rPr>
                <w:sz w:val="18"/>
                <w:szCs w:val="18"/>
              </w:rPr>
              <w:t>采样时段</w:t>
            </w:r>
          </w:p>
        </w:tc>
        <w:tc>
          <w:tcPr>
            <w:tcW w:w="774" w:type="pct"/>
            <w:tcBorders>
              <w:top w:val="single" w:color="auto" w:sz="2" w:space="0"/>
              <w:bottom w:val="single" w:color="auto" w:sz="2" w:space="0"/>
            </w:tcBorders>
            <w:vAlign w:val="center"/>
          </w:tcPr>
          <w:p>
            <w:pPr>
              <w:spacing w:line="240" w:lineRule="exact"/>
              <w:jc w:val="center"/>
              <w:rPr>
                <w:bCs/>
                <w:sz w:val="18"/>
                <w:szCs w:val="18"/>
              </w:rPr>
            </w:pPr>
            <w:r>
              <w:rPr>
                <w:sz w:val="18"/>
                <w:szCs w:val="18"/>
              </w:rPr>
              <w:t>PM</w:t>
            </w:r>
            <w:r>
              <w:rPr>
                <w:sz w:val="18"/>
                <w:szCs w:val="18"/>
                <w:vertAlign w:val="subscript"/>
              </w:rPr>
              <w:t>10</w:t>
            </w:r>
            <w:r>
              <w:rPr>
                <w:sz w:val="18"/>
                <w:szCs w:val="18"/>
              </w:rPr>
              <w:t>（</w:t>
            </w:r>
            <w:r>
              <w:rPr>
                <w:bCs/>
                <w:sz w:val="18"/>
                <w:szCs w:val="18"/>
              </w:rPr>
              <w:t>µg/m</w:t>
            </w:r>
            <w:r>
              <w:rPr>
                <w:bCs/>
                <w:sz w:val="18"/>
                <w:szCs w:val="18"/>
                <w:vertAlign w:val="superscript"/>
              </w:rPr>
              <w:t>3</w:t>
            </w:r>
            <w:r>
              <w:rPr>
                <w:sz w:val="18"/>
                <w:szCs w:val="18"/>
              </w:rPr>
              <w:t>）</w:t>
            </w:r>
          </w:p>
        </w:tc>
        <w:tc>
          <w:tcPr>
            <w:tcW w:w="662"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770"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614"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超标率/%</w:t>
            </w:r>
          </w:p>
        </w:tc>
        <w:tc>
          <w:tcPr>
            <w:tcW w:w="565" w:type="pct"/>
            <w:tcBorders>
              <w:top w:val="single" w:color="auto" w:sz="2" w:space="0"/>
              <w:bottom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w:t>
            </w:r>
          </w:p>
          <w:p>
            <w:pPr>
              <w:widowControl/>
              <w:adjustRightInd w:val="0"/>
              <w:snapToGrid w:val="0"/>
              <w:jc w:val="left"/>
              <w:rPr>
                <w:bCs/>
                <w:sz w:val="18"/>
                <w:szCs w:val="18"/>
              </w:rPr>
            </w:pPr>
            <w:r>
              <w:rPr>
                <w:bCs/>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r>
              <w:rPr>
                <w:caps/>
                <w:kern w:val="0"/>
                <w:sz w:val="18"/>
                <w:szCs w:val="18"/>
              </w:rPr>
              <w:t>听湖水库</w:t>
            </w:r>
          </w:p>
          <w:p>
            <w:pPr>
              <w:widowControl/>
              <w:jc w:val="center"/>
              <w:rPr>
                <w:kern w:val="0"/>
                <w:sz w:val="18"/>
                <w:szCs w:val="18"/>
              </w:rPr>
            </w:pPr>
            <w:r>
              <w:rPr>
                <w:caps/>
                <w:kern w:val="0"/>
                <w:sz w:val="18"/>
                <w:szCs w:val="18"/>
              </w:rPr>
              <w:t>（大坝处）</w:t>
            </w:r>
          </w:p>
        </w:tc>
        <w:tc>
          <w:tcPr>
            <w:tcW w:w="1007" w:type="pct"/>
            <w:tcBorders>
              <w:top w:val="single" w:color="auto" w:sz="2" w:space="0"/>
              <w:bottom w:val="single" w:color="auto" w:sz="2" w:space="0"/>
            </w:tcBorders>
            <w:vAlign w:val="center"/>
          </w:tcPr>
          <w:p>
            <w:pPr>
              <w:jc w:val="center"/>
              <w:rPr>
                <w:sz w:val="18"/>
                <w:szCs w:val="18"/>
              </w:rPr>
            </w:pPr>
            <w:r>
              <w:rPr>
                <w:sz w:val="18"/>
                <w:szCs w:val="18"/>
              </w:rPr>
              <w:t>11月06日</w:t>
            </w:r>
          </w:p>
        </w:tc>
        <w:tc>
          <w:tcPr>
            <w:tcW w:w="774" w:type="pct"/>
            <w:tcBorders>
              <w:top w:val="single" w:color="auto" w:sz="2" w:space="0"/>
              <w:bottom w:val="single" w:color="auto" w:sz="2" w:space="0"/>
            </w:tcBorders>
            <w:vAlign w:val="center"/>
          </w:tcPr>
          <w:p>
            <w:pPr>
              <w:jc w:val="center"/>
              <w:rPr>
                <w:sz w:val="18"/>
                <w:szCs w:val="18"/>
              </w:rPr>
            </w:pPr>
            <w:r>
              <w:rPr>
                <w:sz w:val="18"/>
                <w:szCs w:val="18"/>
              </w:rPr>
              <w:t>34</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restart"/>
            <w:tcBorders>
              <w:top w:val="single" w:color="auto" w:sz="2" w:space="0"/>
              <w:bottom w:val="single" w:color="auto" w:sz="2" w:space="0"/>
            </w:tcBorders>
            <w:vAlign w:val="center"/>
          </w:tcPr>
          <w:p>
            <w:pPr>
              <w:jc w:val="center"/>
              <w:rPr>
                <w:sz w:val="18"/>
                <w:szCs w:val="18"/>
              </w:rPr>
            </w:pPr>
            <w:r>
              <w:rPr>
                <w:sz w:val="18"/>
                <w:szCs w:val="18"/>
              </w:rPr>
              <w:t>70.00</w:t>
            </w: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11月07日</w:t>
            </w:r>
          </w:p>
        </w:tc>
        <w:tc>
          <w:tcPr>
            <w:tcW w:w="774" w:type="pct"/>
            <w:tcBorders>
              <w:top w:val="single" w:color="auto" w:sz="2" w:space="0"/>
              <w:bottom w:val="single" w:color="auto" w:sz="2" w:space="0"/>
            </w:tcBorders>
            <w:vAlign w:val="center"/>
          </w:tcPr>
          <w:p>
            <w:pPr>
              <w:jc w:val="center"/>
              <w:rPr>
                <w:sz w:val="18"/>
                <w:szCs w:val="18"/>
              </w:rPr>
            </w:pPr>
            <w:r>
              <w:rPr>
                <w:sz w:val="18"/>
                <w:szCs w:val="18"/>
              </w:rPr>
              <w:t>31</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11月08日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35 </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11月09日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30 </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11月10日</w:t>
            </w:r>
          </w:p>
        </w:tc>
        <w:tc>
          <w:tcPr>
            <w:tcW w:w="774" w:type="pct"/>
            <w:tcBorders>
              <w:top w:val="single" w:color="auto" w:sz="2" w:space="0"/>
              <w:bottom w:val="single" w:color="auto" w:sz="2" w:space="0"/>
            </w:tcBorders>
            <w:vAlign w:val="center"/>
          </w:tcPr>
          <w:p>
            <w:pPr>
              <w:jc w:val="center"/>
              <w:rPr>
                <w:sz w:val="18"/>
                <w:szCs w:val="18"/>
              </w:rPr>
            </w:pPr>
            <w:r>
              <w:rPr>
                <w:sz w:val="18"/>
                <w:szCs w:val="18"/>
              </w:rPr>
              <w:t>31</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11月11日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33 </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bottom w:val="single" w:color="auto" w:sz="2" w:space="0"/>
            </w:tcBorders>
            <w:vAlign w:val="center"/>
          </w:tcPr>
          <w:p>
            <w:pPr>
              <w:jc w:val="center"/>
              <w:rPr>
                <w:sz w:val="18"/>
                <w:szCs w:val="18"/>
              </w:rPr>
            </w:pPr>
            <w:r>
              <w:rPr>
                <w:sz w:val="18"/>
                <w:szCs w:val="18"/>
              </w:rPr>
              <w:t>11月12日</w:t>
            </w:r>
          </w:p>
        </w:tc>
        <w:tc>
          <w:tcPr>
            <w:tcW w:w="774" w:type="pct"/>
            <w:tcBorders>
              <w:top w:val="single" w:color="auto" w:sz="2" w:space="0"/>
              <w:bottom w:val="single" w:color="auto" w:sz="2" w:space="0"/>
            </w:tcBorders>
            <w:vAlign w:val="center"/>
          </w:tcPr>
          <w:p>
            <w:pPr>
              <w:jc w:val="center"/>
              <w:rPr>
                <w:sz w:val="18"/>
                <w:szCs w:val="18"/>
              </w:rPr>
            </w:pPr>
            <w:r>
              <w:rPr>
                <w:sz w:val="18"/>
                <w:szCs w:val="18"/>
              </w:rPr>
              <w:t xml:space="preserve">32 </w:t>
            </w:r>
          </w:p>
        </w:tc>
        <w:tc>
          <w:tcPr>
            <w:tcW w:w="662" w:type="pct"/>
            <w:tcBorders>
              <w:top w:val="single" w:color="auto" w:sz="2" w:space="0"/>
              <w:bottom w:val="single" w:color="auto" w:sz="2" w:space="0"/>
            </w:tcBorders>
            <w:vAlign w:val="center"/>
          </w:tcPr>
          <w:p>
            <w:pPr>
              <w:jc w:val="center"/>
              <w:rPr>
                <w:sz w:val="18"/>
                <w:szCs w:val="18"/>
              </w:rPr>
            </w:pPr>
            <w:r>
              <w:rPr>
                <w:sz w:val="18"/>
                <w:szCs w:val="18"/>
              </w:rPr>
              <w:t>50</w:t>
            </w:r>
          </w:p>
        </w:tc>
        <w:tc>
          <w:tcPr>
            <w:tcW w:w="770" w:type="pct"/>
            <w:vMerge w:val="continue"/>
            <w:tcBorders>
              <w:top w:val="single" w:color="auto" w:sz="2" w:space="0"/>
              <w:bottom w:val="single" w:color="auto" w:sz="2" w:space="0"/>
            </w:tcBorders>
            <w:vAlign w:val="center"/>
          </w:tcPr>
          <w:p>
            <w:pPr>
              <w:jc w:val="center"/>
              <w:rPr>
                <w:sz w:val="18"/>
                <w:szCs w:val="18"/>
              </w:rPr>
            </w:pPr>
          </w:p>
        </w:tc>
        <w:tc>
          <w:tcPr>
            <w:tcW w:w="614" w:type="pct"/>
            <w:tcBorders>
              <w:top w:val="single" w:color="auto" w:sz="2" w:space="0"/>
              <w:bottom w:val="single" w:color="auto" w:sz="2" w:space="0"/>
            </w:tcBorders>
            <w:vAlign w:val="center"/>
          </w:tcPr>
          <w:p>
            <w:pPr>
              <w:jc w:val="center"/>
              <w:rPr>
                <w:sz w:val="18"/>
                <w:szCs w:val="18"/>
              </w:rPr>
            </w:pPr>
            <w:r>
              <w:rPr>
                <w:sz w:val="18"/>
                <w:szCs w:val="18"/>
              </w:rPr>
              <w:t>0</w:t>
            </w:r>
          </w:p>
        </w:tc>
        <w:tc>
          <w:tcPr>
            <w:tcW w:w="565"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r>
              <w:rPr>
                <w:caps/>
                <w:kern w:val="0"/>
                <w:sz w:val="18"/>
                <w:szCs w:val="18"/>
              </w:rPr>
              <w:t>听湖水库</w:t>
            </w:r>
          </w:p>
          <w:p>
            <w:pPr>
              <w:jc w:val="center"/>
              <w:rPr>
                <w:sz w:val="18"/>
                <w:szCs w:val="18"/>
              </w:rPr>
            </w:pPr>
            <w:r>
              <w:rPr>
                <w:caps/>
                <w:kern w:val="0"/>
                <w:sz w:val="18"/>
                <w:szCs w:val="18"/>
              </w:rPr>
              <w:t>（大坝处）</w:t>
            </w:r>
          </w:p>
        </w:tc>
        <w:tc>
          <w:tcPr>
            <w:tcW w:w="1007" w:type="pct"/>
            <w:tcBorders>
              <w:top w:val="single" w:color="auto" w:sz="2" w:space="0"/>
              <w:left w:val="single" w:color="auto" w:sz="4" w:space="0"/>
              <w:bottom w:val="single" w:color="auto" w:sz="2" w:space="0"/>
              <w:right w:val="single" w:color="auto" w:sz="4" w:space="0"/>
              <w:tl2br w:val="single" w:color="auto" w:sz="4" w:space="0"/>
            </w:tcBorders>
            <w:vAlign w:val="center"/>
          </w:tcPr>
          <w:p>
            <w:pPr>
              <w:jc w:val="center"/>
              <w:rPr>
                <w:sz w:val="18"/>
                <w:szCs w:val="18"/>
              </w:rPr>
            </w:pPr>
            <w:r>
              <w:rPr>
                <w:caps/>
                <w:kern w:val="0"/>
                <w:sz w:val="18"/>
                <w:szCs w:val="18"/>
              </w:rPr>
              <w:t xml:space="preserve">     </w:t>
            </w:r>
            <w:r>
              <w:rPr>
                <w:sz w:val="18"/>
                <w:szCs w:val="18"/>
              </w:rPr>
              <w:t>检测项目</w:t>
            </w:r>
          </w:p>
          <w:p>
            <w:pPr>
              <w:widowControl/>
              <w:rPr>
                <w:caps/>
                <w:kern w:val="0"/>
                <w:sz w:val="18"/>
                <w:szCs w:val="18"/>
              </w:rPr>
            </w:pPr>
            <w:r>
              <w:rPr>
                <w:caps/>
                <w:kern w:val="0"/>
                <w:sz w:val="18"/>
                <w:szCs w:val="18"/>
              </w:rPr>
              <w:t>采样时段</w:t>
            </w:r>
          </w:p>
        </w:tc>
        <w:tc>
          <w:tcPr>
            <w:tcW w:w="774" w:type="pct"/>
            <w:tcBorders>
              <w:top w:val="single" w:color="auto" w:sz="2" w:space="0"/>
              <w:left w:val="single" w:color="auto" w:sz="4" w:space="0"/>
              <w:bottom w:val="single" w:color="auto" w:sz="2" w:space="0"/>
              <w:right w:val="single" w:color="auto" w:sz="4" w:space="0"/>
            </w:tcBorders>
            <w:vAlign w:val="center"/>
          </w:tcPr>
          <w:p>
            <w:pPr>
              <w:spacing w:line="240" w:lineRule="exact"/>
              <w:jc w:val="center"/>
              <w:rPr>
                <w:sz w:val="18"/>
                <w:szCs w:val="18"/>
                <w:vertAlign w:val="subscript"/>
              </w:rPr>
            </w:pPr>
            <w:r>
              <w:rPr>
                <w:sz w:val="18"/>
                <w:szCs w:val="18"/>
              </w:rPr>
              <w:t>PM</w:t>
            </w:r>
            <w:r>
              <w:rPr>
                <w:sz w:val="18"/>
                <w:szCs w:val="18"/>
                <w:vertAlign w:val="subscript"/>
              </w:rPr>
              <w:t>2.5</w:t>
            </w:r>
            <w:r>
              <w:rPr>
                <w:sz w:val="18"/>
                <w:szCs w:val="18"/>
              </w:rPr>
              <w:t>（</w:t>
            </w:r>
            <w:r>
              <w:rPr>
                <w:bCs/>
                <w:sz w:val="18"/>
                <w:szCs w:val="18"/>
              </w:rPr>
              <w:t>µg/m</w:t>
            </w:r>
            <w:r>
              <w:rPr>
                <w:bCs/>
                <w:sz w:val="18"/>
                <w:szCs w:val="18"/>
                <w:vertAlign w:val="superscript"/>
              </w:rPr>
              <w:t>3</w:t>
            </w:r>
            <w:r>
              <w:rPr>
                <w:sz w:val="18"/>
                <w:szCs w:val="18"/>
              </w:rPr>
              <w:t>）</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标准限值</w:t>
            </w:r>
          </w:p>
        </w:tc>
        <w:tc>
          <w:tcPr>
            <w:tcW w:w="770"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最大浓度</w:t>
            </w:r>
          </w:p>
          <w:p>
            <w:pPr>
              <w:jc w:val="center"/>
              <w:rPr>
                <w:sz w:val="18"/>
                <w:szCs w:val="18"/>
              </w:rPr>
            </w:pPr>
            <w:r>
              <w:rPr>
                <w:sz w:val="18"/>
                <w:szCs w:val="18"/>
              </w:rPr>
              <w:t>占标率/%</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p>
            <w:pPr>
              <w:jc w:val="center"/>
              <w:rPr>
                <w:sz w:val="18"/>
                <w:szCs w:val="18"/>
              </w:rPr>
            </w:pPr>
            <w:r>
              <w:rPr>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13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restar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45.71</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16</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15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11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12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14</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15</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35</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r>
              <w:rPr>
                <w:caps/>
                <w:kern w:val="0"/>
                <w:sz w:val="18"/>
                <w:szCs w:val="18"/>
              </w:rPr>
              <w:t>听湖水库</w:t>
            </w:r>
          </w:p>
          <w:p>
            <w:pPr>
              <w:jc w:val="center"/>
              <w:rPr>
                <w:sz w:val="18"/>
                <w:szCs w:val="18"/>
              </w:rPr>
            </w:pPr>
            <w:r>
              <w:rPr>
                <w:caps/>
                <w:kern w:val="0"/>
                <w:sz w:val="18"/>
                <w:szCs w:val="18"/>
              </w:rPr>
              <w:t>（大坝处）</w:t>
            </w:r>
          </w:p>
        </w:tc>
        <w:tc>
          <w:tcPr>
            <w:tcW w:w="1007" w:type="pct"/>
            <w:tcBorders>
              <w:top w:val="single" w:color="auto" w:sz="2" w:space="0"/>
              <w:left w:val="single" w:color="auto" w:sz="4" w:space="0"/>
              <w:bottom w:val="single" w:color="auto" w:sz="2" w:space="0"/>
              <w:right w:val="single" w:color="auto" w:sz="4" w:space="0"/>
              <w:tl2br w:val="single" w:color="auto" w:sz="4" w:space="0"/>
            </w:tcBorders>
            <w:vAlign w:val="center"/>
          </w:tcPr>
          <w:p>
            <w:pPr>
              <w:jc w:val="center"/>
              <w:rPr>
                <w:sz w:val="18"/>
                <w:szCs w:val="18"/>
              </w:rPr>
            </w:pPr>
            <w:r>
              <w:rPr>
                <w:caps/>
                <w:kern w:val="0"/>
                <w:sz w:val="18"/>
                <w:szCs w:val="18"/>
              </w:rPr>
              <w:t xml:space="preserve">       </w:t>
            </w:r>
            <w:r>
              <w:rPr>
                <w:sz w:val="18"/>
                <w:szCs w:val="18"/>
              </w:rPr>
              <w:t>检测项目</w:t>
            </w:r>
          </w:p>
          <w:p>
            <w:pPr>
              <w:widowControl/>
              <w:rPr>
                <w:caps/>
                <w:kern w:val="0"/>
                <w:sz w:val="18"/>
                <w:szCs w:val="18"/>
              </w:rPr>
            </w:pPr>
            <w:r>
              <w:rPr>
                <w:caps/>
                <w:kern w:val="0"/>
                <w:sz w:val="18"/>
                <w:szCs w:val="18"/>
              </w:rPr>
              <w:t>采样时段</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O</w:t>
            </w:r>
            <w:r>
              <w:rPr>
                <w:sz w:val="18"/>
                <w:szCs w:val="18"/>
                <w:vertAlign w:val="subscript"/>
              </w:rPr>
              <w:t>3</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770"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最大浓度</w:t>
            </w:r>
          </w:p>
          <w:p>
            <w:pPr>
              <w:jc w:val="center"/>
              <w:rPr>
                <w:sz w:val="18"/>
                <w:szCs w:val="18"/>
              </w:rPr>
            </w:pPr>
            <w:r>
              <w:rPr>
                <w:sz w:val="18"/>
                <w:szCs w:val="18"/>
              </w:rPr>
              <w:t>占标率/%</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p>
            <w:pPr>
              <w:jc w:val="center"/>
              <w:rPr>
                <w:sz w:val="18"/>
                <w:szCs w:val="18"/>
              </w:rPr>
            </w:pPr>
            <w:r>
              <w:rPr>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0.055</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restar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64.00</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0.061</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0.053</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0.064</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0.053</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0.054</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0.057</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0.10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caps/>
                <w:kern w:val="0"/>
                <w:sz w:val="18"/>
                <w:szCs w:val="18"/>
              </w:rPr>
            </w:pPr>
            <w:r>
              <w:rPr>
                <w:caps/>
                <w:kern w:val="0"/>
                <w:sz w:val="18"/>
                <w:szCs w:val="18"/>
              </w:rPr>
              <w:t>听湖水库</w:t>
            </w:r>
          </w:p>
          <w:p>
            <w:pPr>
              <w:jc w:val="center"/>
              <w:rPr>
                <w:sz w:val="18"/>
                <w:szCs w:val="18"/>
              </w:rPr>
            </w:pPr>
            <w:r>
              <w:rPr>
                <w:caps/>
                <w:kern w:val="0"/>
                <w:sz w:val="18"/>
                <w:szCs w:val="18"/>
              </w:rPr>
              <w:t>（大坝处）</w:t>
            </w:r>
          </w:p>
        </w:tc>
        <w:tc>
          <w:tcPr>
            <w:tcW w:w="1007" w:type="pct"/>
            <w:tcBorders>
              <w:top w:val="single" w:color="auto" w:sz="2" w:space="0"/>
              <w:left w:val="single" w:color="auto" w:sz="4" w:space="0"/>
              <w:bottom w:val="single" w:color="auto" w:sz="2" w:space="0"/>
              <w:right w:val="single" w:color="auto" w:sz="4" w:space="0"/>
              <w:tl2br w:val="single" w:color="auto" w:sz="4" w:space="0"/>
            </w:tcBorders>
            <w:vAlign w:val="center"/>
          </w:tcPr>
          <w:p>
            <w:pPr>
              <w:jc w:val="center"/>
              <w:rPr>
                <w:sz w:val="18"/>
                <w:szCs w:val="18"/>
              </w:rPr>
            </w:pPr>
            <w:r>
              <w:rPr>
                <w:caps/>
                <w:kern w:val="0"/>
                <w:sz w:val="18"/>
                <w:szCs w:val="18"/>
              </w:rPr>
              <w:t xml:space="preserve">       </w:t>
            </w:r>
            <w:r>
              <w:rPr>
                <w:sz w:val="18"/>
                <w:szCs w:val="18"/>
              </w:rPr>
              <w:t>检测项目</w:t>
            </w:r>
          </w:p>
          <w:p>
            <w:pPr>
              <w:widowControl/>
              <w:rPr>
                <w:caps/>
                <w:kern w:val="0"/>
                <w:sz w:val="18"/>
                <w:szCs w:val="18"/>
              </w:rPr>
            </w:pPr>
            <w:r>
              <w:rPr>
                <w:caps/>
                <w:kern w:val="0"/>
                <w:sz w:val="18"/>
                <w:szCs w:val="18"/>
              </w:rPr>
              <w:t>采样时段</w:t>
            </w:r>
          </w:p>
        </w:tc>
        <w:tc>
          <w:tcPr>
            <w:tcW w:w="774" w:type="pct"/>
            <w:tcBorders>
              <w:top w:val="single" w:color="auto" w:sz="2" w:space="0"/>
              <w:left w:val="single" w:color="auto" w:sz="4" w:space="0"/>
              <w:bottom w:val="single" w:color="auto" w:sz="2" w:space="0"/>
              <w:right w:val="single" w:color="auto" w:sz="4" w:space="0"/>
            </w:tcBorders>
            <w:vAlign w:val="center"/>
          </w:tcPr>
          <w:p>
            <w:pPr>
              <w:spacing w:line="240" w:lineRule="exact"/>
              <w:jc w:val="center"/>
              <w:rPr>
                <w:bCs/>
                <w:sz w:val="18"/>
                <w:szCs w:val="18"/>
              </w:rPr>
            </w:pPr>
            <w:r>
              <w:rPr>
                <w:bCs/>
                <w:sz w:val="18"/>
                <w:szCs w:val="18"/>
              </w:rPr>
              <w:t>TSP</w:t>
            </w:r>
            <w:r>
              <w:rPr>
                <w:sz w:val="18"/>
                <w:szCs w:val="18"/>
              </w:rPr>
              <w:t>（</w:t>
            </w:r>
            <w:r>
              <w:rPr>
                <w:bCs/>
                <w:sz w:val="18"/>
                <w:szCs w:val="18"/>
              </w:rPr>
              <w:t>µg/m</w:t>
            </w:r>
            <w:r>
              <w:rPr>
                <w:bCs/>
                <w:sz w:val="18"/>
                <w:szCs w:val="18"/>
                <w:vertAlign w:val="superscript"/>
              </w:rPr>
              <w:t>3</w:t>
            </w:r>
            <w:r>
              <w:rPr>
                <w:sz w:val="18"/>
                <w:szCs w:val="18"/>
              </w:rPr>
              <w:t>）</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770"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最大浓度</w:t>
            </w:r>
          </w:p>
          <w:p>
            <w:pPr>
              <w:jc w:val="center"/>
              <w:rPr>
                <w:sz w:val="18"/>
                <w:szCs w:val="18"/>
              </w:rPr>
            </w:pPr>
            <w:r>
              <w:rPr>
                <w:sz w:val="18"/>
                <w:szCs w:val="18"/>
              </w:rPr>
              <w:t>占标率/%</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p>
            <w:pPr>
              <w:jc w:val="center"/>
              <w:rPr>
                <w:sz w:val="18"/>
                <w:szCs w:val="18"/>
              </w:rPr>
            </w:pPr>
            <w:r>
              <w:rPr>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70.0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restar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62.42</w:t>
            </w: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72.1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74.9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70.7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70.0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71.4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08"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100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7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 xml:space="preserve">74.2 </w:t>
            </w:r>
          </w:p>
        </w:tc>
        <w:tc>
          <w:tcPr>
            <w:tcW w:w="66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120</w:t>
            </w:r>
          </w:p>
        </w:tc>
        <w:tc>
          <w:tcPr>
            <w:tcW w:w="770" w:type="pct"/>
            <w:vMerge w:val="continue"/>
            <w:tcBorders>
              <w:top w:val="single" w:color="auto" w:sz="2" w:space="0"/>
              <w:left w:val="single" w:color="auto" w:sz="4" w:space="0"/>
              <w:bottom w:val="single" w:color="auto" w:sz="2" w:space="0"/>
              <w:right w:val="single" w:color="auto" w:sz="4" w:space="0"/>
            </w:tcBorders>
            <w:vAlign w:val="center"/>
          </w:tcPr>
          <w:p>
            <w:pPr>
              <w:jc w:val="center"/>
              <w:rPr>
                <w:sz w:val="18"/>
                <w:szCs w:val="18"/>
              </w:rPr>
            </w:pPr>
          </w:p>
        </w:tc>
        <w:tc>
          <w:tcPr>
            <w:tcW w:w="614"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565"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bl>
    <w:p>
      <w:pPr>
        <w:widowControl/>
        <w:adjustRightInd w:val="0"/>
        <w:snapToGrid w:val="0"/>
        <w:spacing w:line="360" w:lineRule="auto"/>
        <w:jc w:val="left"/>
        <w:rPr>
          <w:bCs/>
        </w:rPr>
      </w:pPr>
      <w:r>
        <w:rPr>
          <w:b/>
          <w:szCs w:val="21"/>
        </w:rPr>
        <w:t>备注“检出限+L”表示检测结果低于方法检出限</w:t>
      </w:r>
    </w:p>
    <w:p>
      <w:pPr>
        <w:widowControl/>
        <w:adjustRightInd w:val="0"/>
        <w:snapToGrid w:val="0"/>
        <w:spacing w:line="360" w:lineRule="auto"/>
        <w:ind w:firstLine="480"/>
        <w:jc w:val="left"/>
        <w:rPr>
          <w:bCs/>
        </w:rPr>
      </w:pPr>
      <w:r>
        <w:rPr>
          <w:bCs/>
        </w:rPr>
        <w:t>从现状监测结果来看，</w:t>
      </w:r>
      <w:r>
        <w:rPr>
          <w:caps/>
          <w:kern w:val="0"/>
        </w:rPr>
        <w:t>听湖水库（大坝处）</w:t>
      </w:r>
      <w:r>
        <w:rPr>
          <w:bCs/>
        </w:rPr>
        <w:t>测点所监测因子的24小时平均浓度均满足《环境空气质量标准》（GB3095-2012）一级级标准</w:t>
      </w:r>
      <w:r>
        <w:t>要求</w:t>
      </w:r>
      <w:r>
        <w:rPr>
          <w:bCs/>
        </w:rPr>
        <w:t>。</w:t>
      </w:r>
    </w:p>
    <w:p>
      <w:pPr>
        <w:widowControl/>
        <w:adjustRightInd w:val="0"/>
        <w:snapToGrid w:val="0"/>
        <w:rPr>
          <w:b/>
          <w:bCs/>
          <w:u w:val="single"/>
        </w:rPr>
      </w:pPr>
      <w:r>
        <w:rPr>
          <w:rFonts w:hint="eastAsia"/>
          <w:b/>
          <w:bCs/>
          <w:u w:val="single"/>
        </w:rPr>
        <w:t>②</w:t>
      </w:r>
      <w:r>
        <w:rPr>
          <w:b/>
          <w:bCs/>
          <w:u w:val="single"/>
        </w:rPr>
        <w:t>二类区监测结果</w:t>
      </w:r>
    </w:p>
    <w:p>
      <w:pPr>
        <w:pStyle w:val="31"/>
      </w:pPr>
      <w:r>
        <w:t>表</w:t>
      </w:r>
      <w:r>
        <w:rPr>
          <w:rFonts w:hint="eastAsia"/>
        </w:rPr>
        <w:t>5.3-5</w:t>
      </w:r>
      <w:r>
        <w:t xml:space="preserve">  氟化物小时检测结果    （单位：µg/m</w:t>
      </w:r>
      <w:r>
        <w:rPr>
          <w:vertAlign w:val="superscript"/>
        </w:rPr>
        <w:t>3</w:t>
      </w:r>
      <w:r>
        <w:t>）</w:t>
      </w:r>
    </w:p>
    <w:tbl>
      <w:tblPr>
        <w:tblStyle w:val="2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916"/>
        <w:gridCol w:w="1164"/>
        <w:gridCol w:w="1049"/>
        <w:gridCol w:w="838"/>
        <w:gridCol w:w="956"/>
        <w:gridCol w:w="897"/>
        <w:gridCol w:w="1044"/>
        <w:gridCol w:w="832"/>
        <w:gridCol w:w="7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c>
          <w:tcPr>
            <w:tcW w:w="444" w:type="pct"/>
            <w:vMerge w:val="restart"/>
            <w:tcBorders>
              <w:top w:val="single" w:color="auto" w:sz="2" w:space="0"/>
              <w:left w:val="single" w:color="auto" w:sz="2" w:space="0"/>
            </w:tcBorders>
            <w:vAlign w:val="center"/>
          </w:tcPr>
          <w:p>
            <w:pPr>
              <w:jc w:val="center"/>
              <w:rPr>
                <w:sz w:val="18"/>
                <w:szCs w:val="18"/>
              </w:rPr>
            </w:pPr>
            <w:r>
              <w:rPr>
                <w:sz w:val="18"/>
                <w:szCs w:val="18"/>
              </w:rPr>
              <w:t>检测项目</w:t>
            </w:r>
          </w:p>
        </w:tc>
        <w:tc>
          <w:tcPr>
            <w:tcW w:w="493" w:type="pct"/>
            <w:vMerge w:val="restart"/>
            <w:tcBorders>
              <w:top w:val="single" w:color="auto" w:sz="2" w:space="0"/>
            </w:tcBorders>
            <w:vAlign w:val="center"/>
          </w:tcPr>
          <w:p>
            <w:pPr>
              <w:jc w:val="center"/>
              <w:rPr>
                <w:sz w:val="18"/>
                <w:szCs w:val="18"/>
              </w:rPr>
            </w:pPr>
            <w:r>
              <w:rPr>
                <w:sz w:val="18"/>
                <w:szCs w:val="18"/>
              </w:rPr>
              <w:t>采样日期</w:t>
            </w:r>
          </w:p>
        </w:tc>
        <w:tc>
          <w:tcPr>
            <w:tcW w:w="627" w:type="pct"/>
            <w:vMerge w:val="restart"/>
            <w:tcBorders>
              <w:top w:val="single" w:color="auto" w:sz="2" w:space="0"/>
              <w:tl2br w:val="single" w:color="auto" w:sz="4" w:space="0"/>
            </w:tcBorders>
            <w:vAlign w:val="center"/>
          </w:tcPr>
          <w:p>
            <w:pPr>
              <w:jc w:val="center"/>
              <w:rPr>
                <w:sz w:val="18"/>
                <w:szCs w:val="18"/>
              </w:rPr>
            </w:pPr>
            <w:r>
              <w:rPr>
                <w:sz w:val="18"/>
                <w:szCs w:val="18"/>
              </w:rPr>
              <w:t xml:space="preserve">     点位</w:t>
            </w:r>
          </w:p>
          <w:p>
            <w:pPr>
              <w:rPr>
                <w:sz w:val="18"/>
                <w:szCs w:val="18"/>
              </w:rPr>
            </w:pPr>
            <w:r>
              <w:rPr>
                <w:sz w:val="18"/>
                <w:szCs w:val="18"/>
              </w:rPr>
              <w:t>采样时段</w:t>
            </w:r>
          </w:p>
        </w:tc>
        <w:tc>
          <w:tcPr>
            <w:tcW w:w="565" w:type="pct"/>
            <w:vMerge w:val="restart"/>
            <w:tcBorders>
              <w:top w:val="single" w:color="auto" w:sz="2" w:space="0"/>
            </w:tcBorders>
            <w:vAlign w:val="center"/>
          </w:tcPr>
          <w:p>
            <w:pPr>
              <w:jc w:val="center"/>
              <w:rPr>
                <w:sz w:val="18"/>
                <w:szCs w:val="18"/>
              </w:rPr>
            </w:pPr>
            <w:r>
              <w:rPr>
                <w:sz w:val="18"/>
                <w:szCs w:val="18"/>
              </w:rPr>
              <w:t>生产厂区中心</w:t>
            </w:r>
          </w:p>
        </w:tc>
        <w:tc>
          <w:tcPr>
            <w:tcW w:w="966" w:type="pct"/>
            <w:gridSpan w:val="2"/>
            <w:tcBorders>
              <w:top w:val="single" w:color="auto" w:sz="2" w:space="0"/>
              <w:bottom w:val="single" w:color="auto" w:sz="2" w:space="0"/>
            </w:tcBorders>
            <w:vAlign w:val="center"/>
          </w:tcPr>
          <w:p>
            <w:pPr>
              <w:widowControl/>
              <w:adjustRightInd w:val="0"/>
              <w:snapToGrid w:val="0"/>
              <w:jc w:val="center"/>
              <w:rPr>
                <w:bCs/>
                <w:sz w:val="18"/>
                <w:szCs w:val="18"/>
              </w:rPr>
            </w:pPr>
            <w:r>
              <w:rPr>
                <w:sz w:val="18"/>
                <w:szCs w:val="18"/>
              </w:rPr>
              <w:t>监测点坐标/m</w:t>
            </w:r>
          </w:p>
        </w:tc>
        <w:tc>
          <w:tcPr>
            <w:tcW w:w="483"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562"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448"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超标率/%</w:t>
            </w:r>
          </w:p>
        </w:tc>
        <w:tc>
          <w:tcPr>
            <w:tcW w:w="412" w:type="pct"/>
            <w:vMerge w:val="restart"/>
            <w:tcBorders>
              <w:top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left w:val="single" w:color="auto" w:sz="2" w:space="0"/>
              <w:bottom w:val="single" w:color="auto" w:sz="2" w:space="0"/>
            </w:tcBorders>
            <w:vAlign w:val="center"/>
          </w:tcPr>
          <w:p>
            <w:pPr>
              <w:jc w:val="center"/>
              <w:rPr>
                <w:sz w:val="18"/>
                <w:szCs w:val="18"/>
              </w:rPr>
            </w:pPr>
          </w:p>
        </w:tc>
        <w:tc>
          <w:tcPr>
            <w:tcW w:w="493" w:type="pct"/>
            <w:vMerge w:val="continue"/>
            <w:tcBorders>
              <w:bottom w:val="single" w:color="auto" w:sz="2" w:space="0"/>
            </w:tcBorders>
            <w:vAlign w:val="center"/>
          </w:tcPr>
          <w:p>
            <w:pPr>
              <w:jc w:val="center"/>
              <w:rPr>
                <w:sz w:val="18"/>
                <w:szCs w:val="18"/>
              </w:rPr>
            </w:pPr>
          </w:p>
        </w:tc>
        <w:tc>
          <w:tcPr>
            <w:tcW w:w="627" w:type="pct"/>
            <w:vMerge w:val="continue"/>
            <w:tcBorders>
              <w:bottom w:val="single" w:color="auto" w:sz="2" w:space="0"/>
              <w:tl2br w:val="single" w:color="auto" w:sz="4" w:space="0"/>
            </w:tcBorders>
            <w:vAlign w:val="center"/>
          </w:tcPr>
          <w:p>
            <w:pPr>
              <w:jc w:val="center"/>
              <w:rPr>
                <w:sz w:val="18"/>
                <w:szCs w:val="18"/>
              </w:rPr>
            </w:pPr>
          </w:p>
        </w:tc>
        <w:tc>
          <w:tcPr>
            <w:tcW w:w="565" w:type="pct"/>
            <w:vMerge w:val="continue"/>
            <w:tcBorders>
              <w:bottom w:val="single" w:color="auto" w:sz="2" w:space="0"/>
            </w:tcBorders>
            <w:vAlign w:val="center"/>
          </w:tcPr>
          <w:p>
            <w:pPr>
              <w:jc w:val="center"/>
              <w:rPr>
                <w:sz w:val="18"/>
                <w:szCs w:val="18"/>
              </w:rPr>
            </w:pPr>
          </w:p>
        </w:tc>
        <w:tc>
          <w:tcPr>
            <w:tcW w:w="451" w:type="pct"/>
            <w:tcBorders>
              <w:top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bCs/>
                <w:sz w:val="18"/>
                <w:szCs w:val="18"/>
              </w:rPr>
              <w:t>X</w:t>
            </w:r>
          </w:p>
        </w:tc>
        <w:tc>
          <w:tcPr>
            <w:tcW w:w="515" w:type="pct"/>
            <w:tcBorders>
              <w:top w:val="single" w:color="auto" w:sz="2" w:space="0"/>
              <w:left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bCs/>
                <w:sz w:val="18"/>
                <w:szCs w:val="18"/>
              </w:rPr>
              <w:t>Y</w:t>
            </w:r>
          </w:p>
        </w:tc>
        <w:tc>
          <w:tcPr>
            <w:tcW w:w="483" w:type="pct"/>
            <w:vMerge w:val="continue"/>
            <w:tcBorders>
              <w:left w:val="single" w:color="auto" w:sz="2" w:space="0"/>
              <w:bottom w:val="single" w:color="auto" w:sz="2" w:space="0"/>
            </w:tcBorders>
            <w:vAlign w:val="center"/>
          </w:tcPr>
          <w:p>
            <w:pPr>
              <w:widowControl/>
              <w:adjustRightInd w:val="0"/>
              <w:snapToGrid w:val="0"/>
              <w:jc w:val="center"/>
              <w:rPr>
                <w:bCs/>
                <w:sz w:val="18"/>
                <w:szCs w:val="18"/>
              </w:rPr>
            </w:pPr>
          </w:p>
        </w:tc>
        <w:tc>
          <w:tcPr>
            <w:tcW w:w="562" w:type="pct"/>
            <w:vMerge w:val="continue"/>
            <w:tcBorders>
              <w:bottom w:val="single" w:color="auto" w:sz="2" w:space="0"/>
            </w:tcBorders>
            <w:vAlign w:val="center"/>
          </w:tcPr>
          <w:p>
            <w:pPr>
              <w:widowControl/>
              <w:adjustRightInd w:val="0"/>
              <w:snapToGrid w:val="0"/>
              <w:jc w:val="center"/>
              <w:rPr>
                <w:bCs/>
                <w:sz w:val="18"/>
                <w:szCs w:val="18"/>
              </w:rPr>
            </w:pPr>
          </w:p>
        </w:tc>
        <w:tc>
          <w:tcPr>
            <w:tcW w:w="448" w:type="pct"/>
            <w:vMerge w:val="continue"/>
            <w:tcBorders>
              <w:bottom w:val="single" w:color="auto" w:sz="2" w:space="0"/>
            </w:tcBorders>
            <w:vAlign w:val="center"/>
          </w:tcPr>
          <w:p>
            <w:pPr>
              <w:widowControl/>
              <w:adjustRightInd w:val="0"/>
              <w:snapToGrid w:val="0"/>
              <w:jc w:val="center"/>
              <w:rPr>
                <w:bCs/>
                <w:sz w:val="18"/>
                <w:szCs w:val="18"/>
              </w:rPr>
            </w:pPr>
          </w:p>
        </w:tc>
        <w:tc>
          <w:tcPr>
            <w:tcW w:w="412" w:type="pct"/>
            <w:vMerge w:val="continue"/>
            <w:tcBorders>
              <w:bottom w:val="single" w:color="auto" w:sz="2" w:space="0"/>
              <w:right w:val="single" w:color="auto" w:sz="2" w:space="0"/>
            </w:tcBorders>
            <w:vAlign w:val="center"/>
          </w:tcPr>
          <w:p>
            <w:pPr>
              <w:widowControl/>
              <w:adjustRightInd w:val="0"/>
              <w:snapToGrid w:val="0"/>
              <w:jc w:val="left"/>
              <w:rPr>
                <w:bCs/>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493" w:type="pct"/>
            <w:vMerge w:val="restart"/>
            <w:tcBorders>
              <w:top w:val="single" w:color="auto" w:sz="2" w:space="0"/>
              <w:bottom w:val="single" w:color="auto" w:sz="2" w:space="0"/>
            </w:tcBorders>
            <w:vAlign w:val="center"/>
          </w:tcPr>
          <w:p>
            <w:pPr>
              <w:widowControl/>
              <w:jc w:val="center"/>
              <w:rPr>
                <w:kern w:val="0"/>
                <w:sz w:val="18"/>
                <w:szCs w:val="18"/>
              </w:rPr>
            </w:pPr>
            <w:r>
              <w:rPr>
                <w:kern w:val="0"/>
                <w:sz w:val="18"/>
                <w:szCs w:val="18"/>
              </w:rPr>
              <w:t>11月06日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0.00</w:t>
            </w:r>
          </w:p>
        </w:tc>
        <w:tc>
          <w:tcPr>
            <w:tcW w:w="515"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11月07日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0.9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11月08日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0.9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11月09日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11月10日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0.9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11月11日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11月12日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sz w:val="18"/>
                <w:szCs w:val="18"/>
              </w:rPr>
              <w:t>0.00</w:t>
            </w:r>
          </w:p>
        </w:tc>
        <w:tc>
          <w:tcPr>
            <w:tcW w:w="515" w:type="pct"/>
            <w:tcBorders>
              <w:top w:val="single" w:color="auto" w:sz="2" w:space="0"/>
              <w:bottom w:val="single" w:color="auto" w:sz="2" w:space="0"/>
            </w:tcBorders>
            <w:vAlign w:val="center"/>
          </w:tcPr>
          <w:p>
            <w:pPr>
              <w:jc w:val="center"/>
              <w:rPr>
                <w:sz w:val="18"/>
                <w:szCs w:val="18"/>
              </w:rPr>
            </w:pPr>
            <w:r>
              <w:rPr>
                <w:sz w:val="18"/>
                <w:szCs w:val="18"/>
              </w:rPr>
              <w:t>0.00</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检测项目</w:t>
            </w:r>
          </w:p>
        </w:tc>
        <w:tc>
          <w:tcPr>
            <w:tcW w:w="493" w:type="pct"/>
            <w:tcBorders>
              <w:top w:val="single" w:color="auto" w:sz="2" w:space="0"/>
              <w:bottom w:val="single" w:color="auto" w:sz="2" w:space="0"/>
            </w:tcBorders>
            <w:vAlign w:val="center"/>
          </w:tcPr>
          <w:p>
            <w:pPr>
              <w:jc w:val="center"/>
              <w:rPr>
                <w:sz w:val="18"/>
                <w:szCs w:val="18"/>
              </w:rPr>
            </w:pPr>
            <w:r>
              <w:rPr>
                <w:sz w:val="18"/>
                <w:szCs w:val="18"/>
              </w:rPr>
              <w:t>采样日期</w:t>
            </w:r>
          </w:p>
        </w:tc>
        <w:tc>
          <w:tcPr>
            <w:tcW w:w="627" w:type="pct"/>
            <w:tcBorders>
              <w:top w:val="single" w:color="auto" w:sz="2" w:space="0"/>
              <w:bottom w:val="single" w:color="auto" w:sz="2" w:space="0"/>
              <w:tl2br w:val="single" w:color="auto" w:sz="4" w:space="0"/>
            </w:tcBorders>
            <w:vAlign w:val="center"/>
          </w:tcPr>
          <w:p>
            <w:pPr>
              <w:jc w:val="center"/>
              <w:rPr>
                <w:sz w:val="18"/>
                <w:szCs w:val="18"/>
              </w:rPr>
            </w:pPr>
            <w:r>
              <w:rPr>
                <w:sz w:val="18"/>
                <w:szCs w:val="18"/>
              </w:rPr>
              <w:t xml:space="preserve">      点位</w:t>
            </w:r>
          </w:p>
          <w:p>
            <w:pPr>
              <w:rPr>
                <w:sz w:val="18"/>
                <w:szCs w:val="18"/>
              </w:rPr>
            </w:pPr>
            <w:r>
              <w:rPr>
                <w:sz w:val="18"/>
                <w:szCs w:val="18"/>
              </w:rPr>
              <w:t>采样时段</w:t>
            </w:r>
          </w:p>
        </w:tc>
        <w:tc>
          <w:tcPr>
            <w:tcW w:w="565" w:type="pct"/>
            <w:tcBorders>
              <w:top w:val="single" w:color="auto" w:sz="2" w:space="0"/>
              <w:bottom w:val="single" w:color="auto" w:sz="2" w:space="0"/>
            </w:tcBorders>
            <w:vAlign w:val="center"/>
          </w:tcPr>
          <w:p>
            <w:pPr>
              <w:jc w:val="center"/>
              <w:rPr>
                <w:sz w:val="18"/>
                <w:szCs w:val="18"/>
              </w:rPr>
            </w:pPr>
            <w:r>
              <w:rPr>
                <w:sz w:val="18"/>
                <w:szCs w:val="18"/>
              </w:rPr>
              <w:t>马鞍山村</w:t>
            </w:r>
          </w:p>
        </w:tc>
        <w:tc>
          <w:tcPr>
            <w:tcW w:w="451" w:type="pct"/>
            <w:tcBorders>
              <w:top w:val="single" w:color="auto" w:sz="2" w:space="0"/>
              <w:bottom w:val="single" w:color="auto" w:sz="2" w:space="0"/>
            </w:tcBorders>
            <w:vAlign w:val="center"/>
          </w:tcPr>
          <w:p>
            <w:pPr>
              <w:widowControl/>
              <w:adjustRightInd w:val="0"/>
              <w:snapToGrid w:val="0"/>
              <w:jc w:val="center"/>
              <w:rPr>
                <w:bCs/>
                <w:sz w:val="18"/>
                <w:szCs w:val="18"/>
              </w:rPr>
            </w:pPr>
            <w:r>
              <w:rPr>
                <w:kern w:val="0"/>
                <w:sz w:val="18"/>
                <w:szCs w:val="18"/>
              </w:rPr>
              <w:t>-225</w:t>
            </w:r>
          </w:p>
        </w:tc>
        <w:tc>
          <w:tcPr>
            <w:tcW w:w="515" w:type="pct"/>
            <w:tcBorders>
              <w:top w:val="single" w:color="auto" w:sz="2" w:space="0"/>
              <w:bottom w:val="single" w:color="auto" w:sz="2" w:space="0"/>
            </w:tcBorders>
            <w:vAlign w:val="center"/>
          </w:tcPr>
          <w:p>
            <w:pPr>
              <w:widowControl/>
              <w:adjustRightInd w:val="0"/>
              <w:snapToGrid w:val="0"/>
              <w:jc w:val="center"/>
              <w:rPr>
                <w:bCs/>
                <w:sz w:val="18"/>
                <w:szCs w:val="18"/>
              </w:rPr>
            </w:pPr>
            <w:r>
              <w:rPr>
                <w:kern w:val="0"/>
                <w:sz w:val="18"/>
                <w:szCs w:val="18"/>
              </w:rPr>
              <w:t>1788</w:t>
            </w:r>
          </w:p>
        </w:tc>
        <w:tc>
          <w:tcPr>
            <w:tcW w:w="48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562"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最大浓度</w:t>
            </w:r>
          </w:p>
          <w:p>
            <w:pPr>
              <w:widowControl/>
              <w:adjustRightInd w:val="0"/>
              <w:snapToGrid w:val="0"/>
              <w:jc w:val="center"/>
              <w:rPr>
                <w:bCs/>
                <w:sz w:val="18"/>
                <w:szCs w:val="18"/>
              </w:rPr>
            </w:pPr>
            <w:r>
              <w:rPr>
                <w:bCs/>
                <w:sz w:val="18"/>
                <w:szCs w:val="18"/>
              </w:rPr>
              <w:t>占标率/%</w:t>
            </w:r>
          </w:p>
        </w:tc>
        <w:tc>
          <w:tcPr>
            <w:tcW w:w="448"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超标率/%</w:t>
            </w:r>
          </w:p>
        </w:tc>
        <w:tc>
          <w:tcPr>
            <w:tcW w:w="412" w:type="pct"/>
            <w:tcBorders>
              <w:top w:val="single" w:color="auto" w:sz="2" w:space="0"/>
              <w:bottom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w:t>
            </w:r>
          </w:p>
          <w:p>
            <w:pPr>
              <w:widowControl/>
              <w:adjustRightInd w:val="0"/>
              <w:snapToGrid w:val="0"/>
              <w:jc w:val="left"/>
              <w:rPr>
                <w:bCs/>
                <w:sz w:val="18"/>
                <w:szCs w:val="18"/>
              </w:rPr>
            </w:pPr>
            <w:r>
              <w:rPr>
                <w:bCs/>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493" w:type="pct"/>
            <w:vMerge w:val="restart"/>
            <w:tcBorders>
              <w:top w:val="single" w:color="auto" w:sz="2" w:space="0"/>
              <w:bottom w:val="single" w:color="auto" w:sz="2" w:space="0"/>
            </w:tcBorders>
            <w:vAlign w:val="center"/>
          </w:tcPr>
          <w:p>
            <w:pPr>
              <w:widowControl/>
              <w:jc w:val="center"/>
              <w:rPr>
                <w:kern w:val="0"/>
                <w:sz w:val="18"/>
                <w:szCs w:val="18"/>
              </w:rPr>
            </w:pPr>
            <w:r>
              <w:rPr>
                <w:kern w:val="0"/>
                <w:sz w:val="18"/>
                <w:szCs w:val="18"/>
              </w:rPr>
              <w:t>11月06日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0.9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11月07日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11月08日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0.9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11月09日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p>
          <w:p>
            <w:pPr>
              <w:jc w:val="center"/>
              <w:rPr>
                <w:sz w:val="18"/>
                <w:szCs w:val="18"/>
              </w:rPr>
            </w:pPr>
          </w:p>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11月10日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11月11日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11月12日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493" w:type="pct"/>
            <w:tcBorders>
              <w:top w:val="single" w:color="auto" w:sz="2" w:space="0"/>
              <w:bottom w:val="single" w:color="auto" w:sz="2" w:space="0"/>
            </w:tcBorders>
            <w:vAlign w:val="center"/>
          </w:tcPr>
          <w:p>
            <w:pPr>
              <w:jc w:val="center"/>
              <w:rPr>
                <w:sz w:val="18"/>
                <w:szCs w:val="18"/>
              </w:rPr>
            </w:pPr>
            <w:r>
              <w:rPr>
                <w:sz w:val="18"/>
                <w:szCs w:val="18"/>
              </w:rPr>
              <w:t>采样日期</w:t>
            </w:r>
          </w:p>
        </w:tc>
        <w:tc>
          <w:tcPr>
            <w:tcW w:w="627" w:type="pct"/>
            <w:tcBorders>
              <w:top w:val="single" w:color="auto" w:sz="2" w:space="0"/>
              <w:bottom w:val="single" w:color="auto" w:sz="2" w:space="0"/>
              <w:tl2br w:val="single" w:color="auto" w:sz="4" w:space="0"/>
            </w:tcBorders>
            <w:vAlign w:val="center"/>
          </w:tcPr>
          <w:p>
            <w:pPr>
              <w:jc w:val="center"/>
              <w:rPr>
                <w:sz w:val="18"/>
                <w:szCs w:val="18"/>
              </w:rPr>
            </w:pPr>
            <w:r>
              <w:rPr>
                <w:sz w:val="18"/>
                <w:szCs w:val="18"/>
              </w:rPr>
              <w:t xml:space="preserve">      点位</w:t>
            </w:r>
          </w:p>
          <w:p>
            <w:pPr>
              <w:rPr>
                <w:sz w:val="18"/>
                <w:szCs w:val="18"/>
              </w:rPr>
            </w:pPr>
            <w:r>
              <w:rPr>
                <w:sz w:val="18"/>
                <w:szCs w:val="18"/>
              </w:rPr>
              <w:t>采样时段</w:t>
            </w:r>
          </w:p>
        </w:tc>
        <w:tc>
          <w:tcPr>
            <w:tcW w:w="565" w:type="pct"/>
            <w:tcBorders>
              <w:top w:val="single" w:color="auto" w:sz="2" w:space="0"/>
              <w:bottom w:val="single" w:color="auto" w:sz="2" w:space="0"/>
            </w:tcBorders>
            <w:vAlign w:val="center"/>
          </w:tcPr>
          <w:p>
            <w:pPr>
              <w:jc w:val="center"/>
              <w:rPr>
                <w:sz w:val="18"/>
                <w:szCs w:val="18"/>
              </w:rPr>
            </w:pPr>
            <w:r>
              <w:rPr>
                <w:sz w:val="18"/>
                <w:szCs w:val="18"/>
              </w:rPr>
              <w:t>布标村</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562" w:type="pct"/>
            <w:tcBorders>
              <w:top w:val="single" w:color="auto" w:sz="2" w:space="0"/>
              <w:bottom w:val="single" w:color="auto" w:sz="2" w:space="0"/>
            </w:tcBorders>
            <w:vAlign w:val="center"/>
          </w:tcPr>
          <w:p>
            <w:pPr>
              <w:jc w:val="center"/>
              <w:rPr>
                <w:sz w:val="18"/>
                <w:szCs w:val="18"/>
              </w:rPr>
            </w:pPr>
            <w:r>
              <w:rPr>
                <w:bCs/>
                <w:sz w:val="18"/>
                <w:szCs w:val="18"/>
              </w:rPr>
              <w:t>最大浓度占标率/%</w:t>
            </w:r>
          </w:p>
        </w:tc>
        <w:tc>
          <w:tcPr>
            <w:tcW w:w="448"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超标率/%</w:t>
            </w:r>
          </w:p>
        </w:tc>
        <w:tc>
          <w:tcPr>
            <w:tcW w:w="412" w:type="pct"/>
            <w:tcBorders>
              <w:top w:val="single" w:color="auto" w:sz="2" w:space="0"/>
              <w:bottom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w:t>
            </w:r>
          </w:p>
          <w:p>
            <w:pPr>
              <w:widowControl/>
              <w:adjustRightInd w:val="0"/>
              <w:snapToGrid w:val="0"/>
              <w:jc w:val="left"/>
              <w:rPr>
                <w:bCs/>
                <w:sz w:val="18"/>
                <w:szCs w:val="18"/>
              </w:rPr>
            </w:pPr>
            <w:r>
              <w:rPr>
                <w:bCs/>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493" w:type="pct"/>
            <w:vMerge w:val="restart"/>
            <w:tcBorders>
              <w:top w:val="single" w:color="auto" w:sz="2" w:space="0"/>
              <w:bottom w:val="single" w:color="auto" w:sz="2" w:space="0"/>
            </w:tcBorders>
            <w:vAlign w:val="center"/>
          </w:tcPr>
          <w:p>
            <w:pPr>
              <w:widowControl/>
              <w:jc w:val="center"/>
              <w:rPr>
                <w:kern w:val="0"/>
                <w:sz w:val="18"/>
                <w:szCs w:val="18"/>
              </w:rPr>
            </w:pPr>
            <w:r>
              <w:rPr>
                <w:kern w:val="0"/>
                <w:sz w:val="18"/>
                <w:szCs w:val="18"/>
              </w:rPr>
              <w:t>11月06日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11月07日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11月08日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11月09日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11月10日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11月11日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11月12日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jc w:val="center"/>
              <w:rPr>
                <w:sz w:val="18"/>
                <w:szCs w:val="18"/>
              </w:rPr>
            </w:pPr>
            <w:r>
              <w:rPr>
                <w:kern w:val="0"/>
                <w:sz w:val="18"/>
                <w:szCs w:val="18"/>
              </w:rPr>
              <w:t>-225</w:t>
            </w:r>
          </w:p>
        </w:tc>
        <w:tc>
          <w:tcPr>
            <w:tcW w:w="515" w:type="pct"/>
            <w:tcBorders>
              <w:top w:val="single" w:color="auto" w:sz="2" w:space="0"/>
              <w:bottom w:val="single" w:color="auto" w:sz="2" w:space="0"/>
            </w:tcBorders>
            <w:vAlign w:val="center"/>
          </w:tcPr>
          <w:p>
            <w:pPr>
              <w:jc w:val="center"/>
              <w:rPr>
                <w:sz w:val="18"/>
                <w:szCs w:val="18"/>
              </w:rPr>
            </w:pPr>
            <w:r>
              <w:rPr>
                <w:kern w:val="0"/>
                <w:sz w:val="18"/>
                <w:szCs w:val="18"/>
              </w:rPr>
              <w:t>1788</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检测项目</w:t>
            </w:r>
          </w:p>
        </w:tc>
        <w:tc>
          <w:tcPr>
            <w:tcW w:w="493" w:type="pct"/>
            <w:tcBorders>
              <w:top w:val="single" w:color="auto" w:sz="2" w:space="0"/>
              <w:bottom w:val="single" w:color="auto" w:sz="2" w:space="0"/>
            </w:tcBorders>
            <w:vAlign w:val="center"/>
          </w:tcPr>
          <w:p>
            <w:pPr>
              <w:jc w:val="center"/>
              <w:rPr>
                <w:sz w:val="18"/>
                <w:szCs w:val="18"/>
              </w:rPr>
            </w:pPr>
            <w:r>
              <w:rPr>
                <w:sz w:val="18"/>
                <w:szCs w:val="18"/>
              </w:rPr>
              <w:t>采样日期</w:t>
            </w:r>
          </w:p>
        </w:tc>
        <w:tc>
          <w:tcPr>
            <w:tcW w:w="627" w:type="pct"/>
            <w:tcBorders>
              <w:top w:val="single" w:color="auto" w:sz="2" w:space="0"/>
              <w:bottom w:val="single" w:color="auto" w:sz="2" w:space="0"/>
              <w:tl2br w:val="single" w:color="auto" w:sz="4" w:space="0"/>
            </w:tcBorders>
            <w:vAlign w:val="center"/>
          </w:tcPr>
          <w:p>
            <w:pPr>
              <w:jc w:val="right"/>
              <w:rPr>
                <w:sz w:val="18"/>
                <w:szCs w:val="18"/>
              </w:rPr>
            </w:pPr>
            <w:r>
              <w:rPr>
                <w:sz w:val="18"/>
                <w:szCs w:val="18"/>
              </w:rPr>
              <w:t xml:space="preserve"> 点位</w:t>
            </w:r>
          </w:p>
          <w:p>
            <w:pPr>
              <w:rPr>
                <w:sz w:val="18"/>
                <w:szCs w:val="18"/>
              </w:rPr>
            </w:pPr>
            <w:r>
              <w:rPr>
                <w:sz w:val="18"/>
                <w:szCs w:val="18"/>
              </w:rPr>
              <w:t>采样时段</w:t>
            </w:r>
          </w:p>
        </w:tc>
        <w:tc>
          <w:tcPr>
            <w:tcW w:w="565" w:type="pct"/>
            <w:tcBorders>
              <w:top w:val="single" w:color="auto" w:sz="2" w:space="0"/>
              <w:bottom w:val="single" w:color="auto" w:sz="2" w:space="0"/>
            </w:tcBorders>
            <w:vAlign w:val="center"/>
          </w:tcPr>
          <w:p>
            <w:pPr>
              <w:jc w:val="center"/>
              <w:rPr>
                <w:sz w:val="18"/>
                <w:szCs w:val="18"/>
              </w:rPr>
            </w:pPr>
            <w:r>
              <w:rPr>
                <w:sz w:val="18"/>
                <w:szCs w:val="18"/>
              </w:rPr>
              <w:t>县城边界</w:t>
            </w:r>
          </w:p>
          <w:p>
            <w:pPr>
              <w:jc w:val="center"/>
              <w:rPr>
                <w:sz w:val="18"/>
                <w:szCs w:val="18"/>
              </w:rPr>
            </w:pPr>
            <w:r>
              <w:rPr>
                <w:sz w:val="18"/>
                <w:szCs w:val="18"/>
              </w:rPr>
              <w:t>(新农村上寨)</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562"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最大浓度占标率/%</w:t>
            </w:r>
          </w:p>
        </w:tc>
        <w:tc>
          <w:tcPr>
            <w:tcW w:w="448"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超标率/%</w:t>
            </w:r>
          </w:p>
        </w:tc>
        <w:tc>
          <w:tcPr>
            <w:tcW w:w="412" w:type="pct"/>
            <w:tcBorders>
              <w:top w:val="single" w:color="auto" w:sz="2" w:space="0"/>
              <w:bottom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493" w:type="pct"/>
            <w:vMerge w:val="restart"/>
            <w:tcBorders>
              <w:top w:val="single" w:color="auto" w:sz="2" w:space="0"/>
              <w:bottom w:val="single" w:color="auto" w:sz="2" w:space="0"/>
            </w:tcBorders>
            <w:vAlign w:val="center"/>
          </w:tcPr>
          <w:p>
            <w:pPr>
              <w:widowControl/>
              <w:jc w:val="center"/>
              <w:rPr>
                <w:kern w:val="0"/>
                <w:sz w:val="18"/>
                <w:szCs w:val="18"/>
              </w:rPr>
            </w:pPr>
            <w:r>
              <w:rPr>
                <w:kern w:val="0"/>
                <w:sz w:val="18"/>
                <w:szCs w:val="18"/>
              </w:rPr>
              <w:t>11月06日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p>
          <w:p>
            <w:pPr>
              <w:jc w:val="center"/>
              <w:rPr>
                <w:sz w:val="18"/>
                <w:szCs w:val="18"/>
              </w:rPr>
            </w:pPr>
          </w:p>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11月07日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11月08日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11月09日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11月10日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11月11日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11月12日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-2840</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-5081</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检测项目</w:t>
            </w:r>
          </w:p>
        </w:tc>
        <w:tc>
          <w:tcPr>
            <w:tcW w:w="493" w:type="pct"/>
            <w:tcBorders>
              <w:top w:val="single" w:color="auto" w:sz="2" w:space="0"/>
              <w:bottom w:val="single" w:color="auto" w:sz="2" w:space="0"/>
            </w:tcBorders>
            <w:vAlign w:val="center"/>
          </w:tcPr>
          <w:p>
            <w:pPr>
              <w:jc w:val="center"/>
              <w:rPr>
                <w:sz w:val="18"/>
                <w:szCs w:val="18"/>
              </w:rPr>
            </w:pPr>
            <w:r>
              <w:rPr>
                <w:sz w:val="18"/>
                <w:szCs w:val="18"/>
              </w:rPr>
              <w:t>采样日期</w:t>
            </w:r>
          </w:p>
        </w:tc>
        <w:tc>
          <w:tcPr>
            <w:tcW w:w="627" w:type="pct"/>
            <w:tcBorders>
              <w:top w:val="single" w:color="auto" w:sz="2" w:space="0"/>
              <w:bottom w:val="single" w:color="auto" w:sz="2" w:space="0"/>
              <w:tl2br w:val="single" w:color="auto" w:sz="4" w:space="0"/>
            </w:tcBorders>
            <w:vAlign w:val="center"/>
          </w:tcPr>
          <w:p>
            <w:pPr>
              <w:jc w:val="center"/>
              <w:rPr>
                <w:sz w:val="18"/>
                <w:szCs w:val="18"/>
              </w:rPr>
            </w:pPr>
            <w:r>
              <w:rPr>
                <w:sz w:val="18"/>
                <w:szCs w:val="18"/>
              </w:rPr>
              <w:t xml:space="preserve">      点位</w:t>
            </w:r>
          </w:p>
          <w:p>
            <w:pPr>
              <w:rPr>
                <w:sz w:val="18"/>
                <w:szCs w:val="18"/>
              </w:rPr>
            </w:pPr>
            <w:r>
              <w:rPr>
                <w:sz w:val="18"/>
                <w:szCs w:val="18"/>
              </w:rPr>
              <w:t>采样时段</w:t>
            </w:r>
          </w:p>
        </w:tc>
        <w:tc>
          <w:tcPr>
            <w:tcW w:w="565" w:type="pct"/>
            <w:tcBorders>
              <w:top w:val="single" w:color="auto" w:sz="2" w:space="0"/>
              <w:bottom w:val="single" w:color="auto" w:sz="2" w:space="0"/>
            </w:tcBorders>
            <w:vAlign w:val="center"/>
          </w:tcPr>
          <w:p>
            <w:pPr>
              <w:jc w:val="center"/>
              <w:rPr>
                <w:bCs/>
                <w:sz w:val="18"/>
                <w:szCs w:val="18"/>
              </w:rPr>
            </w:pPr>
            <w:r>
              <w:rPr>
                <w:bCs/>
                <w:sz w:val="18"/>
                <w:szCs w:val="18"/>
              </w:rPr>
              <w:t>小舍克村</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562"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最大浓度占标率/%</w:t>
            </w:r>
          </w:p>
        </w:tc>
        <w:tc>
          <w:tcPr>
            <w:tcW w:w="448"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超标率/%</w:t>
            </w:r>
          </w:p>
        </w:tc>
        <w:tc>
          <w:tcPr>
            <w:tcW w:w="412" w:type="pct"/>
            <w:tcBorders>
              <w:top w:val="single" w:color="auto" w:sz="2" w:space="0"/>
              <w:bottom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493" w:type="pct"/>
            <w:vMerge w:val="restart"/>
            <w:tcBorders>
              <w:top w:val="single" w:color="auto" w:sz="2" w:space="0"/>
              <w:bottom w:val="single" w:color="auto" w:sz="2" w:space="0"/>
            </w:tcBorders>
            <w:vAlign w:val="center"/>
          </w:tcPr>
          <w:p>
            <w:pPr>
              <w:widowControl/>
              <w:jc w:val="center"/>
              <w:rPr>
                <w:kern w:val="0"/>
                <w:sz w:val="18"/>
                <w:szCs w:val="18"/>
              </w:rPr>
            </w:pPr>
            <w:r>
              <w:rPr>
                <w:kern w:val="0"/>
                <w:sz w:val="18"/>
                <w:szCs w:val="18"/>
              </w:rPr>
              <w:t>11月06日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493" w:type="pct"/>
            <w:vMerge w:val="continue"/>
            <w:tcBorders>
              <w:top w:val="single" w:color="auto" w:sz="2" w:space="0"/>
              <w:bottom w:val="single" w:color="auto" w:sz="2" w:space="0"/>
            </w:tcBorders>
            <w:vAlign w:val="center"/>
          </w:tcPr>
          <w:p>
            <w:pPr>
              <w:widowControl/>
              <w:jc w:val="center"/>
              <w:rPr>
                <w:kern w:val="0"/>
                <w:sz w:val="18"/>
                <w:szCs w:val="18"/>
              </w:rPr>
            </w:pPr>
          </w:p>
        </w:tc>
        <w:tc>
          <w:tcPr>
            <w:tcW w:w="627" w:type="pct"/>
            <w:tcBorders>
              <w:top w:val="single" w:color="auto" w:sz="2" w:space="0"/>
              <w:bottom w:val="single" w:color="auto" w:sz="2" w:space="0"/>
            </w:tcBorders>
            <w:vAlign w:val="center"/>
          </w:tcPr>
          <w:p>
            <w:pPr>
              <w:jc w:val="center"/>
              <w:rPr>
                <w:kern w:val="0"/>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11月07日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0.5L</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0.9</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11月08日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0.9</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11月09日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3.50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11月10日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0.9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0.5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11月11日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4.00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0.6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restart"/>
            <w:tcBorders>
              <w:top w:val="single" w:color="auto" w:sz="2" w:space="0"/>
              <w:bottom w:val="single" w:color="auto" w:sz="2" w:space="0"/>
            </w:tcBorders>
            <w:vAlign w:val="center"/>
          </w:tcPr>
          <w:p>
            <w:pPr>
              <w:jc w:val="center"/>
              <w:rPr>
                <w:sz w:val="18"/>
                <w:szCs w:val="18"/>
              </w:rPr>
            </w:pPr>
            <w:r>
              <w:rPr>
                <w:kern w:val="0"/>
                <w:sz w:val="18"/>
                <w:szCs w:val="18"/>
              </w:rPr>
              <w:t>11月12日</w:t>
            </w:r>
          </w:p>
        </w:tc>
        <w:tc>
          <w:tcPr>
            <w:tcW w:w="627" w:type="pct"/>
            <w:tcBorders>
              <w:top w:val="single" w:color="auto" w:sz="2" w:space="0"/>
              <w:bottom w:val="single" w:color="auto" w:sz="2" w:space="0"/>
            </w:tcBorders>
            <w:vAlign w:val="center"/>
          </w:tcPr>
          <w:p>
            <w:pPr>
              <w:jc w:val="center"/>
              <w:rPr>
                <w:sz w:val="18"/>
                <w:szCs w:val="18"/>
              </w:rPr>
            </w:pPr>
            <w:r>
              <w:rPr>
                <w:sz w:val="18"/>
                <w:szCs w:val="18"/>
              </w:rPr>
              <w:t>02:00-03:00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0.7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restart"/>
            <w:tcBorders>
              <w:top w:val="single" w:color="auto" w:sz="2" w:space="0"/>
            </w:tcBorders>
            <w:vAlign w:val="center"/>
          </w:tcPr>
          <w:p>
            <w:pPr>
              <w:jc w:val="center"/>
              <w:rPr>
                <w:sz w:val="18"/>
                <w:szCs w:val="18"/>
              </w:rPr>
            </w:pPr>
            <w:r>
              <w:rPr>
                <w:sz w:val="18"/>
                <w:szCs w:val="18"/>
              </w:rPr>
              <w:t>4.50</w:t>
            </w: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08:00-09:00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14:00-15:00</w:t>
            </w:r>
          </w:p>
        </w:tc>
        <w:tc>
          <w:tcPr>
            <w:tcW w:w="565" w:type="pct"/>
            <w:tcBorders>
              <w:top w:val="single" w:color="auto" w:sz="2" w:space="0"/>
              <w:bottom w:val="single" w:color="auto" w:sz="2" w:space="0"/>
            </w:tcBorders>
            <w:vAlign w:val="center"/>
          </w:tcPr>
          <w:p>
            <w:pPr>
              <w:jc w:val="center"/>
              <w:rPr>
                <w:sz w:val="18"/>
                <w:szCs w:val="18"/>
              </w:rPr>
            </w:pPr>
            <w:r>
              <w:rPr>
                <w:sz w:val="18"/>
                <w:szCs w:val="18"/>
              </w:rPr>
              <w:t xml:space="preserve">0.8 </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44"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493" w:type="pct"/>
            <w:vMerge w:val="continue"/>
            <w:tcBorders>
              <w:top w:val="single" w:color="auto" w:sz="2" w:space="0"/>
              <w:bottom w:val="single" w:color="auto" w:sz="2" w:space="0"/>
            </w:tcBorders>
            <w:vAlign w:val="center"/>
          </w:tcPr>
          <w:p>
            <w:pPr>
              <w:jc w:val="center"/>
              <w:rPr>
                <w:kern w:val="0"/>
                <w:sz w:val="18"/>
                <w:szCs w:val="18"/>
              </w:rPr>
            </w:pPr>
          </w:p>
        </w:tc>
        <w:tc>
          <w:tcPr>
            <w:tcW w:w="627" w:type="pct"/>
            <w:tcBorders>
              <w:top w:val="single" w:color="auto" w:sz="2" w:space="0"/>
              <w:bottom w:val="single" w:color="auto" w:sz="2" w:space="0"/>
            </w:tcBorders>
            <w:vAlign w:val="center"/>
          </w:tcPr>
          <w:p>
            <w:pPr>
              <w:jc w:val="center"/>
              <w:rPr>
                <w:sz w:val="18"/>
                <w:szCs w:val="18"/>
              </w:rPr>
            </w:pPr>
            <w:r>
              <w:rPr>
                <w:sz w:val="18"/>
                <w:szCs w:val="18"/>
              </w:rPr>
              <w:t>20:00-21:00</w:t>
            </w:r>
          </w:p>
        </w:tc>
        <w:tc>
          <w:tcPr>
            <w:tcW w:w="565" w:type="pct"/>
            <w:tcBorders>
              <w:top w:val="single" w:color="auto" w:sz="2" w:space="0"/>
              <w:bottom w:val="single" w:color="auto" w:sz="2" w:space="0"/>
            </w:tcBorders>
            <w:vAlign w:val="center"/>
          </w:tcPr>
          <w:p>
            <w:pPr>
              <w:jc w:val="center"/>
              <w:rPr>
                <w:sz w:val="18"/>
                <w:szCs w:val="18"/>
              </w:rPr>
            </w:pPr>
            <w:r>
              <w:rPr>
                <w:sz w:val="18"/>
                <w:szCs w:val="18"/>
              </w:rPr>
              <w:t>0.9</w:t>
            </w:r>
          </w:p>
        </w:tc>
        <w:tc>
          <w:tcPr>
            <w:tcW w:w="451" w:type="pct"/>
            <w:tcBorders>
              <w:top w:val="single" w:color="auto" w:sz="2" w:space="0"/>
              <w:bottom w:val="single" w:color="auto" w:sz="2" w:space="0"/>
            </w:tcBorders>
            <w:vAlign w:val="center"/>
          </w:tcPr>
          <w:p>
            <w:pPr>
              <w:widowControl/>
              <w:jc w:val="center"/>
              <w:rPr>
                <w:kern w:val="0"/>
                <w:sz w:val="18"/>
                <w:szCs w:val="18"/>
              </w:rPr>
            </w:pPr>
            <w:r>
              <w:rPr>
                <w:kern w:val="0"/>
                <w:sz w:val="18"/>
                <w:szCs w:val="18"/>
              </w:rPr>
              <w:t>-5493</w:t>
            </w:r>
          </w:p>
        </w:tc>
        <w:tc>
          <w:tcPr>
            <w:tcW w:w="515" w:type="pct"/>
            <w:tcBorders>
              <w:top w:val="single" w:color="auto" w:sz="2" w:space="0"/>
              <w:bottom w:val="single" w:color="auto" w:sz="2" w:space="0"/>
            </w:tcBorders>
            <w:vAlign w:val="center"/>
          </w:tcPr>
          <w:p>
            <w:pPr>
              <w:widowControl/>
              <w:jc w:val="center"/>
              <w:rPr>
                <w:kern w:val="0"/>
                <w:sz w:val="18"/>
                <w:szCs w:val="18"/>
              </w:rPr>
            </w:pPr>
            <w:r>
              <w:rPr>
                <w:kern w:val="0"/>
                <w:sz w:val="18"/>
                <w:szCs w:val="18"/>
              </w:rPr>
              <w:t>443</w:t>
            </w:r>
          </w:p>
        </w:tc>
        <w:tc>
          <w:tcPr>
            <w:tcW w:w="483" w:type="pct"/>
            <w:tcBorders>
              <w:top w:val="single" w:color="auto" w:sz="2" w:space="0"/>
              <w:bottom w:val="single" w:color="auto" w:sz="2" w:space="0"/>
            </w:tcBorders>
            <w:vAlign w:val="center"/>
          </w:tcPr>
          <w:p>
            <w:pPr>
              <w:jc w:val="center"/>
              <w:rPr>
                <w:sz w:val="18"/>
                <w:szCs w:val="18"/>
              </w:rPr>
            </w:pPr>
            <w:r>
              <w:rPr>
                <w:sz w:val="18"/>
                <w:szCs w:val="18"/>
              </w:rPr>
              <w:t>20</w:t>
            </w:r>
          </w:p>
        </w:tc>
        <w:tc>
          <w:tcPr>
            <w:tcW w:w="562" w:type="pct"/>
            <w:vMerge w:val="continue"/>
            <w:tcBorders>
              <w:bottom w:val="single" w:color="auto" w:sz="2" w:space="0"/>
            </w:tcBorders>
            <w:vAlign w:val="center"/>
          </w:tcPr>
          <w:p>
            <w:pPr>
              <w:jc w:val="center"/>
              <w:rPr>
                <w:sz w:val="18"/>
                <w:szCs w:val="18"/>
              </w:rPr>
            </w:pPr>
          </w:p>
        </w:tc>
        <w:tc>
          <w:tcPr>
            <w:tcW w:w="448" w:type="pct"/>
            <w:tcBorders>
              <w:top w:val="single" w:color="auto" w:sz="2" w:space="0"/>
              <w:bottom w:val="single" w:color="auto" w:sz="2" w:space="0"/>
            </w:tcBorders>
            <w:vAlign w:val="center"/>
          </w:tcPr>
          <w:p>
            <w:pPr>
              <w:jc w:val="center"/>
              <w:rPr>
                <w:sz w:val="18"/>
                <w:szCs w:val="18"/>
              </w:rPr>
            </w:pPr>
            <w:r>
              <w:rPr>
                <w:sz w:val="18"/>
                <w:szCs w:val="18"/>
              </w:rPr>
              <w:t>0</w:t>
            </w:r>
          </w:p>
        </w:tc>
        <w:tc>
          <w:tcPr>
            <w:tcW w:w="412"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bl>
    <w:p>
      <w:pPr>
        <w:pStyle w:val="44"/>
        <w:jc w:val="both"/>
      </w:pPr>
      <w:r>
        <w:t>备注“检出限+L”表示检测结果低于方法检出限</w:t>
      </w:r>
    </w:p>
    <w:p>
      <w:pPr>
        <w:pStyle w:val="7"/>
        <w:ind w:firstLine="480"/>
      </w:pPr>
      <w:r>
        <w:t>从现状监测结果来看，各监测点所监测的氟化物1小时平均浓度均满足《环境空气质量标准》（GB3095-2012）二级标准要求。</w:t>
      </w:r>
    </w:p>
    <w:p>
      <w:pPr>
        <w:pStyle w:val="31"/>
      </w:pPr>
      <w:r>
        <w:t>表</w:t>
      </w:r>
      <w:r>
        <w:rPr>
          <w:rFonts w:hint="eastAsia"/>
        </w:rPr>
        <w:t>5.3-6</w:t>
      </w:r>
      <w:r>
        <w:t xml:space="preserve">  氟化物24小时平均值浓度检测结果</w:t>
      </w:r>
      <w:r>
        <w:rPr>
          <w:rFonts w:hint="eastAsia"/>
        </w:rPr>
        <w:t xml:space="preserve">   </w:t>
      </w:r>
      <w:r>
        <w:t>单位：µg/m</w:t>
      </w:r>
      <w:r>
        <w:rPr>
          <w:vertAlign w:val="superscript"/>
        </w:rPr>
        <w:t>3</w:t>
      </w:r>
    </w:p>
    <w:tbl>
      <w:tblPr>
        <w:tblStyle w:val="2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1307"/>
        <w:gridCol w:w="1309"/>
        <w:gridCol w:w="971"/>
        <w:gridCol w:w="971"/>
        <w:gridCol w:w="971"/>
        <w:gridCol w:w="1131"/>
        <w:gridCol w:w="902"/>
        <w:gridCol w:w="8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tcBorders>
            <w:vAlign w:val="center"/>
          </w:tcPr>
          <w:p>
            <w:pPr>
              <w:jc w:val="center"/>
              <w:rPr>
                <w:sz w:val="18"/>
                <w:szCs w:val="18"/>
              </w:rPr>
            </w:pPr>
            <w:r>
              <w:rPr>
                <w:sz w:val="18"/>
                <w:szCs w:val="18"/>
              </w:rPr>
              <w:t>检测项目</w:t>
            </w:r>
          </w:p>
        </w:tc>
        <w:tc>
          <w:tcPr>
            <w:tcW w:w="704" w:type="pct"/>
            <w:vMerge w:val="restart"/>
            <w:tcBorders>
              <w:top w:val="single" w:color="auto" w:sz="2" w:space="0"/>
              <w:tl2br w:val="single" w:color="auto" w:sz="4" w:space="0"/>
            </w:tcBorders>
            <w:vAlign w:val="center"/>
          </w:tcPr>
          <w:p>
            <w:pPr>
              <w:jc w:val="right"/>
              <w:rPr>
                <w:sz w:val="18"/>
                <w:szCs w:val="18"/>
              </w:rPr>
            </w:pPr>
            <w:r>
              <w:rPr>
                <w:rFonts w:hint="eastAsia"/>
                <w:sz w:val="18"/>
                <w:szCs w:val="18"/>
              </w:rPr>
              <w:t xml:space="preserve">     </w:t>
            </w:r>
            <w:r>
              <w:rPr>
                <w:sz w:val="18"/>
                <w:szCs w:val="18"/>
              </w:rPr>
              <w:t>点位</w:t>
            </w:r>
          </w:p>
          <w:p>
            <w:pPr>
              <w:rPr>
                <w:sz w:val="18"/>
                <w:szCs w:val="18"/>
              </w:rPr>
            </w:pPr>
            <w:r>
              <w:rPr>
                <w:sz w:val="18"/>
                <w:szCs w:val="18"/>
              </w:rPr>
              <w:t>采样时段</w:t>
            </w:r>
          </w:p>
        </w:tc>
        <w:tc>
          <w:tcPr>
            <w:tcW w:w="705" w:type="pct"/>
            <w:vMerge w:val="restart"/>
            <w:tcBorders>
              <w:top w:val="single" w:color="auto" w:sz="2" w:space="0"/>
            </w:tcBorders>
            <w:vAlign w:val="center"/>
          </w:tcPr>
          <w:p>
            <w:pPr>
              <w:jc w:val="center"/>
              <w:rPr>
                <w:bCs/>
                <w:sz w:val="18"/>
                <w:szCs w:val="18"/>
              </w:rPr>
            </w:pPr>
            <w:r>
              <w:rPr>
                <w:sz w:val="18"/>
                <w:szCs w:val="18"/>
              </w:rPr>
              <w:t>生产厂区中心</w:t>
            </w:r>
          </w:p>
        </w:tc>
        <w:tc>
          <w:tcPr>
            <w:tcW w:w="1046" w:type="pct"/>
            <w:gridSpan w:val="2"/>
            <w:tcBorders>
              <w:top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sz w:val="18"/>
                <w:szCs w:val="18"/>
              </w:rPr>
              <w:t>监测点坐标/m</w:t>
            </w:r>
          </w:p>
        </w:tc>
        <w:tc>
          <w:tcPr>
            <w:tcW w:w="523" w:type="pct"/>
            <w:vMerge w:val="restart"/>
            <w:tcBorders>
              <w:top w:val="single" w:color="auto" w:sz="2" w:space="0"/>
              <w:left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609"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浓度占标率/%</w:t>
            </w:r>
          </w:p>
        </w:tc>
        <w:tc>
          <w:tcPr>
            <w:tcW w:w="485"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超标率/%</w:t>
            </w:r>
          </w:p>
        </w:tc>
        <w:tc>
          <w:tcPr>
            <w:tcW w:w="447" w:type="pct"/>
            <w:vMerge w:val="restart"/>
            <w:tcBorders>
              <w:top w:val="single" w:color="auto" w:sz="2" w:space="0"/>
              <w:right w:val="single" w:color="auto" w:sz="2" w:space="0"/>
            </w:tcBorders>
            <w:vAlign w:val="center"/>
          </w:tcPr>
          <w:p>
            <w:pPr>
              <w:widowControl/>
              <w:adjustRightInd w:val="0"/>
              <w:snapToGrid w:val="0"/>
              <w:jc w:val="center"/>
              <w:rPr>
                <w:bCs/>
                <w:sz w:val="18"/>
                <w:szCs w:val="18"/>
              </w:rPr>
            </w:pPr>
            <w:r>
              <w:rPr>
                <w:bCs/>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left w:val="single" w:color="auto" w:sz="2" w:space="0"/>
              <w:bottom w:val="single" w:color="auto" w:sz="2" w:space="0"/>
            </w:tcBorders>
            <w:vAlign w:val="center"/>
          </w:tcPr>
          <w:p>
            <w:pPr>
              <w:jc w:val="center"/>
              <w:rPr>
                <w:sz w:val="18"/>
                <w:szCs w:val="18"/>
              </w:rPr>
            </w:pPr>
          </w:p>
        </w:tc>
        <w:tc>
          <w:tcPr>
            <w:tcW w:w="704" w:type="pct"/>
            <w:vMerge w:val="continue"/>
            <w:tcBorders>
              <w:bottom w:val="single" w:color="auto" w:sz="2" w:space="0"/>
              <w:tl2br w:val="single" w:color="auto" w:sz="4" w:space="0"/>
            </w:tcBorders>
            <w:vAlign w:val="center"/>
          </w:tcPr>
          <w:p>
            <w:pPr>
              <w:jc w:val="center"/>
              <w:rPr>
                <w:sz w:val="18"/>
                <w:szCs w:val="18"/>
              </w:rPr>
            </w:pPr>
          </w:p>
        </w:tc>
        <w:tc>
          <w:tcPr>
            <w:tcW w:w="705" w:type="pct"/>
            <w:vMerge w:val="continue"/>
            <w:tcBorders>
              <w:bottom w:val="single" w:color="auto" w:sz="2" w:space="0"/>
            </w:tcBorders>
            <w:vAlign w:val="center"/>
          </w:tcPr>
          <w:p>
            <w:pPr>
              <w:jc w:val="center"/>
              <w:rPr>
                <w:sz w:val="18"/>
                <w:szCs w:val="18"/>
              </w:rPr>
            </w:pPr>
          </w:p>
        </w:tc>
        <w:tc>
          <w:tcPr>
            <w:tcW w:w="523" w:type="pct"/>
            <w:tcBorders>
              <w:top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left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vMerge w:val="continue"/>
            <w:tcBorders>
              <w:left w:val="single" w:color="auto" w:sz="2" w:space="0"/>
              <w:bottom w:val="single" w:color="auto" w:sz="2" w:space="0"/>
            </w:tcBorders>
            <w:vAlign w:val="center"/>
          </w:tcPr>
          <w:p>
            <w:pPr>
              <w:widowControl/>
              <w:adjustRightInd w:val="0"/>
              <w:snapToGrid w:val="0"/>
              <w:jc w:val="center"/>
              <w:rPr>
                <w:bCs/>
                <w:sz w:val="18"/>
                <w:szCs w:val="18"/>
              </w:rPr>
            </w:pPr>
          </w:p>
        </w:tc>
        <w:tc>
          <w:tcPr>
            <w:tcW w:w="609" w:type="pct"/>
            <w:vMerge w:val="continue"/>
            <w:tcBorders>
              <w:bottom w:val="single" w:color="auto" w:sz="2" w:space="0"/>
            </w:tcBorders>
            <w:vAlign w:val="center"/>
          </w:tcPr>
          <w:p>
            <w:pPr>
              <w:widowControl/>
              <w:adjustRightInd w:val="0"/>
              <w:snapToGrid w:val="0"/>
              <w:jc w:val="center"/>
              <w:rPr>
                <w:bCs/>
                <w:sz w:val="18"/>
                <w:szCs w:val="18"/>
              </w:rPr>
            </w:pPr>
          </w:p>
        </w:tc>
        <w:tc>
          <w:tcPr>
            <w:tcW w:w="485" w:type="pct"/>
            <w:vMerge w:val="continue"/>
            <w:tcBorders>
              <w:bottom w:val="single" w:color="auto" w:sz="2" w:space="0"/>
            </w:tcBorders>
            <w:vAlign w:val="center"/>
          </w:tcPr>
          <w:p>
            <w:pPr>
              <w:widowControl/>
              <w:adjustRightInd w:val="0"/>
              <w:snapToGrid w:val="0"/>
              <w:jc w:val="center"/>
              <w:rPr>
                <w:bCs/>
                <w:sz w:val="18"/>
                <w:szCs w:val="18"/>
              </w:rPr>
            </w:pPr>
          </w:p>
        </w:tc>
        <w:tc>
          <w:tcPr>
            <w:tcW w:w="447" w:type="pct"/>
            <w:vMerge w:val="continue"/>
            <w:tcBorders>
              <w:bottom w:val="single" w:color="auto" w:sz="2" w:space="0"/>
              <w:right w:val="single" w:color="auto" w:sz="2" w:space="0"/>
            </w:tcBorders>
            <w:vAlign w:val="center"/>
          </w:tcPr>
          <w:p>
            <w:pPr>
              <w:widowControl/>
              <w:adjustRightInd w:val="0"/>
              <w:snapToGrid w:val="0"/>
              <w:jc w:val="center"/>
              <w:rPr>
                <w:bCs/>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704" w:type="pct"/>
            <w:tcBorders>
              <w:top w:val="single" w:color="auto" w:sz="2" w:space="0"/>
              <w:bottom w:val="single" w:color="auto" w:sz="2" w:space="0"/>
            </w:tcBorders>
            <w:vAlign w:val="center"/>
          </w:tcPr>
          <w:p>
            <w:pPr>
              <w:jc w:val="center"/>
              <w:rPr>
                <w:sz w:val="18"/>
                <w:szCs w:val="18"/>
              </w:rPr>
            </w:pPr>
            <w:r>
              <w:rPr>
                <w:sz w:val="18"/>
                <w:szCs w:val="18"/>
              </w:rPr>
              <w:t>11月06日</w:t>
            </w:r>
          </w:p>
        </w:tc>
        <w:tc>
          <w:tcPr>
            <w:tcW w:w="705" w:type="pct"/>
            <w:tcBorders>
              <w:top w:val="single" w:color="auto" w:sz="2" w:space="0"/>
              <w:bottom w:val="single" w:color="auto" w:sz="2" w:space="0"/>
            </w:tcBorders>
            <w:vAlign w:val="center"/>
          </w:tcPr>
          <w:p>
            <w:pPr>
              <w:jc w:val="center"/>
              <w:rPr>
                <w:sz w:val="18"/>
                <w:szCs w:val="18"/>
              </w:rPr>
            </w:pPr>
            <w:r>
              <w:rPr>
                <w:sz w:val="18"/>
                <w:szCs w:val="18"/>
              </w:rPr>
              <w:t>0.73</w:t>
            </w:r>
          </w:p>
        </w:tc>
        <w:tc>
          <w:tcPr>
            <w:tcW w:w="523" w:type="pct"/>
            <w:tcBorders>
              <w:top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left w:val="single" w:color="auto" w:sz="2" w:space="0"/>
              <w:bottom w:val="single" w:color="auto" w:sz="2" w:space="0"/>
              <w:right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10.43</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bottom w:val="single" w:color="auto" w:sz="2" w:space="0"/>
            </w:tcBorders>
            <w:vAlign w:val="center"/>
          </w:tcPr>
          <w:p>
            <w:pPr>
              <w:jc w:val="center"/>
              <w:rPr>
                <w:sz w:val="18"/>
                <w:szCs w:val="18"/>
              </w:rPr>
            </w:pPr>
            <w:r>
              <w:rPr>
                <w:sz w:val="18"/>
                <w:szCs w:val="18"/>
              </w:rPr>
              <w:t>11月07日</w:t>
            </w:r>
          </w:p>
        </w:tc>
        <w:tc>
          <w:tcPr>
            <w:tcW w:w="705" w:type="pct"/>
            <w:tcBorders>
              <w:top w:val="single" w:color="auto" w:sz="2" w:space="0"/>
              <w:bottom w:val="single" w:color="auto" w:sz="2" w:space="0"/>
            </w:tcBorders>
            <w:vAlign w:val="center"/>
          </w:tcPr>
          <w:p>
            <w:pPr>
              <w:jc w:val="center"/>
              <w:rPr>
                <w:sz w:val="18"/>
                <w:szCs w:val="18"/>
              </w:rPr>
            </w:pPr>
            <w:r>
              <w:rPr>
                <w:sz w:val="18"/>
                <w:szCs w:val="18"/>
              </w:rPr>
              <w:t>0.64</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9.14</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bottom w:val="single" w:color="auto" w:sz="2" w:space="0"/>
            </w:tcBorders>
            <w:vAlign w:val="center"/>
          </w:tcPr>
          <w:p>
            <w:pPr>
              <w:jc w:val="center"/>
              <w:rPr>
                <w:sz w:val="18"/>
                <w:szCs w:val="18"/>
              </w:rPr>
            </w:pPr>
            <w:r>
              <w:rPr>
                <w:sz w:val="18"/>
                <w:szCs w:val="18"/>
              </w:rPr>
              <w:t>11月08日</w:t>
            </w:r>
          </w:p>
        </w:tc>
        <w:tc>
          <w:tcPr>
            <w:tcW w:w="705" w:type="pct"/>
            <w:tcBorders>
              <w:top w:val="single" w:color="auto" w:sz="2" w:space="0"/>
              <w:bottom w:val="single" w:color="auto" w:sz="2" w:space="0"/>
            </w:tcBorders>
            <w:vAlign w:val="center"/>
          </w:tcPr>
          <w:p>
            <w:pPr>
              <w:jc w:val="center"/>
              <w:rPr>
                <w:sz w:val="18"/>
                <w:szCs w:val="18"/>
              </w:rPr>
            </w:pPr>
            <w:r>
              <w:rPr>
                <w:sz w:val="18"/>
                <w:szCs w:val="18"/>
              </w:rPr>
              <w:t>0.68</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9.71</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bottom w:val="single" w:color="auto" w:sz="2" w:space="0"/>
            </w:tcBorders>
            <w:vAlign w:val="center"/>
          </w:tcPr>
          <w:p>
            <w:pPr>
              <w:jc w:val="center"/>
              <w:rPr>
                <w:sz w:val="18"/>
                <w:szCs w:val="18"/>
              </w:rPr>
            </w:pPr>
            <w:r>
              <w:rPr>
                <w:sz w:val="18"/>
                <w:szCs w:val="18"/>
              </w:rPr>
              <w:t>11月09日</w:t>
            </w:r>
          </w:p>
        </w:tc>
        <w:tc>
          <w:tcPr>
            <w:tcW w:w="705" w:type="pct"/>
            <w:tcBorders>
              <w:top w:val="single" w:color="auto" w:sz="2" w:space="0"/>
              <w:bottom w:val="single" w:color="auto" w:sz="2" w:space="0"/>
            </w:tcBorders>
            <w:vAlign w:val="center"/>
          </w:tcPr>
          <w:p>
            <w:pPr>
              <w:jc w:val="center"/>
              <w:rPr>
                <w:sz w:val="18"/>
                <w:szCs w:val="18"/>
              </w:rPr>
            </w:pPr>
            <w:r>
              <w:rPr>
                <w:sz w:val="18"/>
                <w:szCs w:val="18"/>
              </w:rPr>
              <w:t>0.51</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7.29</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bottom w:val="single" w:color="auto" w:sz="2" w:space="0"/>
            </w:tcBorders>
            <w:vAlign w:val="center"/>
          </w:tcPr>
          <w:p>
            <w:pPr>
              <w:jc w:val="center"/>
              <w:rPr>
                <w:sz w:val="18"/>
                <w:szCs w:val="18"/>
              </w:rPr>
            </w:pPr>
            <w:r>
              <w:rPr>
                <w:sz w:val="18"/>
                <w:szCs w:val="18"/>
              </w:rPr>
              <w:t>11月10日</w:t>
            </w:r>
          </w:p>
        </w:tc>
        <w:tc>
          <w:tcPr>
            <w:tcW w:w="705" w:type="pct"/>
            <w:tcBorders>
              <w:top w:val="single" w:color="auto" w:sz="2" w:space="0"/>
              <w:bottom w:val="single" w:color="auto" w:sz="2" w:space="0"/>
            </w:tcBorders>
            <w:vAlign w:val="center"/>
          </w:tcPr>
          <w:p>
            <w:pPr>
              <w:jc w:val="center"/>
              <w:rPr>
                <w:sz w:val="18"/>
                <w:szCs w:val="18"/>
              </w:rPr>
            </w:pPr>
            <w:r>
              <w:rPr>
                <w:sz w:val="18"/>
                <w:szCs w:val="18"/>
              </w:rPr>
              <w:t>0.62</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8.86</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bottom w:val="single" w:color="auto" w:sz="2" w:space="0"/>
            </w:tcBorders>
            <w:vAlign w:val="center"/>
          </w:tcPr>
          <w:p>
            <w:pPr>
              <w:jc w:val="center"/>
              <w:rPr>
                <w:sz w:val="18"/>
                <w:szCs w:val="18"/>
              </w:rPr>
            </w:pPr>
            <w:r>
              <w:rPr>
                <w:sz w:val="18"/>
                <w:szCs w:val="18"/>
              </w:rPr>
              <w:t>11月11日</w:t>
            </w:r>
          </w:p>
        </w:tc>
        <w:tc>
          <w:tcPr>
            <w:tcW w:w="705" w:type="pct"/>
            <w:tcBorders>
              <w:top w:val="single" w:color="auto" w:sz="2" w:space="0"/>
              <w:bottom w:val="single" w:color="auto" w:sz="2" w:space="0"/>
            </w:tcBorders>
            <w:vAlign w:val="center"/>
          </w:tcPr>
          <w:p>
            <w:pPr>
              <w:jc w:val="center"/>
              <w:rPr>
                <w:sz w:val="18"/>
                <w:szCs w:val="18"/>
              </w:rPr>
            </w:pPr>
            <w:r>
              <w:rPr>
                <w:sz w:val="18"/>
                <w:szCs w:val="18"/>
              </w:rPr>
              <w:t>0.56</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8.00</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bottom w:val="single" w:color="auto" w:sz="2" w:space="0"/>
            </w:tcBorders>
            <w:vAlign w:val="center"/>
          </w:tcPr>
          <w:p>
            <w:pPr>
              <w:jc w:val="center"/>
              <w:rPr>
                <w:sz w:val="18"/>
                <w:szCs w:val="18"/>
              </w:rPr>
            </w:pPr>
            <w:r>
              <w:rPr>
                <w:sz w:val="18"/>
                <w:szCs w:val="18"/>
              </w:rPr>
              <w:t>11月12日</w:t>
            </w:r>
          </w:p>
        </w:tc>
        <w:tc>
          <w:tcPr>
            <w:tcW w:w="705" w:type="pct"/>
            <w:tcBorders>
              <w:top w:val="single" w:color="auto" w:sz="2" w:space="0"/>
              <w:bottom w:val="single" w:color="auto" w:sz="2" w:space="0"/>
            </w:tcBorders>
            <w:vAlign w:val="center"/>
          </w:tcPr>
          <w:p>
            <w:pPr>
              <w:jc w:val="center"/>
              <w:rPr>
                <w:sz w:val="18"/>
                <w:szCs w:val="18"/>
              </w:rPr>
            </w:pPr>
            <w:r>
              <w:rPr>
                <w:sz w:val="18"/>
                <w:szCs w:val="18"/>
              </w:rPr>
              <w:t>0.63</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widowControl/>
              <w:adjustRightInd w:val="0"/>
              <w:snapToGrid w:val="0"/>
              <w:jc w:val="center"/>
              <w:rPr>
                <w:bCs/>
                <w:sz w:val="18"/>
                <w:szCs w:val="18"/>
              </w:rPr>
            </w:pPr>
            <w:r>
              <w:rPr>
                <w:bCs/>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7</w:t>
            </w:r>
          </w:p>
        </w:tc>
        <w:tc>
          <w:tcPr>
            <w:tcW w:w="609" w:type="pct"/>
            <w:tcBorders>
              <w:top w:val="single" w:color="auto" w:sz="2" w:space="0"/>
              <w:bottom w:val="single" w:color="auto" w:sz="2" w:space="0"/>
            </w:tcBorders>
            <w:vAlign w:val="center"/>
          </w:tcPr>
          <w:p>
            <w:pPr>
              <w:jc w:val="center"/>
              <w:rPr>
                <w:sz w:val="18"/>
                <w:szCs w:val="18"/>
              </w:rPr>
            </w:pPr>
            <w:r>
              <w:rPr>
                <w:sz w:val="18"/>
                <w:szCs w:val="18"/>
              </w:rPr>
              <w:t>9.00</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7"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04"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right"/>
              <w:rPr>
                <w:caps/>
                <w:kern w:val="0"/>
                <w:sz w:val="18"/>
                <w:szCs w:val="18"/>
              </w:rPr>
            </w:pPr>
            <w:r>
              <w:rPr>
                <w:caps/>
                <w:kern w:val="0"/>
                <w:sz w:val="18"/>
                <w:szCs w:val="18"/>
              </w:rPr>
              <w:t>点位</w:t>
            </w:r>
          </w:p>
          <w:p>
            <w:pPr>
              <w:widowControl/>
              <w:rPr>
                <w:caps/>
                <w:kern w:val="0"/>
                <w:sz w:val="18"/>
                <w:szCs w:val="18"/>
              </w:rPr>
            </w:pPr>
            <w:r>
              <w:rPr>
                <w:caps/>
                <w:kern w:val="0"/>
                <w:sz w:val="18"/>
                <w:szCs w:val="18"/>
              </w:rPr>
              <w:t>采样时段</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马鞍山村</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9.00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7.14</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0.56</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8.29</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0.62</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8.86</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7.14</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9.29</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04"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right"/>
              <w:rPr>
                <w:caps/>
                <w:kern w:val="0"/>
                <w:sz w:val="18"/>
                <w:szCs w:val="18"/>
              </w:rPr>
            </w:pPr>
            <w:r>
              <w:rPr>
                <w:caps/>
                <w:kern w:val="0"/>
                <w:sz w:val="18"/>
                <w:szCs w:val="18"/>
              </w:rPr>
              <w:t>点位</w:t>
            </w:r>
          </w:p>
          <w:p>
            <w:pPr>
              <w:widowControl/>
              <w:rPr>
                <w:caps/>
                <w:kern w:val="0"/>
                <w:sz w:val="18"/>
                <w:szCs w:val="18"/>
              </w:rPr>
            </w:pPr>
            <w:r>
              <w:rPr>
                <w:caps/>
                <w:kern w:val="0"/>
                <w:sz w:val="18"/>
                <w:szCs w:val="18"/>
              </w:rPr>
              <w:t>采样时段</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布标村</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8.71</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0.38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5.43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0.35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5.00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0.44</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6.29</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0.44</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6.29</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0.42</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6.00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检测项目</w:t>
            </w:r>
          </w:p>
        </w:tc>
        <w:tc>
          <w:tcPr>
            <w:tcW w:w="704"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right"/>
              <w:rPr>
                <w:caps/>
                <w:kern w:val="0"/>
                <w:sz w:val="18"/>
                <w:szCs w:val="18"/>
              </w:rPr>
            </w:pPr>
            <w:r>
              <w:rPr>
                <w:caps/>
                <w:kern w:val="0"/>
                <w:sz w:val="18"/>
                <w:szCs w:val="18"/>
              </w:rPr>
              <w:t>点位</w:t>
            </w:r>
          </w:p>
          <w:p>
            <w:pPr>
              <w:widowControl/>
              <w:rPr>
                <w:caps/>
                <w:kern w:val="0"/>
                <w:sz w:val="18"/>
                <w:szCs w:val="18"/>
              </w:rPr>
            </w:pPr>
            <w:r>
              <w:rPr>
                <w:caps/>
                <w:kern w:val="0"/>
                <w:sz w:val="18"/>
                <w:szCs w:val="18"/>
              </w:rPr>
              <w:t>采样时段</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县城边界</w:t>
            </w:r>
          </w:p>
          <w:p>
            <w:pPr>
              <w:jc w:val="center"/>
              <w:rPr>
                <w:sz w:val="18"/>
                <w:szCs w:val="18"/>
              </w:rPr>
            </w:pPr>
            <w:r>
              <w:rPr>
                <w:sz w:val="18"/>
                <w:szCs w:val="18"/>
              </w:rPr>
              <w:t>(新农村上寨)</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0.52</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0.52</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7.86</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9.29</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04"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right"/>
              <w:rPr>
                <w:caps/>
                <w:kern w:val="0"/>
                <w:sz w:val="18"/>
                <w:szCs w:val="18"/>
              </w:rPr>
            </w:pPr>
            <w:r>
              <w:rPr>
                <w:caps/>
                <w:kern w:val="0"/>
                <w:sz w:val="18"/>
                <w:szCs w:val="18"/>
              </w:rPr>
              <w:t>点位</w:t>
            </w:r>
          </w:p>
          <w:p>
            <w:pPr>
              <w:widowControl/>
              <w:rPr>
                <w:caps/>
                <w:kern w:val="0"/>
                <w:sz w:val="18"/>
                <w:szCs w:val="18"/>
              </w:rPr>
            </w:pPr>
            <w:r>
              <w:rPr>
                <w:caps/>
                <w:kern w:val="0"/>
                <w:sz w:val="18"/>
                <w:szCs w:val="18"/>
              </w:rPr>
              <w:t>采样时段</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bCs/>
                <w:sz w:val="18"/>
                <w:szCs w:val="18"/>
              </w:rPr>
              <w:t>小舍克村</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氟化物</w:t>
            </w: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8.71</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8.71</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0.62</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8.86</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0.57</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8.14</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0.70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10.00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0.68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9.71</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04"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70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0.71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10.14</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7"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bl>
    <w:p>
      <w:pPr>
        <w:pStyle w:val="7"/>
        <w:ind w:firstLine="480"/>
      </w:pPr>
      <w:r>
        <w:t>从现状监测结果来看，各监测点所监测的氟化物24小时平均浓度均满足《环境空气质量标准》（GB3095-2012）二级标准要求。</w:t>
      </w:r>
    </w:p>
    <w:p>
      <w:pPr>
        <w:pStyle w:val="31"/>
      </w:pPr>
      <w:r>
        <w:t>表</w:t>
      </w:r>
      <w:r>
        <w:rPr>
          <w:rFonts w:hint="eastAsia"/>
        </w:rPr>
        <w:t>5.3-7</w:t>
      </w:r>
      <w:r>
        <w:t xml:space="preserve">  TSP  24小时平均浓度检测结果</w:t>
      </w:r>
      <w:r>
        <w:rPr>
          <w:rFonts w:hint="eastAsia"/>
        </w:rPr>
        <w:t xml:space="preserve">    </w:t>
      </w:r>
      <w:r>
        <w:t>单位：µg/m</w:t>
      </w:r>
      <w:r>
        <w:rPr>
          <w:vertAlign w:val="superscript"/>
        </w:rPr>
        <w:t>3</w:t>
      </w:r>
    </w:p>
    <w:tbl>
      <w:tblPr>
        <w:tblStyle w:val="2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1480"/>
        <w:gridCol w:w="1137"/>
        <w:gridCol w:w="971"/>
        <w:gridCol w:w="977"/>
        <w:gridCol w:w="971"/>
        <w:gridCol w:w="1131"/>
        <w:gridCol w:w="901"/>
        <w:gridCol w:w="82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81" w:type="pct"/>
            <w:vMerge w:val="restart"/>
            <w:tcBorders>
              <w:top w:val="single" w:color="auto" w:sz="2" w:space="0"/>
              <w:left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97" w:type="pct"/>
            <w:vMerge w:val="restart"/>
            <w:tcBorders>
              <w:top w:val="single" w:color="auto" w:sz="2" w:space="0"/>
              <w:tl2br w:val="single" w:color="auto" w:sz="4" w:space="0"/>
            </w:tcBorders>
            <w:vAlign w:val="center"/>
          </w:tcPr>
          <w:p>
            <w:pPr>
              <w:jc w:val="center"/>
              <w:rPr>
                <w:sz w:val="18"/>
                <w:szCs w:val="18"/>
              </w:rPr>
            </w:pPr>
            <w:r>
              <w:rPr>
                <w:sz w:val="18"/>
                <w:szCs w:val="18"/>
              </w:rPr>
              <w:t xml:space="preserve">      点位</w:t>
            </w:r>
          </w:p>
          <w:p>
            <w:pPr>
              <w:rPr>
                <w:sz w:val="18"/>
                <w:szCs w:val="18"/>
              </w:rPr>
            </w:pPr>
            <w:r>
              <w:rPr>
                <w:sz w:val="18"/>
                <w:szCs w:val="18"/>
              </w:rPr>
              <w:t>采样时段</w:t>
            </w:r>
          </w:p>
        </w:tc>
        <w:tc>
          <w:tcPr>
            <w:tcW w:w="612" w:type="pct"/>
            <w:vMerge w:val="restart"/>
            <w:tcBorders>
              <w:top w:val="single" w:color="auto" w:sz="2" w:space="0"/>
            </w:tcBorders>
            <w:vAlign w:val="center"/>
          </w:tcPr>
          <w:p>
            <w:pPr>
              <w:jc w:val="center"/>
              <w:rPr>
                <w:sz w:val="18"/>
                <w:szCs w:val="18"/>
              </w:rPr>
            </w:pPr>
            <w:r>
              <w:rPr>
                <w:sz w:val="18"/>
                <w:szCs w:val="18"/>
              </w:rPr>
              <w:t>生产厂区中心</w:t>
            </w:r>
          </w:p>
        </w:tc>
        <w:tc>
          <w:tcPr>
            <w:tcW w:w="1049" w:type="pct"/>
            <w:gridSpan w:val="2"/>
            <w:tcBorders>
              <w:top w:val="single" w:color="auto" w:sz="2" w:space="0"/>
              <w:bottom w:val="single" w:color="auto" w:sz="2" w:space="0"/>
            </w:tcBorders>
          </w:tcPr>
          <w:p>
            <w:pPr>
              <w:widowControl/>
              <w:adjustRightInd w:val="0"/>
              <w:snapToGrid w:val="0"/>
              <w:jc w:val="center"/>
              <w:rPr>
                <w:bCs/>
                <w:sz w:val="18"/>
                <w:szCs w:val="18"/>
              </w:rPr>
            </w:pPr>
            <w:r>
              <w:rPr>
                <w:sz w:val="18"/>
                <w:szCs w:val="18"/>
              </w:rPr>
              <w:t>监测点坐标/m</w:t>
            </w:r>
          </w:p>
        </w:tc>
        <w:tc>
          <w:tcPr>
            <w:tcW w:w="523"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标准</w:t>
            </w:r>
            <w:r>
              <w:rPr>
                <w:sz w:val="18"/>
                <w:szCs w:val="18"/>
              </w:rPr>
              <w:t>值</w:t>
            </w:r>
          </w:p>
        </w:tc>
        <w:tc>
          <w:tcPr>
            <w:tcW w:w="609"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浓度占标率/%</w:t>
            </w:r>
          </w:p>
        </w:tc>
        <w:tc>
          <w:tcPr>
            <w:tcW w:w="485"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超标率/%</w:t>
            </w:r>
          </w:p>
        </w:tc>
        <w:tc>
          <w:tcPr>
            <w:tcW w:w="444" w:type="pct"/>
            <w:vMerge w:val="restart"/>
            <w:tcBorders>
              <w:top w:val="single" w:color="auto" w:sz="2" w:space="0"/>
              <w:right w:val="single" w:color="auto" w:sz="2" w:space="0"/>
            </w:tcBorders>
            <w:vAlign w:val="center"/>
          </w:tcPr>
          <w:p>
            <w:pPr>
              <w:widowControl/>
              <w:adjustRightInd w:val="0"/>
              <w:snapToGrid w:val="0"/>
              <w:jc w:val="left"/>
              <w:rPr>
                <w:bCs/>
                <w:sz w:val="18"/>
                <w:szCs w:val="18"/>
              </w:rPr>
            </w:pPr>
            <w:r>
              <w:rPr>
                <w:bCs/>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481" w:type="pct"/>
            <w:vMerge w:val="continue"/>
            <w:tcBorders>
              <w:left w:val="single" w:color="auto" w:sz="2" w:space="0"/>
              <w:bottom w:val="single" w:color="auto" w:sz="2" w:space="0"/>
            </w:tcBorders>
            <w:vAlign w:val="center"/>
          </w:tcPr>
          <w:p>
            <w:pPr>
              <w:jc w:val="center"/>
              <w:rPr>
                <w:sz w:val="18"/>
                <w:szCs w:val="18"/>
              </w:rPr>
            </w:pPr>
          </w:p>
        </w:tc>
        <w:tc>
          <w:tcPr>
            <w:tcW w:w="797" w:type="pct"/>
            <w:vMerge w:val="continue"/>
            <w:tcBorders>
              <w:bottom w:val="single" w:color="auto" w:sz="2" w:space="0"/>
              <w:tl2br w:val="single" w:color="auto" w:sz="4" w:space="0"/>
            </w:tcBorders>
            <w:vAlign w:val="center"/>
          </w:tcPr>
          <w:p>
            <w:pPr>
              <w:jc w:val="center"/>
              <w:rPr>
                <w:sz w:val="18"/>
                <w:szCs w:val="18"/>
              </w:rPr>
            </w:pPr>
          </w:p>
        </w:tc>
        <w:tc>
          <w:tcPr>
            <w:tcW w:w="612" w:type="pct"/>
            <w:vMerge w:val="continue"/>
            <w:tcBorders>
              <w:bottom w:val="single" w:color="auto" w:sz="2" w:space="0"/>
            </w:tcBorders>
            <w:vAlign w:val="center"/>
          </w:tcPr>
          <w:p>
            <w:pPr>
              <w:jc w:val="center"/>
              <w:rPr>
                <w:sz w:val="18"/>
                <w:szCs w:val="18"/>
              </w:rPr>
            </w:pPr>
          </w:p>
        </w:tc>
        <w:tc>
          <w:tcPr>
            <w:tcW w:w="523" w:type="pct"/>
            <w:tcBorders>
              <w:top w:val="single" w:color="auto" w:sz="2" w:space="0"/>
              <w:bottom w:val="single" w:color="auto" w:sz="2" w:space="0"/>
              <w:right w:val="single" w:color="auto" w:sz="2" w:space="0"/>
            </w:tcBorders>
          </w:tcPr>
          <w:p>
            <w:pPr>
              <w:widowControl/>
              <w:adjustRightInd w:val="0"/>
              <w:snapToGrid w:val="0"/>
              <w:jc w:val="center"/>
              <w:rPr>
                <w:bCs/>
                <w:sz w:val="18"/>
                <w:szCs w:val="18"/>
              </w:rPr>
            </w:pPr>
            <w:r>
              <w:rPr>
                <w:bCs/>
                <w:sz w:val="18"/>
                <w:szCs w:val="18"/>
              </w:rPr>
              <w:t>X</w:t>
            </w:r>
          </w:p>
        </w:tc>
        <w:tc>
          <w:tcPr>
            <w:tcW w:w="526" w:type="pct"/>
            <w:tcBorders>
              <w:top w:val="single" w:color="auto" w:sz="2" w:space="0"/>
              <w:left w:val="single" w:color="auto" w:sz="2" w:space="0"/>
              <w:bottom w:val="single" w:color="auto" w:sz="2" w:space="0"/>
            </w:tcBorders>
          </w:tcPr>
          <w:p>
            <w:pPr>
              <w:widowControl/>
              <w:adjustRightInd w:val="0"/>
              <w:snapToGrid w:val="0"/>
              <w:jc w:val="center"/>
              <w:rPr>
                <w:bCs/>
                <w:sz w:val="18"/>
                <w:szCs w:val="18"/>
              </w:rPr>
            </w:pPr>
            <w:r>
              <w:rPr>
                <w:bCs/>
                <w:sz w:val="18"/>
                <w:szCs w:val="18"/>
              </w:rPr>
              <w:t>Y</w:t>
            </w:r>
          </w:p>
        </w:tc>
        <w:tc>
          <w:tcPr>
            <w:tcW w:w="523" w:type="pct"/>
            <w:vMerge w:val="continue"/>
            <w:tcBorders>
              <w:bottom w:val="single" w:color="auto" w:sz="2" w:space="0"/>
            </w:tcBorders>
            <w:vAlign w:val="center"/>
          </w:tcPr>
          <w:p>
            <w:pPr>
              <w:widowControl/>
              <w:adjustRightInd w:val="0"/>
              <w:snapToGrid w:val="0"/>
              <w:jc w:val="center"/>
              <w:rPr>
                <w:bCs/>
                <w:sz w:val="18"/>
                <w:szCs w:val="18"/>
              </w:rPr>
            </w:pPr>
          </w:p>
        </w:tc>
        <w:tc>
          <w:tcPr>
            <w:tcW w:w="609" w:type="pct"/>
            <w:vMerge w:val="continue"/>
            <w:tcBorders>
              <w:bottom w:val="single" w:color="auto" w:sz="2" w:space="0"/>
            </w:tcBorders>
            <w:vAlign w:val="center"/>
          </w:tcPr>
          <w:p>
            <w:pPr>
              <w:widowControl/>
              <w:adjustRightInd w:val="0"/>
              <w:snapToGrid w:val="0"/>
              <w:jc w:val="center"/>
              <w:rPr>
                <w:bCs/>
                <w:sz w:val="18"/>
                <w:szCs w:val="18"/>
              </w:rPr>
            </w:pPr>
          </w:p>
        </w:tc>
        <w:tc>
          <w:tcPr>
            <w:tcW w:w="485" w:type="pct"/>
            <w:vMerge w:val="continue"/>
            <w:tcBorders>
              <w:bottom w:val="single" w:color="auto" w:sz="2" w:space="0"/>
            </w:tcBorders>
            <w:vAlign w:val="center"/>
          </w:tcPr>
          <w:p>
            <w:pPr>
              <w:widowControl/>
              <w:adjustRightInd w:val="0"/>
              <w:snapToGrid w:val="0"/>
              <w:jc w:val="center"/>
              <w:rPr>
                <w:bCs/>
                <w:sz w:val="18"/>
                <w:szCs w:val="18"/>
              </w:rPr>
            </w:pPr>
          </w:p>
        </w:tc>
        <w:tc>
          <w:tcPr>
            <w:tcW w:w="444" w:type="pct"/>
            <w:vMerge w:val="continue"/>
            <w:tcBorders>
              <w:bottom w:val="single" w:color="auto" w:sz="2" w:space="0"/>
              <w:right w:val="single" w:color="auto" w:sz="2" w:space="0"/>
            </w:tcBorders>
            <w:vAlign w:val="center"/>
          </w:tcPr>
          <w:p>
            <w:pPr>
              <w:widowControl/>
              <w:adjustRightInd w:val="0"/>
              <w:snapToGrid w:val="0"/>
              <w:jc w:val="left"/>
              <w:rPr>
                <w:bCs/>
                <w:sz w:val="18"/>
                <w:szCs w:val="18"/>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797" w:type="pct"/>
            <w:tcBorders>
              <w:top w:val="single" w:color="auto" w:sz="2" w:space="0"/>
              <w:bottom w:val="single" w:color="auto" w:sz="2" w:space="0"/>
            </w:tcBorders>
            <w:vAlign w:val="center"/>
          </w:tcPr>
          <w:p>
            <w:pPr>
              <w:jc w:val="center"/>
              <w:rPr>
                <w:sz w:val="18"/>
                <w:szCs w:val="18"/>
              </w:rPr>
            </w:pPr>
            <w:r>
              <w:rPr>
                <w:sz w:val="18"/>
                <w:szCs w:val="18"/>
              </w:rPr>
              <w:t>11月06日</w:t>
            </w:r>
          </w:p>
        </w:tc>
        <w:tc>
          <w:tcPr>
            <w:tcW w:w="612" w:type="pct"/>
            <w:tcBorders>
              <w:top w:val="single" w:color="auto" w:sz="2" w:space="0"/>
              <w:bottom w:val="single" w:color="auto" w:sz="2" w:space="0"/>
            </w:tcBorders>
            <w:vAlign w:val="center"/>
          </w:tcPr>
          <w:p>
            <w:pPr>
              <w:jc w:val="center"/>
              <w:rPr>
                <w:sz w:val="18"/>
                <w:szCs w:val="18"/>
              </w:rPr>
            </w:pPr>
            <w:r>
              <w:rPr>
                <w:sz w:val="18"/>
                <w:szCs w:val="18"/>
              </w:rPr>
              <w:t>94.2</w:t>
            </w:r>
          </w:p>
        </w:tc>
        <w:tc>
          <w:tcPr>
            <w:tcW w:w="523" w:type="pct"/>
            <w:tcBorders>
              <w:top w:val="single" w:color="auto" w:sz="2" w:space="0"/>
              <w:bottom w:val="single" w:color="auto" w:sz="2" w:space="0"/>
              <w:right w:val="single" w:color="auto" w:sz="2" w:space="0"/>
            </w:tcBorders>
          </w:tcPr>
          <w:p>
            <w:pPr>
              <w:jc w:val="center"/>
              <w:rPr>
                <w:sz w:val="18"/>
                <w:szCs w:val="18"/>
              </w:rPr>
            </w:pPr>
            <w:r>
              <w:rPr>
                <w:sz w:val="18"/>
                <w:szCs w:val="18"/>
              </w:rPr>
              <w:t>0.00</w:t>
            </w:r>
          </w:p>
        </w:tc>
        <w:tc>
          <w:tcPr>
            <w:tcW w:w="526" w:type="pct"/>
            <w:tcBorders>
              <w:top w:val="single" w:color="auto" w:sz="2" w:space="0"/>
              <w:left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vAlign w:val="center"/>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31.40</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bottom w:val="single" w:color="auto" w:sz="2" w:space="0"/>
            </w:tcBorders>
            <w:vAlign w:val="center"/>
          </w:tcPr>
          <w:p>
            <w:pPr>
              <w:jc w:val="center"/>
              <w:rPr>
                <w:sz w:val="18"/>
                <w:szCs w:val="18"/>
              </w:rPr>
            </w:pPr>
            <w:r>
              <w:rPr>
                <w:sz w:val="18"/>
                <w:szCs w:val="18"/>
              </w:rPr>
              <w:t>11月07日</w:t>
            </w:r>
          </w:p>
        </w:tc>
        <w:tc>
          <w:tcPr>
            <w:tcW w:w="612" w:type="pct"/>
            <w:tcBorders>
              <w:top w:val="single" w:color="auto" w:sz="2" w:space="0"/>
              <w:bottom w:val="single" w:color="auto" w:sz="2" w:space="0"/>
            </w:tcBorders>
            <w:vAlign w:val="center"/>
          </w:tcPr>
          <w:p>
            <w:pPr>
              <w:jc w:val="center"/>
              <w:rPr>
                <w:sz w:val="18"/>
                <w:szCs w:val="18"/>
              </w:rPr>
            </w:pPr>
            <w:r>
              <w:rPr>
                <w:sz w:val="18"/>
                <w:szCs w:val="18"/>
              </w:rPr>
              <w:t>100.0</w:t>
            </w:r>
          </w:p>
        </w:tc>
        <w:tc>
          <w:tcPr>
            <w:tcW w:w="523" w:type="pct"/>
            <w:tcBorders>
              <w:top w:val="single" w:color="auto" w:sz="2" w:space="0"/>
              <w:bottom w:val="single" w:color="auto" w:sz="2" w:space="0"/>
            </w:tcBorders>
          </w:tcPr>
          <w:p>
            <w:pPr>
              <w:jc w:val="center"/>
              <w:rPr>
                <w:sz w:val="18"/>
                <w:szCs w:val="18"/>
              </w:rPr>
            </w:pPr>
            <w:r>
              <w:rPr>
                <w:sz w:val="18"/>
                <w:szCs w:val="18"/>
              </w:rPr>
              <w:t>0.00</w:t>
            </w:r>
          </w:p>
        </w:tc>
        <w:tc>
          <w:tcPr>
            <w:tcW w:w="526" w:type="pct"/>
            <w:tcBorders>
              <w:top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33.33</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bottom w:val="single" w:color="auto" w:sz="2" w:space="0"/>
            </w:tcBorders>
            <w:vAlign w:val="center"/>
          </w:tcPr>
          <w:p>
            <w:pPr>
              <w:jc w:val="center"/>
              <w:rPr>
                <w:sz w:val="18"/>
                <w:szCs w:val="18"/>
              </w:rPr>
            </w:pPr>
            <w:r>
              <w:rPr>
                <w:sz w:val="18"/>
                <w:szCs w:val="18"/>
              </w:rPr>
              <w:t>11月08日</w:t>
            </w:r>
          </w:p>
        </w:tc>
        <w:tc>
          <w:tcPr>
            <w:tcW w:w="612" w:type="pct"/>
            <w:tcBorders>
              <w:top w:val="single" w:color="auto" w:sz="2" w:space="0"/>
              <w:bottom w:val="single" w:color="auto" w:sz="2" w:space="0"/>
            </w:tcBorders>
            <w:vAlign w:val="center"/>
          </w:tcPr>
          <w:p>
            <w:pPr>
              <w:jc w:val="center"/>
              <w:rPr>
                <w:sz w:val="18"/>
                <w:szCs w:val="18"/>
              </w:rPr>
            </w:pPr>
            <w:r>
              <w:rPr>
                <w:sz w:val="18"/>
                <w:szCs w:val="18"/>
              </w:rPr>
              <w:t>99.1</w:t>
            </w:r>
          </w:p>
        </w:tc>
        <w:tc>
          <w:tcPr>
            <w:tcW w:w="523" w:type="pct"/>
            <w:tcBorders>
              <w:top w:val="single" w:color="auto" w:sz="2" w:space="0"/>
              <w:bottom w:val="single" w:color="auto" w:sz="2" w:space="0"/>
            </w:tcBorders>
          </w:tcPr>
          <w:p>
            <w:pPr>
              <w:jc w:val="center"/>
              <w:rPr>
                <w:sz w:val="18"/>
                <w:szCs w:val="18"/>
              </w:rPr>
            </w:pPr>
            <w:r>
              <w:rPr>
                <w:sz w:val="18"/>
                <w:szCs w:val="18"/>
              </w:rPr>
              <w:t>0.00</w:t>
            </w:r>
          </w:p>
        </w:tc>
        <w:tc>
          <w:tcPr>
            <w:tcW w:w="526" w:type="pct"/>
            <w:tcBorders>
              <w:top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33.03</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bottom w:val="single" w:color="auto" w:sz="2" w:space="0"/>
            </w:tcBorders>
            <w:vAlign w:val="center"/>
          </w:tcPr>
          <w:p>
            <w:pPr>
              <w:jc w:val="center"/>
              <w:rPr>
                <w:sz w:val="18"/>
                <w:szCs w:val="18"/>
              </w:rPr>
            </w:pPr>
            <w:r>
              <w:rPr>
                <w:sz w:val="18"/>
                <w:szCs w:val="18"/>
              </w:rPr>
              <w:t>11月09日</w:t>
            </w:r>
          </w:p>
        </w:tc>
        <w:tc>
          <w:tcPr>
            <w:tcW w:w="612" w:type="pct"/>
            <w:tcBorders>
              <w:top w:val="single" w:color="auto" w:sz="2" w:space="0"/>
              <w:bottom w:val="single" w:color="auto" w:sz="2" w:space="0"/>
            </w:tcBorders>
            <w:vAlign w:val="center"/>
          </w:tcPr>
          <w:p>
            <w:pPr>
              <w:jc w:val="center"/>
              <w:rPr>
                <w:sz w:val="18"/>
                <w:szCs w:val="18"/>
              </w:rPr>
            </w:pPr>
            <w:r>
              <w:rPr>
                <w:sz w:val="18"/>
                <w:szCs w:val="18"/>
              </w:rPr>
              <w:t>103.0</w:t>
            </w:r>
          </w:p>
        </w:tc>
        <w:tc>
          <w:tcPr>
            <w:tcW w:w="523" w:type="pct"/>
            <w:tcBorders>
              <w:top w:val="single" w:color="auto" w:sz="2" w:space="0"/>
              <w:bottom w:val="single" w:color="auto" w:sz="2" w:space="0"/>
            </w:tcBorders>
          </w:tcPr>
          <w:p>
            <w:pPr>
              <w:jc w:val="center"/>
              <w:rPr>
                <w:sz w:val="18"/>
                <w:szCs w:val="18"/>
              </w:rPr>
            </w:pPr>
            <w:r>
              <w:rPr>
                <w:sz w:val="18"/>
                <w:szCs w:val="18"/>
              </w:rPr>
              <w:t>0.00</w:t>
            </w:r>
          </w:p>
        </w:tc>
        <w:tc>
          <w:tcPr>
            <w:tcW w:w="526" w:type="pct"/>
            <w:tcBorders>
              <w:top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34.33</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bottom w:val="single" w:color="auto" w:sz="2" w:space="0"/>
            </w:tcBorders>
            <w:vAlign w:val="center"/>
          </w:tcPr>
          <w:p>
            <w:pPr>
              <w:jc w:val="center"/>
              <w:rPr>
                <w:sz w:val="18"/>
                <w:szCs w:val="18"/>
              </w:rPr>
            </w:pPr>
            <w:r>
              <w:rPr>
                <w:sz w:val="18"/>
                <w:szCs w:val="18"/>
              </w:rPr>
              <w:t>11月10日</w:t>
            </w:r>
          </w:p>
        </w:tc>
        <w:tc>
          <w:tcPr>
            <w:tcW w:w="612" w:type="pct"/>
            <w:tcBorders>
              <w:top w:val="single" w:color="auto" w:sz="2" w:space="0"/>
              <w:bottom w:val="single" w:color="auto" w:sz="2" w:space="0"/>
            </w:tcBorders>
            <w:vAlign w:val="center"/>
          </w:tcPr>
          <w:p>
            <w:pPr>
              <w:jc w:val="center"/>
              <w:rPr>
                <w:sz w:val="18"/>
                <w:szCs w:val="18"/>
              </w:rPr>
            </w:pPr>
            <w:r>
              <w:rPr>
                <w:sz w:val="18"/>
                <w:szCs w:val="18"/>
              </w:rPr>
              <w:t>95.6</w:t>
            </w:r>
          </w:p>
        </w:tc>
        <w:tc>
          <w:tcPr>
            <w:tcW w:w="523" w:type="pct"/>
            <w:tcBorders>
              <w:top w:val="single" w:color="auto" w:sz="2" w:space="0"/>
              <w:bottom w:val="single" w:color="auto" w:sz="2" w:space="0"/>
            </w:tcBorders>
          </w:tcPr>
          <w:p>
            <w:pPr>
              <w:jc w:val="center"/>
              <w:rPr>
                <w:sz w:val="18"/>
                <w:szCs w:val="18"/>
              </w:rPr>
            </w:pPr>
            <w:r>
              <w:rPr>
                <w:sz w:val="18"/>
                <w:szCs w:val="18"/>
              </w:rPr>
              <w:t>0.00</w:t>
            </w:r>
          </w:p>
        </w:tc>
        <w:tc>
          <w:tcPr>
            <w:tcW w:w="526" w:type="pct"/>
            <w:tcBorders>
              <w:top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31.87</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bottom w:val="single" w:color="auto" w:sz="2" w:space="0"/>
            </w:tcBorders>
            <w:vAlign w:val="center"/>
          </w:tcPr>
          <w:p>
            <w:pPr>
              <w:jc w:val="center"/>
              <w:rPr>
                <w:sz w:val="18"/>
                <w:szCs w:val="18"/>
              </w:rPr>
            </w:pPr>
            <w:r>
              <w:rPr>
                <w:sz w:val="18"/>
                <w:szCs w:val="18"/>
              </w:rPr>
              <w:t>11月11日</w:t>
            </w:r>
          </w:p>
        </w:tc>
        <w:tc>
          <w:tcPr>
            <w:tcW w:w="612" w:type="pct"/>
            <w:tcBorders>
              <w:top w:val="single" w:color="auto" w:sz="2" w:space="0"/>
              <w:bottom w:val="single" w:color="auto" w:sz="2" w:space="0"/>
            </w:tcBorders>
            <w:vAlign w:val="center"/>
          </w:tcPr>
          <w:p>
            <w:pPr>
              <w:jc w:val="center"/>
              <w:rPr>
                <w:sz w:val="18"/>
                <w:szCs w:val="18"/>
              </w:rPr>
            </w:pPr>
            <w:r>
              <w:rPr>
                <w:sz w:val="18"/>
                <w:szCs w:val="18"/>
              </w:rPr>
              <w:t>90.7</w:t>
            </w:r>
          </w:p>
        </w:tc>
        <w:tc>
          <w:tcPr>
            <w:tcW w:w="523" w:type="pct"/>
            <w:tcBorders>
              <w:top w:val="single" w:color="auto" w:sz="2" w:space="0"/>
              <w:bottom w:val="single" w:color="auto" w:sz="2" w:space="0"/>
            </w:tcBorders>
          </w:tcPr>
          <w:p>
            <w:pPr>
              <w:jc w:val="center"/>
              <w:rPr>
                <w:sz w:val="18"/>
                <w:szCs w:val="18"/>
              </w:rPr>
            </w:pPr>
            <w:r>
              <w:rPr>
                <w:sz w:val="18"/>
                <w:szCs w:val="18"/>
              </w:rPr>
              <w:t>0.00</w:t>
            </w:r>
          </w:p>
        </w:tc>
        <w:tc>
          <w:tcPr>
            <w:tcW w:w="526" w:type="pct"/>
            <w:tcBorders>
              <w:top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30.23</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bottom w:val="single" w:color="auto" w:sz="2" w:space="0"/>
            </w:tcBorders>
            <w:vAlign w:val="center"/>
          </w:tcPr>
          <w:p>
            <w:pPr>
              <w:jc w:val="center"/>
              <w:rPr>
                <w:sz w:val="18"/>
                <w:szCs w:val="18"/>
              </w:rPr>
            </w:pPr>
            <w:r>
              <w:rPr>
                <w:sz w:val="18"/>
                <w:szCs w:val="18"/>
              </w:rPr>
              <w:t>11月12日</w:t>
            </w:r>
          </w:p>
        </w:tc>
        <w:tc>
          <w:tcPr>
            <w:tcW w:w="612" w:type="pct"/>
            <w:tcBorders>
              <w:top w:val="single" w:color="auto" w:sz="2" w:space="0"/>
              <w:bottom w:val="single" w:color="auto" w:sz="2" w:space="0"/>
            </w:tcBorders>
            <w:vAlign w:val="center"/>
          </w:tcPr>
          <w:p>
            <w:pPr>
              <w:jc w:val="center"/>
              <w:rPr>
                <w:sz w:val="18"/>
                <w:szCs w:val="18"/>
              </w:rPr>
            </w:pPr>
            <w:r>
              <w:rPr>
                <w:sz w:val="18"/>
                <w:szCs w:val="18"/>
              </w:rPr>
              <w:t>96.3</w:t>
            </w:r>
          </w:p>
        </w:tc>
        <w:tc>
          <w:tcPr>
            <w:tcW w:w="523" w:type="pct"/>
            <w:tcBorders>
              <w:top w:val="single" w:color="auto" w:sz="2" w:space="0"/>
              <w:bottom w:val="single" w:color="auto" w:sz="2" w:space="0"/>
            </w:tcBorders>
          </w:tcPr>
          <w:p>
            <w:pPr>
              <w:jc w:val="center"/>
              <w:rPr>
                <w:sz w:val="18"/>
                <w:szCs w:val="18"/>
              </w:rPr>
            </w:pPr>
            <w:r>
              <w:rPr>
                <w:sz w:val="18"/>
                <w:szCs w:val="18"/>
              </w:rPr>
              <w:t>0.00</w:t>
            </w:r>
          </w:p>
        </w:tc>
        <w:tc>
          <w:tcPr>
            <w:tcW w:w="526" w:type="pct"/>
            <w:tcBorders>
              <w:top w:val="single" w:color="auto" w:sz="2" w:space="0"/>
              <w:bottom w:val="single" w:color="auto" w:sz="2" w:space="0"/>
            </w:tcBorders>
          </w:tcPr>
          <w:p>
            <w:pPr>
              <w:jc w:val="center"/>
              <w:rPr>
                <w:sz w:val="18"/>
                <w:szCs w:val="18"/>
              </w:rPr>
            </w:pPr>
            <w:r>
              <w:rPr>
                <w:sz w:val="18"/>
                <w:szCs w:val="18"/>
              </w:rPr>
              <w:t>0.00</w:t>
            </w:r>
          </w:p>
        </w:tc>
        <w:tc>
          <w:tcPr>
            <w:tcW w:w="523" w:type="pct"/>
            <w:tcBorders>
              <w:top w:val="single" w:color="auto" w:sz="2" w:space="0"/>
              <w:bottom w:val="single" w:color="auto" w:sz="2" w:space="0"/>
            </w:tcBorders>
          </w:tcPr>
          <w:p>
            <w:pPr>
              <w:jc w:val="center"/>
              <w:rPr>
                <w:sz w:val="18"/>
                <w:szCs w:val="18"/>
              </w:rPr>
            </w:pPr>
            <w:r>
              <w:rPr>
                <w:sz w:val="18"/>
                <w:szCs w:val="18"/>
              </w:rPr>
              <w:t>300</w:t>
            </w:r>
          </w:p>
        </w:tc>
        <w:tc>
          <w:tcPr>
            <w:tcW w:w="609" w:type="pct"/>
            <w:tcBorders>
              <w:top w:val="single" w:color="auto" w:sz="2" w:space="0"/>
              <w:bottom w:val="single" w:color="auto" w:sz="2" w:space="0"/>
            </w:tcBorders>
            <w:vAlign w:val="center"/>
          </w:tcPr>
          <w:p>
            <w:pPr>
              <w:jc w:val="center"/>
              <w:rPr>
                <w:sz w:val="18"/>
                <w:szCs w:val="18"/>
              </w:rPr>
            </w:pPr>
            <w:r>
              <w:rPr>
                <w:sz w:val="18"/>
                <w:szCs w:val="18"/>
              </w:rPr>
              <w:t>32.10</w:t>
            </w:r>
          </w:p>
        </w:tc>
        <w:tc>
          <w:tcPr>
            <w:tcW w:w="485" w:type="pct"/>
            <w:tcBorders>
              <w:top w:val="single" w:color="auto" w:sz="2" w:space="0"/>
              <w:bottom w:val="single" w:color="auto" w:sz="2" w:space="0"/>
            </w:tcBorders>
            <w:vAlign w:val="center"/>
          </w:tcPr>
          <w:p>
            <w:pPr>
              <w:jc w:val="center"/>
              <w:rPr>
                <w:sz w:val="18"/>
                <w:szCs w:val="18"/>
              </w:rPr>
            </w:pPr>
            <w:r>
              <w:rPr>
                <w:sz w:val="18"/>
                <w:szCs w:val="18"/>
              </w:rPr>
              <w:t>0</w:t>
            </w:r>
          </w:p>
        </w:tc>
        <w:tc>
          <w:tcPr>
            <w:tcW w:w="444" w:type="pct"/>
            <w:tcBorders>
              <w:top w:val="single" w:color="auto" w:sz="2"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97"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center"/>
              <w:rPr>
                <w:caps/>
                <w:kern w:val="0"/>
                <w:sz w:val="18"/>
                <w:szCs w:val="18"/>
              </w:rPr>
            </w:pPr>
            <w:r>
              <w:rPr>
                <w:caps/>
                <w:kern w:val="0"/>
                <w:sz w:val="18"/>
                <w:szCs w:val="18"/>
              </w:rPr>
              <w:t xml:space="preserve">       点位</w:t>
            </w:r>
          </w:p>
          <w:p>
            <w:pPr>
              <w:widowControl/>
              <w:rPr>
                <w:caps/>
                <w:kern w:val="0"/>
                <w:sz w:val="18"/>
                <w:szCs w:val="18"/>
              </w:rPr>
            </w:pPr>
            <w:r>
              <w:rPr>
                <w:caps/>
                <w:kern w:val="0"/>
                <w:sz w:val="18"/>
                <w:szCs w:val="18"/>
              </w:rPr>
              <w:t>采样时段</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马鞍山村</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87.8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29.27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71.5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23.83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68.7</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22.90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74.3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24.77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75.0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25.00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72.2</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24.07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76.5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-225</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1788</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25.50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97"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center"/>
              <w:rPr>
                <w:caps/>
                <w:kern w:val="0"/>
                <w:sz w:val="18"/>
                <w:szCs w:val="18"/>
              </w:rPr>
            </w:pPr>
            <w:r>
              <w:rPr>
                <w:caps/>
                <w:kern w:val="0"/>
                <w:sz w:val="18"/>
                <w:szCs w:val="18"/>
              </w:rPr>
              <w:t xml:space="preserve">       点位</w:t>
            </w:r>
          </w:p>
          <w:p>
            <w:pPr>
              <w:widowControl/>
              <w:rPr>
                <w:caps/>
                <w:kern w:val="0"/>
                <w:sz w:val="18"/>
                <w:szCs w:val="18"/>
              </w:rPr>
            </w:pPr>
            <w:r>
              <w:rPr>
                <w:caps/>
                <w:kern w:val="0"/>
                <w:sz w:val="18"/>
                <w:szCs w:val="18"/>
              </w:rPr>
              <w:t>采样时段</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布标村</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82.1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27.37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80.0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26.67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82.8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27.60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83.5</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27.83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84.9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28.30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79.3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80.7</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-2049</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-1417</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26.90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pStyle w:val="33"/>
              <w:rPr>
                <w:sz w:val="18"/>
                <w:szCs w:val="18"/>
              </w:rPr>
            </w:pPr>
            <w:r>
              <w:rPr>
                <w:sz w:val="18"/>
                <w:szCs w:val="18"/>
              </w:rPr>
              <w:t>检测</w:t>
            </w:r>
          </w:p>
          <w:p>
            <w:pPr>
              <w:pStyle w:val="33"/>
              <w:rPr>
                <w:sz w:val="18"/>
                <w:szCs w:val="18"/>
              </w:rPr>
            </w:pPr>
            <w:r>
              <w:rPr>
                <w:sz w:val="18"/>
                <w:szCs w:val="18"/>
              </w:rPr>
              <w:t>项目</w:t>
            </w:r>
          </w:p>
        </w:tc>
        <w:tc>
          <w:tcPr>
            <w:tcW w:w="797" w:type="pct"/>
            <w:tcBorders>
              <w:top w:val="single" w:color="auto" w:sz="2" w:space="0"/>
              <w:left w:val="single" w:color="auto" w:sz="4" w:space="0"/>
              <w:bottom w:val="single" w:color="auto" w:sz="2" w:space="0"/>
              <w:right w:val="single" w:color="auto" w:sz="4" w:space="0"/>
              <w:tl2br w:val="single" w:color="auto" w:sz="4" w:space="0"/>
            </w:tcBorders>
            <w:vAlign w:val="center"/>
          </w:tcPr>
          <w:p>
            <w:pPr>
              <w:pStyle w:val="33"/>
              <w:jc w:val="right"/>
              <w:rPr>
                <w:sz w:val="18"/>
                <w:szCs w:val="18"/>
              </w:rPr>
            </w:pPr>
            <w:r>
              <w:rPr>
                <w:sz w:val="18"/>
                <w:szCs w:val="18"/>
              </w:rPr>
              <w:t>点位</w:t>
            </w:r>
          </w:p>
          <w:p>
            <w:pPr>
              <w:pStyle w:val="33"/>
              <w:jc w:val="both"/>
              <w:rPr>
                <w:sz w:val="18"/>
                <w:szCs w:val="18"/>
              </w:rPr>
            </w:pPr>
            <w:r>
              <w:rPr>
                <w:sz w:val="18"/>
                <w:szCs w:val="18"/>
              </w:rPr>
              <w:t>采样时段</w:t>
            </w:r>
          </w:p>
        </w:tc>
        <w:tc>
          <w:tcPr>
            <w:tcW w:w="612" w:type="pct"/>
            <w:tcBorders>
              <w:top w:val="single" w:color="auto" w:sz="2" w:space="0"/>
              <w:left w:val="single" w:color="auto" w:sz="4" w:space="0"/>
              <w:bottom w:val="single" w:color="auto" w:sz="2" w:space="0"/>
              <w:right w:val="single" w:color="auto" w:sz="4" w:space="0"/>
            </w:tcBorders>
            <w:vAlign w:val="center"/>
          </w:tcPr>
          <w:p>
            <w:pPr>
              <w:pStyle w:val="33"/>
              <w:rPr>
                <w:sz w:val="18"/>
                <w:szCs w:val="18"/>
              </w:rPr>
            </w:pPr>
            <w:r>
              <w:rPr>
                <w:sz w:val="18"/>
                <w:szCs w:val="18"/>
              </w:rPr>
              <w:t>县城边界</w:t>
            </w:r>
          </w:p>
          <w:p>
            <w:pPr>
              <w:pStyle w:val="33"/>
              <w:rPr>
                <w:sz w:val="18"/>
                <w:szCs w:val="18"/>
              </w:rPr>
            </w:pPr>
            <w:r>
              <w:rPr>
                <w:sz w:val="18"/>
                <w:szCs w:val="18"/>
              </w:rPr>
              <w:t>(新农村上寨)</w:t>
            </w:r>
          </w:p>
        </w:tc>
        <w:tc>
          <w:tcPr>
            <w:tcW w:w="523" w:type="pct"/>
            <w:tcBorders>
              <w:top w:val="single" w:color="auto" w:sz="2" w:space="0"/>
              <w:left w:val="single" w:color="auto" w:sz="4" w:space="0"/>
              <w:bottom w:val="single" w:color="auto" w:sz="2" w:space="0"/>
              <w:right w:val="single" w:color="auto" w:sz="4" w:space="0"/>
            </w:tcBorders>
            <w:vAlign w:val="center"/>
          </w:tcPr>
          <w:p>
            <w:pPr>
              <w:pStyle w:val="33"/>
              <w:rPr>
                <w:sz w:val="18"/>
                <w:szCs w:val="18"/>
              </w:rPr>
            </w:pPr>
            <w:r>
              <w:rPr>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pStyle w:val="33"/>
              <w:rPr>
                <w:sz w:val="18"/>
                <w:szCs w:val="18"/>
              </w:rPr>
            </w:pPr>
            <w:r>
              <w:rPr>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pStyle w:val="33"/>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pStyle w:val="33"/>
              <w:rPr>
                <w:sz w:val="18"/>
                <w:szCs w:val="18"/>
              </w:rPr>
            </w:pPr>
            <w:r>
              <w:rPr>
                <w:sz w:val="18"/>
                <w:szCs w:val="18"/>
              </w:rPr>
              <w:t>浓度占标率/%</w:t>
            </w:r>
          </w:p>
        </w:tc>
        <w:tc>
          <w:tcPr>
            <w:tcW w:w="485" w:type="pct"/>
            <w:tcBorders>
              <w:top w:val="single" w:color="auto" w:sz="2" w:space="0"/>
              <w:left w:val="single" w:color="auto" w:sz="4" w:space="0"/>
              <w:bottom w:val="single" w:color="auto" w:sz="2" w:space="0"/>
              <w:right w:val="single" w:color="auto" w:sz="4" w:space="0"/>
            </w:tcBorders>
            <w:vAlign w:val="center"/>
          </w:tcPr>
          <w:p>
            <w:pPr>
              <w:pStyle w:val="33"/>
              <w:rPr>
                <w:sz w:val="18"/>
                <w:szCs w:val="18"/>
              </w:rPr>
            </w:pPr>
            <w:r>
              <w:rPr>
                <w:sz w:val="18"/>
                <w:szCs w:val="18"/>
              </w:rPr>
              <w:t>超标率/%</w:t>
            </w:r>
          </w:p>
        </w:tc>
        <w:tc>
          <w:tcPr>
            <w:tcW w:w="444" w:type="pct"/>
            <w:tcBorders>
              <w:top w:val="single" w:color="auto" w:sz="2" w:space="0"/>
              <w:left w:val="single" w:color="auto" w:sz="4" w:space="0"/>
              <w:bottom w:val="single" w:color="auto" w:sz="2" w:space="0"/>
              <w:right w:val="single" w:color="auto" w:sz="2" w:space="0"/>
            </w:tcBorders>
            <w:vAlign w:val="center"/>
          </w:tcPr>
          <w:p>
            <w:pPr>
              <w:pStyle w:val="33"/>
              <w:rPr>
                <w:sz w:val="18"/>
                <w:szCs w:val="18"/>
              </w:rPr>
            </w:pPr>
            <w:r>
              <w:rPr>
                <w:sz w:val="18"/>
                <w:szCs w:val="18"/>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73.9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24.63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72.9</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24.30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78.1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26.03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71.8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23.93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74.6</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24.87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78.8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26.27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77.4</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-2840</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-5081</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25.80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tcBorders>
              <w:top w:val="single" w:color="auto" w:sz="2" w:space="0"/>
              <w:left w:val="single" w:color="auto" w:sz="2" w:space="0"/>
              <w:bottom w:val="single" w:color="auto" w:sz="2" w:space="0"/>
            </w:tcBorders>
            <w:vAlign w:val="center"/>
          </w:tcPr>
          <w:p>
            <w:pPr>
              <w:jc w:val="center"/>
              <w:rPr>
                <w:sz w:val="18"/>
                <w:szCs w:val="18"/>
              </w:rPr>
            </w:pPr>
            <w:r>
              <w:rPr>
                <w:sz w:val="18"/>
                <w:szCs w:val="18"/>
              </w:rPr>
              <w:t>检测</w:t>
            </w:r>
          </w:p>
          <w:p>
            <w:pPr>
              <w:jc w:val="center"/>
              <w:rPr>
                <w:sz w:val="18"/>
                <w:szCs w:val="18"/>
              </w:rPr>
            </w:pPr>
            <w:r>
              <w:rPr>
                <w:sz w:val="18"/>
                <w:szCs w:val="18"/>
              </w:rPr>
              <w:t>项目</w:t>
            </w:r>
          </w:p>
        </w:tc>
        <w:tc>
          <w:tcPr>
            <w:tcW w:w="797" w:type="pct"/>
            <w:tcBorders>
              <w:top w:val="single" w:color="auto" w:sz="2" w:space="0"/>
              <w:left w:val="single" w:color="auto" w:sz="4" w:space="0"/>
              <w:bottom w:val="single" w:color="auto" w:sz="2" w:space="0"/>
              <w:right w:val="single" w:color="auto" w:sz="4" w:space="0"/>
              <w:tl2br w:val="single" w:color="auto" w:sz="4" w:space="0"/>
            </w:tcBorders>
            <w:vAlign w:val="center"/>
          </w:tcPr>
          <w:p>
            <w:pPr>
              <w:widowControl/>
              <w:jc w:val="center"/>
              <w:rPr>
                <w:caps/>
                <w:kern w:val="0"/>
                <w:sz w:val="18"/>
                <w:szCs w:val="18"/>
              </w:rPr>
            </w:pPr>
            <w:r>
              <w:rPr>
                <w:caps/>
                <w:kern w:val="0"/>
                <w:sz w:val="18"/>
                <w:szCs w:val="18"/>
              </w:rPr>
              <w:t xml:space="preserve">       点位</w:t>
            </w:r>
          </w:p>
          <w:p>
            <w:pPr>
              <w:widowControl/>
              <w:rPr>
                <w:caps/>
                <w:kern w:val="0"/>
                <w:sz w:val="18"/>
                <w:szCs w:val="18"/>
              </w:rPr>
            </w:pPr>
            <w:r>
              <w:rPr>
                <w:caps/>
                <w:kern w:val="0"/>
                <w:sz w:val="18"/>
                <w:szCs w:val="18"/>
              </w:rPr>
              <w:t>采样时段</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bCs/>
                <w:sz w:val="18"/>
                <w:szCs w:val="18"/>
              </w:rPr>
              <w:t>小舍克村</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标准值</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浓度</w:t>
            </w:r>
          </w:p>
          <w:p>
            <w:pPr>
              <w:jc w:val="center"/>
              <w:rPr>
                <w:sz w:val="18"/>
                <w:szCs w:val="18"/>
              </w:rPr>
            </w:pPr>
            <w:r>
              <w:rPr>
                <w:sz w:val="18"/>
                <w:szCs w:val="18"/>
              </w:rPr>
              <w:t>占标率/%</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超标率/%</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p>
            <w:pPr>
              <w:jc w:val="center"/>
              <w:rPr>
                <w:sz w:val="18"/>
                <w:szCs w:val="18"/>
              </w:rPr>
            </w:pPr>
            <w:r>
              <w:rPr>
                <w:sz w:val="18"/>
                <w:szCs w:val="18"/>
              </w:rPr>
              <w:t>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restart"/>
            <w:tcBorders>
              <w:top w:val="single" w:color="auto" w:sz="2" w:space="0"/>
              <w:left w:val="single" w:color="auto" w:sz="2" w:space="0"/>
              <w:bottom w:val="single" w:color="auto" w:sz="2" w:space="0"/>
            </w:tcBorders>
            <w:vAlign w:val="center"/>
          </w:tcPr>
          <w:p>
            <w:pPr>
              <w:widowControl/>
              <w:jc w:val="center"/>
              <w:rPr>
                <w:kern w:val="0"/>
                <w:sz w:val="18"/>
                <w:szCs w:val="18"/>
              </w:rPr>
            </w:pPr>
            <w:r>
              <w:rPr>
                <w:caps/>
                <w:kern w:val="0"/>
                <w:sz w:val="18"/>
                <w:szCs w:val="18"/>
              </w:rPr>
              <w:t>TSP</w:t>
            </w: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11月06日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77.4</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25.80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11月07日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75.3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25.10</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11月08日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73.3</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24.43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11月09日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78.1</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26.03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widowControl/>
              <w:jc w:val="center"/>
              <w:rPr>
                <w:kern w:val="0"/>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11月10日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78.8</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26.27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11月11日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76.0</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25.33</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481" w:type="pct"/>
            <w:vMerge w:val="continue"/>
            <w:tcBorders>
              <w:top w:val="single" w:color="auto" w:sz="2" w:space="0"/>
              <w:left w:val="single" w:color="auto" w:sz="2" w:space="0"/>
              <w:bottom w:val="single" w:color="auto" w:sz="2" w:space="0"/>
            </w:tcBorders>
            <w:vAlign w:val="center"/>
          </w:tcPr>
          <w:p>
            <w:pPr>
              <w:jc w:val="center"/>
              <w:rPr>
                <w:sz w:val="18"/>
                <w:szCs w:val="18"/>
              </w:rPr>
            </w:pPr>
          </w:p>
        </w:tc>
        <w:tc>
          <w:tcPr>
            <w:tcW w:w="797" w:type="pct"/>
            <w:tcBorders>
              <w:top w:val="single" w:color="auto" w:sz="2" w:space="0"/>
              <w:left w:val="single" w:color="auto" w:sz="4" w:space="0"/>
              <w:bottom w:val="single" w:color="auto" w:sz="2" w:space="0"/>
              <w:right w:val="single" w:color="auto" w:sz="4" w:space="0"/>
            </w:tcBorders>
            <w:vAlign w:val="center"/>
          </w:tcPr>
          <w:p>
            <w:pPr>
              <w:widowControl/>
              <w:jc w:val="center"/>
              <w:rPr>
                <w:caps/>
                <w:kern w:val="0"/>
                <w:sz w:val="18"/>
                <w:szCs w:val="18"/>
              </w:rPr>
            </w:pPr>
            <w:r>
              <w:rPr>
                <w:caps/>
                <w:kern w:val="0"/>
                <w:sz w:val="18"/>
                <w:szCs w:val="18"/>
              </w:rPr>
              <w:t>11月12日</w:t>
            </w:r>
          </w:p>
        </w:tc>
        <w:tc>
          <w:tcPr>
            <w:tcW w:w="612"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76.7</w:t>
            </w:r>
          </w:p>
        </w:tc>
        <w:tc>
          <w:tcPr>
            <w:tcW w:w="523"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-5493</w:t>
            </w:r>
          </w:p>
        </w:tc>
        <w:tc>
          <w:tcPr>
            <w:tcW w:w="526" w:type="pct"/>
            <w:tcBorders>
              <w:top w:val="single" w:color="auto" w:sz="2" w:space="0"/>
              <w:left w:val="single" w:color="auto" w:sz="4" w:space="0"/>
              <w:bottom w:val="single" w:color="auto" w:sz="2" w:space="0"/>
              <w:right w:val="single" w:color="auto" w:sz="4" w:space="0"/>
            </w:tcBorders>
            <w:vAlign w:val="center"/>
          </w:tcPr>
          <w:p>
            <w:pPr>
              <w:widowControl/>
              <w:jc w:val="center"/>
              <w:rPr>
                <w:kern w:val="0"/>
                <w:sz w:val="18"/>
                <w:szCs w:val="18"/>
              </w:rPr>
            </w:pPr>
            <w:r>
              <w:rPr>
                <w:kern w:val="0"/>
                <w:sz w:val="18"/>
                <w:szCs w:val="18"/>
              </w:rPr>
              <w:t>443</w:t>
            </w:r>
          </w:p>
        </w:tc>
        <w:tc>
          <w:tcPr>
            <w:tcW w:w="523"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300</w:t>
            </w:r>
          </w:p>
        </w:tc>
        <w:tc>
          <w:tcPr>
            <w:tcW w:w="609"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25.57</w:t>
            </w:r>
          </w:p>
        </w:tc>
        <w:tc>
          <w:tcPr>
            <w:tcW w:w="485" w:type="pct"/>
            <w:tcBorders>
              <w:top w:val="single" w:color="auto" w:sz="2" w:space="0"/>
              <w:left w:val="single" w:color="auto" w:sz="4" w:space="0"/>
              <w:bottom w:val="single" w:color="auto" w:sz="2" w:space="0"/>
              <w:right w:val="single" w:color="auto" w:sz="4" w:space="0"/>
            </w:tcBorders>
            <w:vAlign w:val="center"/>
          </w:tcPr>
          <w:p>
            <w:pPr>
              <w:jc w:val="center"/>
              <w:rPr>
                <w:sz w:val="18"/>
                <w:szCs w:val="18"/>
              </w:rPr>
            </w:pPr>
            <w:r>
              <w:rPr>
                <w:sz w:val="18"/>
                <w:szCs w:val="18"/>
              </w:rPr>
              <w:t>0</w:t>
            </w:r>
          </w:p>
        </w:tc>
        <w:tc>
          <w:tcPr>
            <w:tcW w:w="444" w:type="pct"/>
            <w:tcBorders>
              <w:top w:val="single" w:color="auto" w:sz="2" w:space="0"/>
              <w:left w:val="single" w:color="auto" w:sz="4" w:space="0"/>
              <w:bottom w:val="single" w:color="auto" w:sz="2" w:space="0"/>
              <w:right w:val="single" w:color="auto" w:sz="2" w:space="0"/>
            </w:tcBorders>
            <w:vAlign w:val="center"/>
          </w:tcPr>
          <w:p>
            <w:pPr>
              <w:jc w:val="center"/>
              <w:rPr>
                <w:sz w:val="18"/>
                <w:szCs w:val="18"/>
              </w:rPr>
            </w:pPr>
            <w:r>
              <w:rPr>
                <w:sz w:val="18"/>
                <w:szCs w:val="18"/>
              </w:rPr>
              <w:t>达标</w:t>
            </w:r>
          </w:p>
        </w:tc>
      </w:tr>
    </w:tbl>
    <w:p>
      <w:pPr>
        <w:pStyle w:val="7"/>
        <w:ind w:firstLine="480"/>
      </w:pPr>
      <w:r>
        <w:t>从现状监测结果来看，各监测点所监测的TSP  24小时平均浓度均满足《环境空气质量标准》（GB3095-2012）二级标准要求。</w:t>
      </w:r>
    </w:p>
    <w:p>
      <w:pPr>
        <w:pStyle w:val="31"/>
      </w:pPr>
      <w:bookmarkStart w:id="97" w:name="_Hlt26752751"/>
      <w:bookmarkEnd w:id="97"/>
      <w:r>
        <w:t>表</w:t>
      </w:r>
      <w:r>
        <w:rPr>
          <w:rFonts w:hint="eastAsia"/>
        </w:rPr>
        <w:t>5.3-8</w:t>
      </w:r>
      <w:r>
        <w:t xml:space="preserve">  氟化物挂片浓度监测统计评价结果</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834"/>
        <w:gridCol w:w="1473"/>
        <w:gridCol w:w="728"/>
        <w:gridCol w:w="732"/>
        <w:gridCol w:w="1023"/>
        <w:gridCol w:w="1463"/>
        <w:gridCol w:w="732"/>
        <w:gridCol w:w="741"/>
        <w:gridCol w:w="886"/>
        <w:gridCol w:w="674"/>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90" w:hRule="atLeast"/>
        </w:trPr>
        <w:tc>
          <w:tcPr>
            <w:tcW w:w="449" w:type="pct"/>
            <w:vMerge w:val="restart"/>
            <w:tcBorders>
              <w:top w:val="single" w:color="auto" w:sz="2" w:space="0"/>
            </w:tcBorders>
            <w:vAlign w:val="center"/>
          </w:tcPr>
          <w:p>
            <w:pPr>
              <w:widowControl/>
              <w:adjustRightInd w:val="0"/>
              <w:snapToGrid w:val="0"/>
              <w:jc w:val="center"/>
              <w:rPr>
                <w:bCs/>
                <w:sz w:val="18"/>
                <w:szCs w:val="18"/>
              </w:rPr>
            </w:pPr>
            <w:r>
              <w:rPr>
                <w:bCs/>
                <w:sz w:val="18"/>
                <w:szCs w:val="18"/>
              </w:rPr>
              <w:t>污染物</w:t>
            </w:r>
          </w:p>
          <w:p>
            <w:pPr>
              <w:widowControl/>
              <w:adjustRightInd w:val="0"/>
              <w:snapToGrid w:val="0"/>
              <w:jc w:val="center"/>
              <w:rPr>
                <w:bCs/>
                <w:sz w:val="18"/>
                <w:szCs w:val="18"/>
              </w:rPr>
            </w:pPr>
            <w:r>
              <w:rPr>
                <w:bCs/>
                <w:sz w:val="18"/>
                <w:szCs w:val="18"/>
              </w:rPr>
              <w:t>名称</w:t>
            </w:r>
          </w:p>
        </w:tc>
        <w:tc>
          <w:tcPr>
            <w:tcW w:w="793" w:type="pct"/>
            <w:vMerge w:val="restart"/>
            <w:tcBorders>
              <w:top w:val="single" w:color="auto" w:sz="2" w:space="0"/>
            </w:tcBorders>
            <w:vAlign w:val="center"/>
          </w:tcPr>
          <w:p>
            <w:pPr>
              <w:widowControl/>
              <w:adjustRightInd w:val="0"/>
              <w:snapToGrid w:val="0"/>
              <w:ind w:firstLine="180"/>
              <w:jc w:val="center"/>
              <w:rPr>
                <w:bCs/>
                <w:sz w:val="18"/>
                <w:szCs w:val="18"/>
              </w:rPr>
            </w:pPr>
            <w:r>
              <w:rPr>
                <w:bCs/>
                <w:sz w:val="18"/>
                <w:szCs w:val="18"/>
              </w:rPr>
              <w:t>监测点位</w:t>
            </w:r>
          </w:p>
          <w:p>
            <w:pPr>
              <w:widowControl/>
              <w:adjustRightInd w:val="0"/>
              <w:snapToGrid w:val="0"/>
              <w:ind w:firstLine="90" w:firstLineChars="50"/>
              <w:jc w:val="center"/>
              <w:rPr>
                <w:bCs/>
                <w:sz w:val="18"/>
                <w:szCs w:val="18"/>
              </w:rPr>
            </w:pPr>
            <w:r>
              <w:rPr>
                <w:bCs/>
                <w:sz w:val="18"/>
                <w:szCs w:val="18"/>
              </w:rPr>
              <w:t>名称</w:t>
            </w:r>
          </w:p>
        </w:tc>
        <w:tc>
          <w:tcPr>
            <w:tcW w:w="786" w:type="pct"/>
            <w:gridSpan w:val="2"/>
            <w:tcBorders>
              <w:top w:val="single" w:color="auto" w:sz="2" w:space="0"/>
              <w:bottom w:val="single" w:color="auto" w:sz="4" w:space="0"/>
            </w:tcBorders>
          </w:tcPr>
          <w:p>
            <w:pPr>
              <w:widowControl/>
              <w:adjustRightInd w:val="0"/>
              <w:snapToGrid w:val="0"/>
              <w:jc w:val="center"/>
              <w:rPr>
                <w:bCs/>
                <w:sz w:val="18"/>
                <w:szCs w:val="18"/>
              </w:rPr>
            </w:pPr>
            <w:r>
              <w:rPr>
                <w:bCs/>
                <w:sz w:val="18"/>
                <w:szCs w:val="18"/>
              </w:rPr>
              <w:t>监测点</w:t>
            </w:r>
          </w:p>
          <w:p>
            <w:pPr>
              <w:widowControl/>
              <w:adjustRightInd w:val="0"/>
              <w:snapToGrid w:val="0"/>
              <w:jc w:val="center"/>
              <w:rPr>
                <w:bCs/>
                <w:sz w:val="18"/>
                <w:szCs w:val="18"/>
              </w:rPr>
            </w:pPr>
            <w:r>
              <w:rPr>
                <w:bCs/>
                <w:sz w:val="18"/>
                <w:szCs w:val="18"/>
              </w:rPr>
              <w:t>坐标/m</w:t>
            </w:r>
          </w:p>
        </w:tc>
        <w:tc>
          <w:tcPr>
            <w:tcW w:w="551" w:type="pct"/>
            <w:vMerge w:val="restart"/>
            <w:tcBorders>
              <w:top w:val="single" w:color="auto" w:sz="2" w:space="0"/>
              <w:right w:val="single" w:color="auto" w:sz="4" w:space="0"/>
            </w:tcBorders>
          </w:tcPr>
          <w:p>
            <w:pPr>
              <w:widowControl/>
              <w:adjustRightInd w:val="0"/>
              <w:snapToGrid w:val="0"/>
              <w:jc w:val="center"/>
              <w:rPr>
                <w:bCs/>
                <w:sz w:val="18"/>
                <w:szCs w:val="18"/>
              </w:rPr>
            </w:pPr>
          </w:p>
          <w:p>
            <w:pPr>
              <w:widowControl/>
              <w:adjustRightInd w:val="0"/>
              <w:snapToGrid w:val="0"/>
              <w:jc w:val="center"/>
              <w:rPr>
                <w:bCs/>
                <w:sz w:val="18"/>
                <w:szCs w:val="18"/>
              </w:rPr>
            </w:pPr>
            <w:r>
              <w:rPr>
                <w:bCs/>
                <w:sz w:val="18"/>
                <w:szCs w:val="18"/>
              </w:rPr>
              <w:t>平均时间</w:t>
            </w:r>
          </w:p>
        </w:tc>
        <w:tc>
          <w:tcPr>
            <w:tcW w:w="788" w:type="pct"/>
            <w:vMerge w:val="restart"/>
            <w:tcBorders>
              <w:top w:val="single" w:color="auto" w:sz="2" w:space="0"/>
              <w:left w:val="single" w:color="auto" w:sz="4" w:space="0"/>
            </w:tcBorders>
            <w:vAlign w:val="center"/>
          </w:tcPr>
          <w:p>
            <w:pPr>
              <w:adjustRightInd w:val="0"/>
              <w:snapToGrid w:val="0"/>
              <w:ind w:firstLine="180"/>
              <w:jc w:val="center"/>
              <w:rPr>
                <w:bCs/>
                <w:sz w:val="18"/>
                <w:szCs w:val="18"/>
              </w:rPr>
            </w:pPr>
            <w:r>
              <w:rPr>
                <w:bCs/>
                <w:sz w:val="18"/>
                <w:szCs w:val="18"/>
              </w:rPr>
              <w:t>浓度</w:t>
            </w:r>
          </w:p>
          <w:p>
            <w:pPr>
              <w:adjustRightInd w:val="0"/>
              <w:snapToGrid w:val="0"/>
              <w:rPr>
                <w:bCs/>
                <w:sz w:val="18"/>
                <w:szCs w:val="18"/>
              </w:rPr>
            </w:pPr>
            <w:r>
              <w:rPr>
                <w:bCs/>
                <w:sz w:val="18"/>
                <w:szCs w:val="18"/>
              </w:rPr>
              <w:t>μg/（dm</w:t>
            </w:r>
            <w:r>
              <w:rPr>
                <w:bCs/>
                <w:sz w:val="18"/>
                <w:szCs w:val="18"/>
                <w:vertAlign w:val="superscript"/>
              </w:rPr>
              <w:t>2</w:t>
            </w:r>
            <w:r>
              <w:rPr>
                <w:bCs/>
                <w:sz w:val="18"/>
                <w:szCs w:val="18"/>
              </w:rPr>
              <w:t>·d））</w:t>
            </w:r>
          </w:p>
        </w:tc>
        <w:tc>
          <w:tcPr>
            <w:tcW w:w="394" w:type="pct"/>
            <w:vMerge w:val="restart"/>
            <w:tcBorders>
              <w:top w:val="single" w:color="auto" w:sz="2" w:space="0"/>
              <w:right w:val="single" w:color="auto" w:sz="4" w:space="0"/>
            </w:tcBorders>
            <w:vAlign w:val="center"/>
          </w:tcPr>
          <w:p>
            <w:pPr>
              <w:widowControl/>
              <w:adjustRightInd w:val="0"/>
              <w:snapToGrid w:val="0"/>
              <w:rPr>
                <w:bCs/>
                <w:sz w:val="18"/>
                <w:szCs w:val="18"/>
              </w:rPr>
            </w:pPr>
            <w:r>
              <w:rPr>
                <w:bCs/>
                <w:sz w:val="18"/>
                <w:szCs w:val="18"/>
              </w:rPr>
              <w:t>标准值</w:t>
            </w:r>
          </w:p>
        </w:tc>
        <w:tc>
          <w:tcPr>
            <w:tcW w:w="399" w:type="pct"/>
            <w:vMerge w:val="restart"/>
            <w:tcBorders>
              <w:top w:val="single" w:color="auto" w:sz="2" w:space="0"/>
              <w:left w:val="single" w:color="auto" w:sz="4" w:space="0"/>
              <w:right w:val="single" w:color="auto" w:sz="4" w:space="0"/>
            </w:tcBorders>
            <w:vAlign w:val="center"/>
          </w:tcPr>
          <w:p>
            <w:pPr>
              <w:widowControl/>
              <w:adjustRightInd w:val="0"/>
              <w:snapToGrid w:val="0"/>
              <w:jc w:val="center"/>
              <w:rPr>
                <w:bCs/>
                <w:sz w:val="18"/>
                <w:szCs w:val="18"/>
              </w:rPr>
            </w:pPr>
            <w:r>
              <w:rPr>
                <w:bCs/>
                <w:sz w:val="18"/>
                <w:szCs w:val="18"/>
              </w:rPr>
              <w:t>浓度</w:t>
            </w:r>
          </w:p>
          <w:p>
            <w:pPr>
              <w:widowControl/>
              <w:adjustRightInd w:val="0"/>
              <w:snapToGrid w:val="0"/>
              <w:jc w:val="center"/>
              <w:rPr>
                <w:bCs/>
                <w:sz w:val="18"/>
                <w:szCs w:val="18"/>
              </w:rPr>
            </w:pPr>
            <w:r>
              <w:rPr>
                <w:bCs/>
                <w:sz w:val="18"/>
                <w:szCs w:val="18"/>
              </w:rPr>
              <w:t>占标率/%</w:t>
            </w:r>
          </w:p>
        </w:tc>
        <w:tc>
          <w:tcPr>
            <w:tcW w:w="477" w:type="pct"/>
            <w:vMerge w:val="restart"/>
            <w:tcBorders>
              <w:top w:val="single" w:color="auto" w:sz="2" w:space="0"/>
              <w:left w:val="single" w:color="auto" w:sz="4" w:space="0"/>
            </w:tcBorders>
            <w:vAlign w:val="center"/>
          </w:tcPr>
          <w:p>
            <w:pPr>
              <w:widowControl/>
              <w:adjustRightInd w:val="0"/>
              <w:snapToGrid w:val="0"/>
              <w:jc w:val="center"/>
              <w:rPr>
                <w:bCs/>
                <w:sz w:val="18"/>
                <w:szCs w:val="18"/>
              </w:rPr>
            </w:pPr>
            <w:r>
              <w:rPr>
                <w:bCs/>
                <w:sz w:val="18"/>
                <w:szCs w:val="18"/>
              </w:rPr>
              <w:t>超标率</w:t>
            </w:r>
          </w:p>
          <w:p>
            <w:pPr>
              <w:widowControl/>
              <w:adjustRightInd w:val="0"/>
              <w:snapToGrid w:val="0"/>
              <w:jc w:val="center"/>
              <w:rPr>
                <w:bCs/>
                <w:sz w:val="18"/>
                <w:szCs w:val="18"/>
              </w:rPr>
            </w:pPr>
            <w:r>
              <w:rPr>
                <w:bCs/>
                <w:sz w:val="18"/>
                <w:szCs w:val="18"/>
              </w:rPr>
              <w:t>/%</w:t>
            </w:r>
          </w:p>
        </w:tc>
        <w:tc>
          <w:tcPr>
            <w:tcW w:w="363" w:type="pct"/>
            <w:vMerge w:val="restart"/>
            <w:tcBorders>
              <w:top w:val="single" w:color="auto" w:sz="2" w:space="0"/>
            </w:tcBorders>
            <w:vAlign w:val="center"/>
          </w:tcPr>
          <w:p>
            <w:pPr>
              <w:widowControl/>
              <w:adjustRightInd w:val="0"/>
              <w:snapToGrid w:val="0"/>
              <w:rPr>
                <w:bCs/>
                <w:sz w:val="18"/>
                <w:szCs w:val="18"/>
              </w:rPr>
            </w:pPr>
            <w:r>
              <w:rPr>
                <w:bCs/>
                <w:sz w:val="18"/>
                <w:szCs w:val="18"/>
              </w:rPr>
              <w:t>达标</w:t>
            </w:r>
          </w:p>
          <w:p>
            <w:pPr>
              <w:widowControl/>
              <w:adjustRightInd w:val="0"/>
              <w:snapToGrid w:val="0"/>
              <w:rPr>
                <w:bCs/>
                <w:sz w:val="18"/>
                <w:szCs w:val="18"/>
              </w:rPr>
            </w:pPr>
            <w:r>
              <w:rPr>
                <w:bCs/>
                <w:sz w:val="18"/>
                <w:szCs w:val="18"/>
              </w:rPr>
              <w:t>情况</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449" w:type="pct"/>
            <w:vMerge w:val="continue"/>
            <w:vAlign w:val="center"/>
          </w:tcPr>
          <w:p>
            <w:pPr>
              <w:widowControl/>
              <w:adjustRightInd w:val="0"/>
              <w:snapToGrid w:val="0"/>
              <w:jc w:val="center"/>
              <w:rPr>
                <w:bCs/>
                <w:sz w:val="18"/>
                <w:szCs w:val="18"/>
              </w:rPr>
            </w:pPr>
          </w:p>
        </w:tc>
        <w:tc>
          <w:tcPr>
            <w:tcW w:w="793" w:type="pct"/>
            <w:vMerge w:val="continue"/>
            <w:vAlign w:val="center"/>
          </w:tcPr>
          <w:p>
            <w:pPr>
              <w:widowControl/>
              <w:adjustRightInd w:val="0"/>
              <w:snapToGrid w:val="0"/>
              <w:ind w:firstLine="180"/>
              <w:jc w:val="center"/>
              <w:rPr>
                <w:bCs/>
                <w:sz w:val="18"/>
                <w:szCs w:val="18"/>
              </w:rPr>
            </w:pPr>
          </w:p>
        </w:tc>
        <w:tc>
          <w:tcPr>
            <w:tcW w:w="392" w:type="pct"/>
            <w:tcBorders>
              <w:top w:val="single" w:color="auto" w:sz="4" w:space="0"/>
              <w:right w:val="single" w:color="auto" w:sz="4" w:space="0"/>
            </w:tcBorders>
          </w:tcPr>
          <w:p>
            <w:pPr>
              <w:adjustRightInd w:val="0"/>
              <w:snapToGrid w:val="0"/>
              <w:jc w:val="center"/>
              <w:rPr>
                <w:bCs/>
                <w:sz w:val="18"/>
                <w:szCs w:val="18"/>
              </w:rPr>
            </w:pPr>
            <w:r>
              <w:rPr>
                <w:bCs/>
                <w:sz w:val="18"/>
                <w:szCs w:val="18"/>
              </w:rPr>
              <w:t xml:space="preserve">X </w:t>
            </w:r>
          </w:p>
        </w:tc>
        <w:tc>
          <w:tcPr>
            <w:tcW w:w="394" w:type="pct"/>
            <w:tcBorders>
              <w:top w:val="single" w:color="auto" w:sz="4" w:space="0"/>
              <w:left w:val="single" w:color="auto" w:sz="4" w:space="0"/>
            </w:tcBorders>
          </w:tcPr>
          <w:p>
            <w:pPr>
              <w:adjustRightInd w:val="0"/>
              <w:snapToGrid w:val="0"/>
              <w:jc w:val="center"/>
              <w:rPr>
                <w:bCs/>
                <w:sz w:val="18"/>
                <w:szCs w:val="18"/>
              </w:rPr>
            </w:pPr>
            <w:r>
              <w:rPr>
                <w:bCs/>
                <w:sz w:val="18"/>
                <w:szCs w:val="18"/>
              </w:rPr>
              <w:t xml:space="preserve">X </w:t>
            </w:r>
          </w:p>
        </w:tc>
        <w:tc>
          <w:tcPr>
            <w:tcW w:w="551" w:type="pct"/>
            <w:vMerge w:val="continue"/>
            <w:tcBorders>
              <w:right w:val="single" w:color="auto" w:sz="4" w:space="0"/>
            </w:tcBorders>
            <w:vAlign w:val="center"/>
          </w:tcPr>
          <w:p>
            <w:pPr>
              <w:widowControl/>
              <w:adjustRightInd w:val="0"/>
              <w:snapToGrid w:val="0"/>
              <w:rPr>
                <w:bCs/>
                <w:sz w:val="18"/>
                <w:szCs w:val="18"/>
              </w:rPr>
            </w:pPr>
          </w:p>
        </w:tc>
        <w:tc>
          <w:tcPr>
            <w:tcW w:w="788" w:type="pct"/>
            <w:vMerge w:val="continue"/>
            <w:tcBorders>
              <w:left w:val="single" w:color="auto" w:sz="4" w:space="0"/>
            </w:tcBorders>
            <w:vAlign w:val="center"/>
          </w:tcPr>
          <w:p>
            <w:pPr>
              <w:adjustRightInd w:val="0"/>
              <w:snapToGrid w:val="0"/>
              <w:ind w:firstLine="180"/>
              <w:jc w:val="center"/>
              <w:rPr>
                <w:bCs/>
                <w:sz w:val="18"/>
                <w:szCs w:val="18"/>
              </w:rPr>
            </w:pPr>
          </w:p>
        </w:tc>
        <w:tc>
          <w:tcPr>
            <w:tcW w:w="394" w:type="pct"/>
            <w:vMerge w:val="continue"/>
            <w:tcBorders>
              <w:right w:val="single" w:color="auto" w:sz="4" w:space="0"/>
            </w:tcBorders>
            <w:vAlign w:val="center"/>
          </w:tcPr>
          <w:p>
            <w:pPr>
              <w:widowControl/>
              <w:adjustRightInd w:val="0"/>
              <w:snapToGrid w:val="0"/>
              <w:ind w:firstLine="90" w:firstLineChars="50"/>
              <w:rPr>
                <w:bCs/>
                <w:sz w:val="18"/>
                <w:szCs w:val="18"/>
              </w:rPr>
            </w:pPr>
          </w:p>
        </w:tc>
        <w:tc>
          <w:tcPr>
            <w:tcW w:w="399" w:type="pct"/>
            <w:vMerge w:val="continue"/>
            <w:tcBorders>
              <w:left w:val="single" w:color="auto" w:sz="4" w:space="0"/>
              <w:right w:val="single" w:color="auto" w:sz="4" w:space="0"/>
            </w:tcBorders>
            <w:vAlign w:val="center"/>
          </w:tcPr>
          <w:p>
            <w:pPr>
              <w:widowControl/>
              <w:adjustRightInd w:val="0"/>
              <w:snapToGrid w:val="0"/>
              <w:jc w:val="center"/>
              <w:rPr>
                <w:bCs/>
                <w:sz w:val="18"/>
                <w:szCs w:val="18"/>
              </w:rPr>
            </w:pPr>
          </w:p>
        </w:tc>
        <w:tc>
          <w:tcPr>
            <w:tcW w:w="477" w:type="pct"/>
            <w:vMerge w:val="continue"/>
            <w:tcBorders>
              <w:left w:val="single" w:color="auto" w:sz="4" w:space="0"/>
            </w:tcBorders>
            <w:vAlign w:val="center"/>
          </w:tcPr>
          <w:p>
            <w:pPr>
              <w:widowControl/>
              <w:adjustRightInd w:val="0"/>
              <w:snapToGrid w:val="0"/>
              <w:jc w:val="center"/>
              <w:rPr>
                <w:bCs/>
                <w:sz w:val="18"/>
                <w:szCs w:val="18"/>
              </w:rPr>
            </w:pPr>
          </w:p>
        </w:tc>
        <w:tc>
          <w:tcPr>
            <w:tcW w:w="363" w:type="pct"/>
            <w:vMerge w:val="continue"/>
            <w:vAlign w:val="center"/>
          </w:tcPr>
          <w:p>
            <w:pPr>
              <w:widowControl/>
              <w:adjustRightInd w:val="0"/>
              <w:snapToGrid w:val="0"/>
              <w:rPr>
                <w:bCs/>
                <w:sz w:val="18"/>
                <w:szCs w:val="18"/>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9" w:type="pct"/>
            <w:vMerge w:val="restart"/>
            <w:vAlign w:val="center"/>
          </w:tcPr>
          <w:p>
            <w:pPr>
              <w:widowControl/>
              <w:adjustRightInd w:val="0"/>
              <w:snapToGrid w:val="0"/>
              <w:jc w:val="center"/>
              <w:rPr>
                <w:bCs/>
                <w:sz w:val="18"/>
                <w:szCs w:val="18"/>
              </w:rPr>
            </w:pPr>
            <w:r>
              <w:rPr>
                <w:bCs/>
                <w:sz w:val="18"/>
                <w:szCs w:val="18"/>
              </w:rPr>
              <w:t>氟化物</w:t>
            </w:r>
          </w:p>
          <w:p>
            <w:pPr>
              <w:widowControl/>
              <w:adjustRightInd w:val="0"/>
              <w:snapToGrid w:val="0"/>
              <w:jc w:val="center"/>
              <w:rPr>
                <w:bCs/>
                <w:sz w:val="18"/>
                <w:szCs w:val="18"/>
                <w:vertAlign w:val="subscript"/>
              </w:rPr>
            </w:pPr>
            <w:r>
              <w:rPr>
                <w:bCs/>
                <w:sz w:val="18"/>
                <w:szCs w:val="18"/>
              </w:rPr>
              <w:t>挂片</w:t>
            </w:r>
          </w:p>
        </w:tc>
        <w:tc>
          <w:tcPr>
            <w:tcW w:w="793" w:type="pct"/>
            <w:vAlign w:val="center"/>
          </w:tcPr>
          <w:p>
            <w:pPr>
              <w:adjustRightInd w:val="0"/>
              <w:jc w:val="center"/>
              <w:rPr>
                <w:caps/>
                <w:kern w:val="0"/>
                <w:sz w:val="18"/>
                <w:szCs w:val="18"/>
              </w:rPr>
            </w:pPr>
            <w:r>
              <w:rPr>
                <w:caps/>
                <w:kern w:val="0"/>
                <w:sz w:val="18"/>
                <w:szCs w:val="18"/>
              </w:rPr>
              <w:t>听湖水库</w:t>
            </w:r>
          </w:p>
          <w:p>
            <w:pPr>
              <w:adjustRightInd w:val="0"/>
              <w:jc w:val="center"/>
              <w:rPr>
                <w:caps/>
                <w:kern w:val="0"/>
                <w:sz w:val="18"/>
                <w:szCs w:val="18"/>
              </w:rPr>
            </w:pPr>
            <w:r>
              <w:rPr>
                <w:caps/>
                <w:kern w:val="0"/>
                <w:sz w:val="18"/>
                <w:szCs w:val="18"/>
              </w:rPr>
              <w:t>（大坝处）</w:t>
            </w:r>
          </w:p>
        </w:tc>
        <w:tc>
          <w:tcPr>
            <w:tcW w:w="392" w:type="pct"/>
            <w:tcBorders>
              <w:right w:val="single" w:color="auto" w:sz="4" w:space="0"/>
            </w:tcBorders>
            <w:vAlign w:val="center"/>
          </w:tcPr>
          <w:p>
            <w:pPr>
              <w:widowControl/>
              <w:adjustRightInd w:val="0"/>
              <w:snapToGrid w:val="0"/>
              <w:jc w:val="center"/>
              <w:textAlignment w:val="bottom"/>
              <w:rPr>
                <w:sz w:val="18"/>
                <w:szCs w:val="18"/>
              </w:rPr>
            </w:pPr>
            <w:r>
              <w:rPr>
                <w:sz w:val="18"/>
                <w:szCs w:val="18"/>
              </w:rPr>
              <w:t>/</w:t>
            </w:r>
          </w:p>
        </w:tc>
        <w:tc>
          <w:tcPr>
            <w:tcW w:w="394" w:type="pct"/>
            <w:tcBorders>
              <w:left w:val="single" w:color="auto" w:sz="4" w:space="0"/>
            </w:tcBorders>
            <w:vAlign w:val="center"/>
          </w:tcPr>
          <w:p>
            <w:pPr>
              <w:widowControl/>
              <w:adjustRightInd w:val="0"/>
              <w:snapToGrid w:val="0"/>
              <w:jc w:val="center"/>
              <w:textAlignment w:val="bottom"/>
              <w:rPr>
                <w:sz w:val="18"/>
                <w:szCs w:val="18"/>
              </w:rPr>
            </w:pPr>
            <w:r>
              <w:rPr>
                <w:sz w:val="18"/>
                <w:szCs w:val="18"/>
              </w:rPr>
              <w:t>/</w:t>
            </w:r>
          </w:p>
        </w:tc>
        <w:tc>
          <w:tcPr>
            <w:tcW w:w="551" w:type="pct"/>
            <w:tcBorders>
              <w:right w:val="single" w:color="auto" w:sz="4" w:space="0"/>
            </w:tcBorders>
            <w:vAlign w:val="center"/>
          </w:tcPr>
          <w:p>
            <w:pPr>
              <w:widowControl/>
              <w:adjustRightInd w:val="0"/>
              <w:snapToGrid w:val="0"/>
              <w:jc w:val="center"/>
              <w:rPr>
                <w:bCs/>
                <w:sz w:val="18"/>
                <w:szCs w:val="18"/>
              </w:rPr>
            </w:pPr>
            <w:r>
              <w:rPr>
                <w:bCs/>
                <w:sz w:val="18"/>
                <w:szCs w:val="18"/>
              </w:rPr>
              <w:t>25d平均</w:t>
            </w:r>
          </w:p>
        </w:tc>
        <w:tc>
          <w:tcPr>
            <w:tcW w:w="788" w:type="pct"/>
            <w:tcBorders>
              <w:left w:val="single" w:color="auto" w:sz="4" w:space="0"/>
            </w:tcBorders>
            <w:vAlign w:val="center"/>
          </w:tcPr>
          <w:p>
            <w:pPr>
              <w:adjustRightInd w:val="0"/>
              <w:snapToGrid w:val="0"/>
              <w:ind w:left="132"/>
              <w:jc w:val="center"/>
              <w:rPr>
                <w:bCs/>
                <w:sz w:val="18"/>
                <w:szCs w:val="18"/>
              </w:rPr>
            </w:pPr>
            <w:r>
              <w:rPr>
                <w:bCs/>
                <w:sz w:val="18"/>
                <w:szCs w:val="18"/>
              </w:rPr>
              <w:t>0.558</w:t>
            </w:r>
          </w:p>
        </w:tc>
        <w:tc>
          <w:tcPr>
            <w:tcW w:w="394" w:type="pct"/>
            <w:tcBorders>
              <w:right w:val="single" w:color="auto" w:sz="4" w:space="0"/>
            </w:tcBorders>
            <w:vAlign w:val="center"/>
          </w:tcPr>
          <w:p>
            <w:pPr>
              <w:jc w:val="center"/>
              <w:rPr>
                <w:sz w:val="18"/>
                <w:szCs w:val="18"/>
              </w:rPr>
            </w:pPr>
            <w:r>
              <w:rPr>
                <w:sz w:val="18"/>
                <w:szCs w:val="18"/>
              </w:rPr>
              <w:t>1.8</w:t>
            </w:r>
          </w:p>
        </w:tc>
        <w:tc>
          <w:tcPr>
            <w:tcW w:w="399" w:type="pct"/>
            <w:tcBorders>
              <w:left w:val="single" w:color="auto" w:sz="4" w:space="0"/>
              <w:right w:val="single" w:color="auto" w:sz="4" w:space="0"/>
            </w:tcBorders>
            <w:vAlign w:val="center"/>
          </w:tcPr>
          <w:p>
            <w:pPr>
              <w:jc w:val="center"/>
              <w:rPr>
                <w:sz w:val="18"/>
                <w:szCs w:val="18"/>
              </w:rPr>
            </w:pPr>
            <w:r>
              <w:rPr>
                <w:sz w:val="18"/>
                <w:szCs w:val="18"/>
              </w:rPr>
              <w:t>0</w:t>
            </w:r>
          </w:p>
        </w:tc>
        <w:tc>
          <w:tcPr>
            <w:tcW w:w="477" w:type="pct"/>
            <w:tcBorders>
              <w:left w:val="single" w:color="auto" w:sz="4" w:space="0"/>
            </w:tcBorders>
            <w:vAlign w:val="center"/>
          </w:tcPr>
          <w:p>
            <w:pPr>
              <w:rPr>
                <w:sz w:val="18"/>
                <w:szCs w:val="18"/>
              </w:rPr>
            </w:pPr>
            <w:r>
              <w:rPr>
                <w:sz w:val="18"/>
                <w:szCs w:val="18"/>
              </w:rPr>
              <w:t xml:space="preserve">   0                   </w:t>
            </w:r>
          </w:p>
        </w:tc>
        <w:tc>
          <w:tcPr>
            <w:tcW w:w="363" w:type="pct"/>
            <w:vAlign w:val="center"/>
          </w:tcPr>
          <w:p>
            <w:pPr>
              <w:widowControl/>
              <w:adjustRightInd w:val="0"/>
              <w:snapToGrid w:val="0"/>
              <w:jc w:val="left"/>
              <w:rPr>
                <w:bCs/>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9" w:type="pct"/>
            <w:vMerge w:val="continue"/>
            <w:vAlign w:val="center"/>
          </w:tcPr>
          <w:p>
            <w:pPr>
              <w:widowControl/>
              <w:adjustRightInd w:val="0"/>
              <w:snapToGrid w:val="0"/>
              <w:ind w:firstLine="360" w:firstLineChars="200"/>
              <w:jc w:val="center"/>
              <w:rPr>
                <w:bCs/>
                <w:sz w:val="18"/>
                <w:szCs w:val="18"/>
                <w:vertAlign w:val="subscript"/>
              </w:rPr>
            </w:pPr>
          </w:p>
        </w:tc>
        <w:tc>
          <w:tcPr>
            <w:tcW w:w="793" w:type="pct"/>
            <w:vAlign w:val="center"/>
          </w:tcPr>
          <w:p>
            <w:pPr>
              <w:adjustRightInd w:val="0"/>
              <w:jc w:val="center"/>
              <w:rPr>
                <w:caps/>
                <w:kern w:val="0"/>
                <w:sz w:val="18"/>
                <w:szCs w:val="18"/>
              </w:rPr>
            </w:pPr>
            <w:r>
              <w:rPr>
                <w:caps/>
                <w:kern w:val="0"/>
                <w:sz w:val="18"/>
                <w:szCs w:val="18"/>
              </w:rPr>
              <w:t>生产厂区中心</w:t>
            </w:r>
          </w:p>
        </w:tc>
        <w:tc>
          <w:tcPr>
            <w:tcW w:w="392" w:type="pct"/>
            <w:tcBorders>
              <w:right w:val="single" w:color="auto" w:sz="4" w:space="0"/>
            </w:tcBorders>
            <w:vAlign w:val="center"/>
          </w:tcPr>
          <w:p>
            <w:pPr>
              <w:widowControl/>
              <w:adjustRightInd w:val="0"/>
              <w:snapToGrid w:val="0"/>
              <w:jc w:val="center"/>
              <w:textAlignment w:val="bottom"/>
              <w:rPr>
                <w:sz w:val="18"/>
                <w:szCs w:val="18"/>
              </w:rPr>
            </w:pPr>
            <w:r>
              <w:rPr>
                <w:sz w:val="18"/>
                <w:szCs w:val="18"/>
              </w:rPr>
              <w:t>/</w:t>
            </w:r>
          </w:p>
        </w:tc>
        <w:tc>
          <w:tcPr>
            <w:tcW w:w="394" w:type="pct"/>
            <w:tcBorders>
              <w:left w:val="single" w:color="auto" w:sz="4" w:space="0"/>
            </w:tcBorders>
            <w:vAlign w:val="center"/>
          </w:tcPr>
          <w:p>
            <w:pPr>
              <w:widowControl/>
              <w:adjustRightInd w:val="0"/>
              <w:snapToGrid w:val="0"/>
              <w:jc w:val="center"/>
              <w:textAlignment w:val="bottom"/>
              <w:rPr>
                <w:sz w:val="18"/>
                <w:szCs w:val="18"/>
              </w:rPr>
            </w:pPr>
            <w:r>
              <w:rPr>
                <w:sz w:val="18"/>
                <w:szCs w:val="18"/>
              </w:rPr>
              <w:t>/</w:t>
            </w:r>
          </w:p>
        </w:tc>
        <w:tc>
          <w:tcPr>
            <w:tcW w:w="551" w:type="pct"/>
            <w:tcBorders>
              <w:right w:val="single" w:color="auto" w:sz="4" w:space="0"/>
            </w:tcBorders>
          </w:tcPr>
          <w:p>
            <w:pPr>
              <w:jc w:val="center"/>
              <w:rPr>
                <w:sz w:val="18"/>
                <w:szCs w:val="18"/>
              </w:rPr>
            </w:pPr>
            <w:r>
              <w:rPr>
                <w:bCs/>
                <w:sz w:val="18"/>
                <w:szCs w:val="18"/>
              </w:rPr>
              <w:t>25d平均</w:t>
            </w:r>
          </w:p>
        </w:tc>
        <w:tc>
          <w:tcPr>
            <w:tcW w:w="788" w:type="pct"/>
            <w:tcBorders>
              <w:left w:val="single" w:color="auto" w:sz="4" w:space="0"/>
            </w:tcBorders>
            <w:vAlign w:val="center"/>
          </w:tcPr>
          <w:p>
            <w:pPr>
              <w:adjustRightInd w:val="0"/>
              <w:snapToGrid w:val="0"/>
              <w:ind w:left="132"/>
              <w:jc w:val="center"/>
              <w:rPr>
                <w:bCs/>
                <w:sz w:val="18"/>
                <w:szCs w:val="18"/>
              </w:rPr>
            </w:pPr>
            <w:r>
              <w:rPr>
                <w:bCs/>
                <w:sz w:val="18"/>
                <w:szCs w:val="18"/>
              </w:rPr>
              <w:t>0.358</w:t>
            </w:r>
          </w:p>
        </w:tc>
        <w:tc>
          <w:tcPr>
            <w:tcW w:w="394" w:type="pct"/>
            <w:tcBorders>
              <w:right w:val="single" w:color="auto" w:sz="4" w:space="0"/>
            </w:tcBorders>
          </w:tcPr>
          <w:p>
            <w:pPr>
              <w:jc w:val="center"/>
              <w:rPr>
                <w:sz w:val="18"/>
                <w:szCs w:val="18"/>
              </w:rPr>
            </w:pPr>
            <w:r>
              <w:rPr>
                <w:sz w:val="18"/>
                <w:szCs w:val="18"/>
              </w:rPr>
              <w:t>3.0</w:t>
            </w:r>
          </w:p>
        </w:tc>
        <w:tc>
          <w:tcPr>
            <w:tcW w:w="399" w:type="pct"/>
            <w:tcBorders>
              <w:left w:val="single" w:color="auto" w:sz="4" w:space="0"/>
              <w:right w:val="single" w:color="auto" w:sz="4" w:space="0"/>
            </w:tcBorders>
            <w:vAlign w:val="center"/>
          </w:tcPr>
          <w:p>
            <w:pPr>
              <w:jc w:val="center"/>
              <w:rPr>
                <w:sz w:val="18"/>
                <w:szCs w:val="18"/>
              </w:rPr>
            </w:pPr>
            <w:r>
              <w:rPr>
                <w:sz w:val="18"/>
                <w:szCs w:val="18"/>
              </w:rPr>
              <w:t>0</w:t>
            </w:r>
          </w:p>
        </w:tc>
        <w:tc>
          <w:tcPr>
            <w:tcW w:w="477" w:type="pct"/>
            <w:tcBorders>
              <w:left w:val="single" w:color="auto" w:sz="4" w:space="0"/>
            </w:tcBorders>
          </w:tcPr>
          <w:p>
            <w:pPr>
              <w:jc w:val="center"/>
              <w:rPr>
                <w:sz w:val="18"/>
                <w:szCs w:val="18"/>
              </w:rPr>
            </w:pPr>
            <w:r>
              <w:rPr>
                <w:sz w:val="18"/>
                <w:szCs w:val="18"/>
              </w:rPr>
              <w:t>0</w:t>
            </w:r>
          </w:p>
        </w:tc>
        <w:tc>
          <w:tcPr>
            <w:tcW w:w="363" w:type="pct"/>
          </w:tcPr>
          <w:p>
            <w:pPr>
              <w:widowControl/>
              <w:adjustRightInd w:val="0"/>
              <w:snapToGrid w:val="0"/>
              <w:jc w:val="left"/>
              <w:rPr>
                <w:bCs/>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9" w:type="pct"/>
            <w:vMerge w:val="continue"/>
            <w:vAlign w:val="center"/>
          </w:tcPr>
          <w:p>
            <w:pPr>
              <w:widowControl/>
              <w:adjustRightInd w:val="0"/>
              <w:snapToGrid w:val="0"/>
              <w:ind w:firstLine="360" w:firstLineChars="200"/>
              <w:jc w:val="center"/>
              <w:rPr>
                <w:bCs/>
                <w:sz w:val="18"/>
                <w:szCs w:val="18"/>
                <w:vertAlign w:val="subscript"/>
              </w:rPr>
            </w:pPr>
          </w:p>
        </w:tc>
        <w:tc>
          <w:tcPr>
            <w:tcW w:w="793" w:type="pct"/>
            <w:vAlign w:val="center"/>
          </w:tcPr>
          <w:p>
            <w:pPr>
              <w:adjustRightInd w:val="0"/>
              <w:jc w:val="center"/>
              <w:rPr>
                <w:caps/>
                <w:kern w:val="0"/>
                <w:sz w:val="18"/>
                <w:szCs w:val="18"/>
              </w:rPr>
            </w:pPr>
            <w:r>
              <w:rPr>
                <w:caps/>
                <w:kern w:val="0"/>
                <w:sz w:val="18"/>
                <w:szCs w:val="18"/>
              </w:rPr>
              <w:t>马鞍山村</w:t>
            </w:r>
          </w:p>
        </w:tc>
        <w:tc>
          <w:tcPr>
            <w:tcW w:w="392" w:type="pct"/>
            <w:tcBorders>
              <w:right w:val="single" w:color="auto" w:sz="4" w:space="0"/>
            </w:tcBorders>
            <w:vAlign w:val="center"/>
          </w:tcPr>
          <w:p>
            <w:pPr>
              <w:widowControl/>
              <w:jc w:val="center"/>
              <w:rPr>
                <w:kern w:val="0"/>
                <w:sz w:val="18"/>
                <w:szCs w:val="18"/>
              </w:rPr>
            </w:pPr>
            <w:r>
              <w:rPr>
                <w:kern w:val="0"/>
                <w:sz w:val="18"/>
                <w:szCs w:val="18"/>
              </w:rPr>
              <w:t>-225</w:t>
            </w:r>
          </w:p>
        </w:tc>
        <w:tc>
          <w:tcPr>
            <w:tcW w:w="394" w:type="pct"/>
            <w:tcBorders>
              <w:left w:val="single" w:color="auto" w:sz="4" w:space="0"/>
            </w:tcBorders>
            <w:vAlign w:val="center"/>
          </w:tcPr>
          <w:p>
            <w:pPr>
              <w:widowControl/>
              <w:jc w:val="center"/>
              <w:rPr>
                <w:kern w:val="0"/>
                <w:sz w:val="18"/>
                <w:szCs w:val="18"/>
              </w:rPr>
            </w:pPr>
            <w:r>
              <w:rPr>
                <w:kern w:val="0"/>
                <w:sz w:val="18"/>
                <w:szCs w:val="18"/>
              </w:rPr>
              <w:t>1788</w:t>
            </w:r>
          </w:p>
        </w:tc>
        <w:tc>
          <w:tcPr>
            <w:tcW w:w="551" w:type="pct"/>
            <w:tcBorders>
              <w:right w:val="single" w:color="auto" w:sz="4" w:space="0"/>
            </w:tcBorders>
          </w:tcPr>
          <w:p>
            <w:pPr>
              <w:jc w:val="center"/>
              <w:rPr>
                <w:sz w:val="18"/>
                <w:szCs w:val="18"/>
              </w:rPr>
            </w:pPr>
            <w:r>
              <w:rPr>
                <w:bCs/>
                <w:sz w:val="18"/>
                <w:szCs w:val="18"/>
              </w:rPr>
              <w:t>25d平均</w:t>
            </w:r>
          </w:p>
        </w:tc>
        <w:tc>
          <w:tcPr>
            <w:tcW w:w="788" w:type="pct"/>
            <w:tcBorders>
              <w:left w:val="single" w:color="auto" w:sz="4" w:space="0"/>
            </w:tcBorders>
            <w:vAlign w:val="center"/>
          </w:tcPr>
          <w:p>
            <w:pPr>
              <w:adjustRightInd w:val="0"/>
              <w:snapToGrid w:val="0"/>
              <w:ind w:left="132"/>
              <w:jc w:val="center"/>
              <w:rPr>
                <w:bCs/>
                <w:sz w:val="18"/>
                <w:szCs w:val="18"/>
              </w:rPr>
            </w:pPr>
            <w:r>
              <w:rPr>
                <w:bCs/>
                <w:sz w:val="18"/>
                <w:szCs w:val="18"/>
              </w:rPr>
              <w:t>0.476</w:t>
            </w:r>
          </w:p>
        </w:tc>
        <w:tc>
          <w:tcPr>
            <w:tcW w:w="394" w:type="pct"/>
            <w:tcBorders>
              <w:right w:val="single" w:color="auto" w:sz="4" w:space="0"/>
            </w:tcBorders>
          </w:tcPr>
          <w:p>
            <w:pPr>
              <w:jc w:val="center"/>
              <w:rPr>
                <w:sz w:val="18"/>
                <w:szCs w:val="18"/>
              </w:rPr>
            </w:pPr>
            <w:r>
              <w:rPr>
                <w:sz w:val="18"/>
                <w:szCs w:val="18"/>
              </w:rPr>
              <w:t>3.0</w:t>
            </w:r>
          </w:p>
        </w:tc>
        <w:tc>
          <w:tcPr>
            <w:tcW w:w="399" w:type="pct"/>
            <w:tcBorders>
              <w:left w:val="single" w:color="auto" w:sz="4" w:space="0"/>
              <w:right w:val="single" w:color="auto" w:sz="4" w:space="0"/>
            </w:tcBorders>
            <w:vAlign w:val="center"/>
          </w:tcPr>
          <w:p>
            <w:pPr>
              <w:jc w:val="center"/>
              <w:rPr>
                <w:sz w:val="18"/>
                <w:szCs w:val="18"/>
              </w:rPr>
            </w:pPr>
            <w:r>
              <w:rPr>
                <w:sz w:val="18"/>
                <w:szCs w:val="18"/>
              </w:rPr>
              <w:t>0</w:t>
            </w:r>
          </w:p>
        </w:tc>
        <w:tc>
          <w:tcPr>
            <w:tcW w:w="477" w:type="pct"/>
            <w:tcBorders>
              <w:left w:val="single" w:color="auto" w:sz="4" w:space="0"/>
            </w:tcBorders>
          </w:tcPr>
          <w:p>
            <w:pPr>
              <w:jc w:val="center"/>
              <w:rPr>
                <w:sz w:val="18"/>
                <w:szCs w:val="18"/>
              </w:rPr>
            </w:pPr>
            <w:r>
              <w:rPr>
                <w:sz w:val="18"/>
                <w:szCs w:val="18"/>
              </w:rPr>
              <w:t>0</w:t>
            </w:r>
          </w:p>
        </w:tc>
        <w:tc>
          <w:tcPr>
            <w:tcW w:w="363" w:type="pct"/>
          </w:tcPr>
          <w:p>
            <w:pPr>
              <w:widowControl/>
              <w:adjustRightInd w:val="0"/>
              <w:snapToGrid w:val="0"/>
              <w:jc w:val="left"/>
              <w:rPr>
                <w:bCs/>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9" w:type="pct"/>
            <w:vMerge w:val="continue"/>
            <w:vAlign w:val="center"/>
          </w:tcPr>
          <w:p>
            <w:pPr>
              <w:widowControl/>
              <w:adjustRightInd w:val="0"/>
              <w:snapToGrid w:val="0"/>
              <w:ind w:firstLine="360" w:firstLineChars="200"/>
              <w:jc w:val="center"/>
              <w:rPr>
                <w:bCs/>
                <w:sz w:val="18"/>
                <w:szCs w:val="18"/>
                <w:vertAlign w:val="subscript"/>
              </w:rPr>
            </w:pPr>
          </w:p>
        </w:tc>
        <w:tc>
          <w:tcPr>
            <w:tcW w:w="793" w:type="pct"/>
            <w:vAlign w:val="center"/>
          </w:tcPr>
          <w:p>
            <w:pPr>
              <w:adjustRightInd w:val="0"/>
              <w:jc w:val="center"/>
              <w:rPr>
                <w:caps/>
                <w:kern w:val="0"/>
                <w:sz w:val="18"/>
                <w:szCs w:val="18"/>
              </w:rPr>
            </w:pPr>
            <w:r>
              <w:rPr>
                <w:caps/>
                <w:kern w:val="0"/>
                <w:sz w:val="18"/>
                <w:szCs w:val="18"/>
              </w:rPr>
              <w:t>布标村</w:t>
            </w:r>
          </w:p>
        </w:tc>
        <w:tc>
          <w:tcPr>
            <w:tcW w:w="392" w:type="pct"/>
            <w:tcBorders>
              <w:right w:val="single" w:color="auto" w:sz="4" w:space="0"/>
            </w:tcBorders>
            <w:vAlign w:val="center"/>
          </w:tcPr>
          <w:p>
            <w:pPr>
              <w:widowControl/>
              <w:jc w:val="center"/>
              <w:rPr>
                <w:kern w:val="0"/>
                <w:sz w:val="18"/>
                <w:szCs w:val="18"/>
              </w:rPr>
            </w:pPr>
            <w:r>
              <w:rPr>
                <w:kern w:val="0"/>
                <w:sz w:val="18"/>
                <w:szCs w:val="18"/>
              </w:rPr>
              <w:t>-5493</w:t>
            </w:r>
          </w:p>
        </w:tc>
        <w:tc>
          <w:tcPr>
            <w:tcW w:w="394" w:type="pct"/>
            <w:tcBorders>
              <w:left w:val="single" w:color="auto" w:sz="4" w:space="0"/>
            </w:tcBorders>
            <w:vAlign w:val="center"/>
          </w:tcPr>
          <w:p>
            <w:pPr>
              <w:widowControl/>
              <w:jc w:val="center"/>
              <w:rPr>
                <w:kern w:val="0"/>
                <w:sz w:val="18"/>
                <w:szCs w:val="18"/>
              </w:rPr>
            </w:pPr>
            <w:r>
              <w:rPr>
                <w:kern w:val="0"/>
                <w:sz w:val="18"/>
                <w:szCs w:val="18"/>
              </w:rPr>
              <w:t>443</w:t>
            </w:r>
          </w:p>
        </w:tc>
        <w:tc>
          <w:tcPr>
            <w:tcW w:w="551" w:type="pct"/>
            <w:tcBorders>
              <w:right w:val="single" w:color="auto" w:sz="4" w:space="0"/>
            </w:tcBorders>
          </w:tcPr>
          <w:p>
            <w:pPr>
              <w:jc w:val="center"/>
              <w:rPr>
                <w:sz w:val="18"/>
                <w:szCs w:val="18"/>
              </w:rPr>
            </w:pPr>
            <w:r>
              <w:rPr>
                <w:bCs/>
                <w:sz w:val="18"/>
                <w:szCs w:val="18"/>
              </w:rPr>
              <w:t>25d平均</w:t>
            </w:r>
          </w:p>
        </w:tc>
        <w:tc>
          <w:tcPr>
            <w:tcW w:w="788" w:type="pct"/>
            <w:tcBorders>
              <w:left w:val="single" w:color="auto" w:sz="4" w:space="0"/>
            </w:tcBorders>
            <w:vAlign w:val="center"/>
          </w:tcPr>
          <w:p>
            <w:pPr>
              <w:adjustRightInd w:val="0"/>
              <w:snapToGrid w:val="0"/>
              <w:ind w:left="132"/>
              <w:jc w:val="center"/>
              <w:rPr>
                <w:bCs/>
                <w:sz w:val="18"/>
                <w:szCs w:val="18"/>
              </w:rPr>
            </w:pPr>
            <w:r>
              <w:rPr>
                <w:bCs/>
                <w:sz w:val="18"/>
                <w:szCs w:val="18"/>
              </w:rPr>
              <w:t>0.381</w:t>
            </w:r>
          </w:p>
        </w:tc>
        <w:tc>
          <w:tcPr>
            <w:tcW w:w="394" w:type="pct"/>
            <w:tcBorders>
              <w:right w:val="single" w:color="auto" w:sz="4" w:space="0"/>
            </w:tcBorders>
          </w:tcPr>
          <w:p>
            <w:pPr>
              <w:jc w:val="center"/>
              <w:rPr>
                <w:sz w:val="18"/>
                <w:szCs w:val="18"/>
              </w:rPr>
            </w:pPr>
            <w:r>
              <w:rPr>
                <w:sz w:val="18"/>
                <w:szCs w:val="18"/>
              </w:rPr>
              <w:t>3.0</w:t>
            </w:r>
          </w:p>
        </w:tc>
        <w:tc>
          <w:tcPr>
            <w:tcW w:w="399" w:type="pct"/>
            <w:tcBorders>
              <w:left w:val="single" w:color="auto" w:sz="4" w:space="0"/>
              <w:right w:val="single" w:color="auto" w:sz="4" w:space="0"/>
            </w:tcBorders>
            <w:vAlign w:val="center"/>
          </w:tcPr>
          <w:p>
            <w:pPr>
              <w:jc w:val="center"/>
              <w:rPr>
                <w:sz w:val="18"/>
                <w:szCs w:val="18"/>
              </w:rPr>
            </w:pPr>
            <w:r>
              <w:rPr>
                <w:sz w:val="18"/>
                <w:szCs w:val="18"/>
              </w:rPr>
              <w:t>0</w:t>
            </w:r>
          </w:p>
        </w:tc>
        <w:tc>
          <w:tcPr>
            <w:tcW w:w="477" w:type="pct"/>
            <w:tcBorders>
              <w:left w:val="single" w:color="auto" w:sz="4" w:space="0"/>
            </w:tcBorders>
          </w:tcPr>
          <w:p>
            <w:pPr>
              <w:jc w:val="center"/>
              <w:rPr>
                <w:sz w:val="18"/>
                <w:szCs w:val="18"/>
              </w:rPr>
            </w:pPr>
            <w:r>
              <w:rPr>
                <w:sz w:val="18"/>
                <w:szCs w:val="18"/>
              </w:rPr>
              <w:t>0</w:t>
            </w:r>
          </w:p>
        </w:tc>
        <w:tc>
          <w:tcPr>
            <w:tcW w:w="363" w:type="pct"/>
          </w:tcPr>
          <w:p>
            <w:pPr>
              <w:widowControl/>
              <w:adjustRightInd w:val="0"/>
              <w:snapToGrid w:val="0"/>
              <w:jc w:val="left"/>
              <w:rPr>
                <w:bCs/>
                <w:sz w:val="18"/>
                <w:szCs w:val="18"/>
              </w:rPr>
            </w:pPr>
            <w:r>
              <w:rPr>
                <w:bCs/>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449" w:type="pct"/>
            <w:vMerge w:val="continue"/>
            <w:vAlign w:val="center"/>
          </w:tcPr>
          <w:p>
            <w:pPr>
              <w:widowControl/>
              <w:adjustRightInd w:val="0"/>
              <w:snapToGrid w:val="0"/>
              <w:ind w:firstLine="360" w:firstLineChars="200"/>
              <w:jc w:val="center"/>
              <w:rPr>
                <w:bCs/>
                <w:sz w:val="18"/>
                <w:szCs w:val="18"/>
                <w:vertAlign w:val="subscript"/>
              </w:rPr>
            </w:pPr>
          </w:p>
        </w:tc>
        <w:tc>
          <w:tcPr>
            <w:tcW w:w="793" w:type="pct"/>
            <w:vAlign w:val="center"/>
          </w:tcPr>
          <w:p>
            <w:pPr>
              <w:adjustRightInd w:val="0"/>
              <w:jc w:val="center"/>
              <w:rPr>
                <w:caps/>
                <w:kern w:val="0"/>
                <w:sz w:val="18"/>
                <w:szCs w:val="18"/>
              </w:rPr>
            </w:pPr>
            <w:r>
              <w:rPr>
                <w:caps/>
                <w:kern w:val="0"/>
                <w:sz w:val="18"/>
                <w:szCs w:val="18"/>
              </w:rPr>
              <w:t>县城边界</w:t>
            </w:r>
          </w:p>
          <w:p>
            <w:pPr>
              <w:adjustRightInd w:val="0"/>
              <w:jc w:val="center"/>
              <w:rPr>
                <w:caps/>
                <w:kern w:val="0"/>
                <w:sz w:val="18"/>
                <w:szCs w:val="18"/>
              </w:rPr>
            </w:pPr>
            <w:r>
              <w:rPr>
                <w:caps/>
                <w:kern w:val="0"/>
                <w:sz w:val="18"/>
                <w:szCs w:val="18"/>
              </w:rPr>
              <w:t>(新农村上寨)</w:t>
            </w:r>
          </w:p>
        </w:tc>
        <w:tc>
          <w:tcPr>
            <w:tcW w:w="392" w:type="pct"/>
            <w:tcBorders>
              <w:right w:val="single" w:color="auto" w:sz="4" w:space="0"/>
            </w:tcBorders>
            <w:vAlign w:val="center"/>
          </w:tcPr>
          <w:p>
            <w:pPr>
              <w:widowControl/>
              <w:jc w:val="center"/>
              <w:rPr>
                <w:kern w:val="0"/>
                <w:sz w:val="18"/>
                <w:szCs w:val="18"/>
              </w:rPr>
            </w:pPr>
            <w:r>
              <w:rPr>
                <w:kern w:val="0"/>
                <w:sz w:val="18"/>
                <w:szCs w:val="18"/>
              </w:rPr>
              <w:t>-2840</w:t>
            </w:r>
          </w:p>
        </w:tc>
        <w:tc>
          <w:tcPr>
            <w:tcW w:w="394" w:type="pct"/>
            <w:tcBorders>
              <w:left w:val="single" w:color="auto" w:sz="4" w:space="0"/>
            </w:tcBorders>
            <w:vAlign w:val="center"/>
          </w:tcPr>
          <w:p>
            <w:pPr>
              <w:widowControl/>
              <w:jc w:val="center"/>
              <w:rPr>
                <w:kern w:val="0"/>
                <w:sz w:val="18"/>
                <w:szCs w:val="18"/>
              </w:rPr>
            </w:pPr>
            <w:r>
              <w:rPr>
                <w:kern w:val="0"/>
                <w:sz w:val="18"/>
                <w:szCs w:val="18"/>
              </w:rPr>
              <w:t>-5081</w:t>
            </w:r>
          </w:p>
        </w:tc>
        <w:tc>
          <w:tcPr>
            <w:tcW w:w="551" w:type="pct"/>
            <w:tcBorders>
              <w:right w:val="single" w:color="auto" w:sz="4" w:space="0"/>
            </w:tcBorders>
          </w:tcPr>
          <w:p>
            <w:pPr>
              <w:jc w:val="center"/>
              <w:rPr>
                <w:sz w:val="18"/>
                <w:szCs w:val="18"/>
              </w:rPr>
            </w:pPr>
            <w:r>
              <w:rPr>
                <w:bCs/>
                <w:sz w:val="18"/>
                <w:szCs w:val="18"/>
              </w:rPr>
              <w:t>25d平均</w:t>
            </w:r>
          </w:p>
        </w:tc>
        <w:tc>
          <w:tcPr>
            <w:tcW w:w="788" w:type="pct"/>
            <w:tcBorders>
              <w:left w:val="single" w:color="auto" w:sz="4" w:space="0"/>
            </w:tcBorders>
            <w:vAlign w:val="center"/>
          </w:tcPr>
          <w:p>
            <w:pPr>
              <w:adjustRightInd w:val="0"/>
              <w:snapToGrid w:val="0"/>
              <w:ind w:left="132"/>
              <w:jc w:val="center"/>
              <w:rPr>
                <w:bCs/>
                <w:sz w:val="18"/>
                <w:szCs w:val="18"/>
              </w:rPr>
            </w:pPr>
            <w:r>
              <w:rPr>
                <w:bCs/>
                <w:sz w:val="18"/>
                <w:szCs w:val="18"/>
              </w:rPr>
              <w:t>0.433</w:t>
            </w:r>
          </w:p>
        </w:tc>
        <w:tc>
          <w:tcPr>
            <w:tcW w:w="394" w:type="pct"/>
            <w:tcBorders>
              <w:right w:val="single" w:color="auto" w:sz="4" w:space="0"/>
            </w:tcBorders>
          </w:tcPr>
          <w:p>
            <w:pPr>
              <w:jc w:val="center"/>
              <w:rPr>
                <w:sz w:val="18"/>
                <w:szCs w:val="18"/>
              </w:rPr>
            </w:pPr>
            <w:r>
              <w:rPr>
                <w:sz w:val="18"/>
                <w:szCs w:val="18"/>
              </w:rPr>
              <w:t>3.0</w:t>
            </w:r>
          </w:p>
        </w:tc>
        <w:tc>
          <w:tcPr>
            <w:tcW w:w="399" w:type="pct"/>
            <w:tcBorders>
              <w:left w:val="single" w:color="auto" w:sz="4" w:space="0"/>
              <w:right w:val="single" w:color="auto" w:sz="4" w:space="0"/>
            </w:tcBorders>
            <w:vAlign w:val="center"/>
          </w:tcPr>
          <w:p>
            <w:pPr>
              <w:jc w:val="center"/>
              <w:rPr>
                <w:sz w:val="18"/>
                <w:szCs w:val="18"/>
              </w:rPr>
            </w:pPr>
            <w:r>
              <w:rPr>
                <w:sz w:val="18"/>
                <w:szCs w:val="18"/>
              </w:rPr>
              <w:t>0</w:t>
            </w:r>
          </w:p>
        </w:tc>
        <w:tc>
          <w:tcPr>
            <w:tcW w:w="477" w:type="pct"/>
            <w:tcBorders>
              <w:left w:val="single" w:color="auto" w:sz="4" w:space="0"/>
            </w:tcBorders>
          </w:tcPr>
          <w:p>
            <w:pPr>
              <w:jc w:val="center"/>
              <w:rPr>
                <w:sz w:val="18"/>
                <w:szCs w:val="18"/>
              </w:rPr>
            </w:pPr>
            <w:r>
              <w:rPr>
                <w:sz w:val="18"/>
                <w:szCs w:val="18"/>
              </w:rPr>
              <w:t>0</w:t>
            </w:r>
          </w:p>
        </w:tc>
        <w:tc>
          <w:tcPr>
            <w:tcW w:w="363" w:type="pct"/>
          </w:tcPr>
          <w:p>
            <w:pPr>
              <w:widowControl/>
              <w:adjustRightInd w:val="0"/>
              <w:snapToGrid w:val="0"/>
              <w:jc w:val="left"/>
              <w:rPr>
                <w:bCs/>
                <w:sz w:val="18"/>
                <w:szCs w:val="18"/>
              </w:rPr>
            </w:pPr>
            <w:r>
              <w:rPr>
                <w:bCs/>
                <w:sz w:val="18"/>
                <w:szCs w:val="18"/>
              </w:rPr>
              <w:t>达标</w:t>
            </w:r>
          </w:p>
        </w:tc>
      </w:tr>
    </w:tbl>
    <w:p>
      <w:pPr>
        <w:pStyle w:val="7"/>
        <w:ind w:firstLine="480"/>
      </w:pPr>
      <w:r>
        <w:t>从现状监测结果来看，评价范围内各监测点所监测的氟化物挂片浓度标准均满足《环境空气质量标准》（GB3095-2012）限值要求。</w:t>
      </w:r>
    </w:p>
    <w:p>
      <w:pPr>
        <w:pStyle w:val="7"/>
        <w:ind w:firstLine="482"/>
        <w:rPr>
          <w:b/>
          <w:bCs/>
        </w:rPr>
      </w:pPr>
      <w:r>
        <w:rPr>
          <w:rFonts w:hint="eastAsia"/>
          <w:b/>
          <w:bCs/>
        </w:rPr>
        <w:t>2、《年产120万吨轻质高强铝合金材料项目环境影响报告书》中项目所处区域环境空气质量现状</w:t>
      </w:r>
    </w:p>
    <w:p>
      <w:pPr>
        <w:pStyle w:val="7"/>
        <w:ind w:firstLine="480"/>
      </w:pPr>
      <w:r>
        <w:rPr>
          <w:rFonts w:hint="eastAsia"/>
        </w:rPr>
        <w:t>《年产120万吨轻质高强铝合金材料项目环境影响报告书》中云南创新合金有限公司</w:t>
      </w:r>
      <w:r>
        <w:rPr>
          <w:rFonts w:hint="eastAsia"/>
          <w:lang w:val="en-US" w:eastAsia="zh-CN"/>
        </w:rPr>
        <w:t>委托</w:t>
      </w:r>
      <w:r>
        <w:rPr>
          <w:rFonts w:hint="eastAsia"/>
          <w:bCs/>
        </w:rPr>
        <w:t>云南地矿环境检测中心</w:t>
      </w:r>
      <w:r>
        <w:t>于20</w:t>
      </w:r>
      <w:r>
        <w:rPr>
          <w:rFonts w:hint="eastAsia"/>
        </w:rPr>
        <w:t>20</w:t>
      </w:r>
      <w:r>
        <w:t>年</w:t>
      </w:r>
      <w:r>
        <w:rPr>
          <w:rFonts w:hint="eastAsia"/>
        </w:rPr>
        <w:t>5</w:t>
      </w:r>
      <w:r>
        <w:t>月</w:t>
      </w:r>
      <w:r>
        <w:rPr>
          <w:rFonts w:hint="eastAsia"/>
        </w:rPr>
        <w:t>1</w:t>
      </w:r>
      <w:r>
        <w:t>6日—</w:t>
      </w:r>
      <w:r>
        <w:rPr>
          <w:rFonts w:hint="eastAsia"/>
        </w:rPr>
        <w:t>5</w:t>
      </w:r>
      <w:r>
        <w:t>月</w:t>
      </w:r>
      <w:r>
        <w:rPr>
          <w:rFonts w:hint="eastAsia"/>
        </w:rPr>
        <w:t>22</w:t>
      </w:r>
      <w:r>
        <w:t>日对</w:t>
      </w:r>
      <w:r>
        <w:rPr>
          <w:rFonts w:hint="eastAsia"/>
        </w:rPr>
        <w:t>“年产120万吨轻质高强铝合金材料项目”的特征污染因子HCl、Cl</w:t>
      </w:r>
      <w:r>
        <w:rPr>
          <w:rFonts w:hint="eastAsia"/>
          <w:vertAlign w:val="subscript"/>
        </w:rPr>
        <w:t>2</w:t>
      </w:r>
      <w:r>
        <w:rPr>
          <w:rFonts w:hint="eastAsia"/>
        </w:rPr>
        <w:t>的环境空气质量现状进行了一期监测。</w:t>
      </w:r>
    </w:p>
    <w:p>
      <w:pPr>
        <w:pStyle w:val="7"/>
        <w:ind w:firstLine="480"/>
      </w:pPr>
      <w:r>
        <w:rPr>
          <w:rFonts w:hint="eastAsia"/>
        </w:rPr>
        <w:t>（1）</w:t>
      </w:r>
      <w:r>
        <w:t>监测点位、因子和时段等</w:t>
      </w:r>
    </w:p>
    <w:p>
      <w:pPr>
        <w:pStyle w:val="7"/>
        <w:ind w:firstLine="480"/>
        <w:rPr>
          <w:bCs/>
          <w:highlight w:val="none"/>
        </w:rPr>
      </w:pPr>
      <w:r>
        <w:rPr>
          <w:bCs/>
        </w:rPr>
        <w:t>共布设了</w:t>
      </w:r>
      <w:r>
        <w:rPr>
          <w:rFonts w:hint="eastAsia"/>
          <w:bCs/>
        </w:rPr>
        <w:t>1</w:t>
      </w:r>
      <w:r>
        <w:rPr>
          <w:bCs/>
        </w:rPr>
        <w:t>个监测点</w:t>
      </w:r>
      <w:r>
        <w:rPr>
          <w:rFonts w:hint="eastAsia"/>
          <w:bCs/>
        </w:rPr>
        <w:t>，本次评价利用</w:t>
      </w:r>
      <w:r>
        <w:rPr>
          <w:rFonts w:hint="eastAsia"/>
        </w:rPr>
        <w:t>《年产120万吨轻质高强铝合金材料项目环境影响报告书》</w:t>
      </w:r>
      <w:r>
        <w:rPr>
          <w:rFonts w:hint="eastAsia"/>
          <w:bCs/>
        </w:rPr>
        <w:t>环评期间的监测数据</w:t>
      </w:r>
      <w:r>
        <w:rPr>
          <w:bCs/>
        </w:rPr>
        <w:t>。具体位置详见表</w:t>
      </w:r>
      <w:r>
        <w:rPr>
          <w:rFonts w:hint="eastAsia"/>
          <w:bCs/>
        </w:rPr>
        <w:t>5</w:t>
      </w:r>
      <w:r>
        <w:rPr>
          <w:bCs/>
        </w:rPr>
        <w:t>.3-</w:t>
      </w:r>
      <w:r>
        <w:rPr>
          <w:rFonts w:hint="eastAsia"/>
          <w:bCs/>
          <w:lang w:val="en-US" w:eastAsia="zh-CN"/>
        </w:rPr>
        <w:t>9</w:t>
      </w:r>
      <w:r>
        <w:rPr>
          <w:bCs/>
          <w:highlight w:val="none"/>
        </w:rPr>
        <w:t>，</w:t>
      </w:r>
      <w:r>
        <w:rPr>
          <w:highlight w:val="none"/>
        </w:rPr>
        <w:t>监测布点图见附图6。</w:t>
      </w:r>
    </w:p>
    <w:p>
      <w:pPr>
        <w:pStyle w:val="31"/>
      </w:pPr>
      <w:r>
        <w:t>表</w:t>
      </w:r>
      <w:r>
        <w:rPr>
          <w:rFonts w:hint="eastAsia"/>
        </w:rPr>
        <w:t>5</w:t>
      </w:r>
      <w:r>
        <w:t>.3-</w:t>
      </w:r>
      <w:r>
        <w:rPr>
          <w:rFonts w:hint="eastAsia"/>
          <w:lang w:val="en-US" w:eastAsia="zh-CN"/>
        </w:rPr>
        <w:t>9</w:t>
      </w:r>
      <w:r>
        <w:t xml:space="preserve">  环境空气质量现状监测布点一览表</w:t>
      </w:r>
    </w:p>
    <w:tbl>
      <w:tblPr>
        <w:tblStyle w:val="27"/>
        <w:tblW w:w="500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690"/>
        <w:gridCol w:w="2252"/>
        <w:gridCol w:w="1750"/>
        <w:gridCol w:w="1312"/>
        <w:gridCol w:w="1621"/>
        <w:gridCol w:w="146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tblHeader/>
          <w:jc w:val="center"/>
        </w:trPr>
        <w:tc>
          <w:tcPr>
            <w:tcW w:w="379" w:type="pct"/>
            <w:tcBorders>
              <w:top w:val="single" w:color="auto" w:sz="4" w:space="0"/>
              <w:left w:val="single" w:color="auto" w:sz="2" w:space="0"/>
              <w:bottom w:val="single" w:color="auto" w:sz="2" w:space="0"/>
              <w:right w:val="single" w:color="auto" w:sz="2" w:space="0"/>
            </w:tcBorders>
            <w:vAlign w:val="center"/>
          </w:tcPr>
          <w:p>
            <w:pPr>
              <w:pStyle w:val="33"/>
            </w:pPr>
            <w:r>
              <w:t>序号</w:t>
            </w:r>
          </w:p>
        </w:tc>
        <w:tc>
          <w:tcPr>
            <w:tcW w:w="1238" w:type="pct"/>
            <w:tcBorders>
              <w:top w:val="single" w:color="auto" w:sz="4" w:space="0"/>
              <w:left w:val="single" w:color="auto" w:sz="2" w:space="0"/>
              <w:bottom w:val="single" w:color="auto" w:sz="2" w:space="0"/>
              <w:right w:val="single" w:color="auto" w:sz="2" w:space="0"/>
            </w:tcBorders>
            <w:vAlign w:val="center"/>
          </w:tcPr>
          <w:p>
            <w:pPr>
              <w:pStyle w:val="33"/>
            </w:pPr>
            <w:r>
              <w:t>监测点名称</w:t>
            </w:r>
          </w:p>
        </w:tc>
        <w:tc>
          <w:tcPr>
            <w:tcW w:w="962" w:type="pct"/>
            <w:tcBorders>
              <w:top w:val="single" w:color="auto" w:sz="4" w:space="0"/>
              <w:left w:val="single" w:color="auto" w:sz="2" w:space="0"/>
              <w:bottom w:val="single" w:color="auto" w:sz="2" w:space="0"/>
              <w:right w:val="single" w:color="auto" w:sz="2" w:space="0"/>
            </w:tcBorders>
            <w:vAlign w:val="center"/>
          </w:tcPr>
          <w:p>
            <w:pPr>
              <w:pStyle w:val="33"/>
            </w:pPr>
            <w:r>
              <w:t>监测因子</w:t>
            </w:r>
          </w:p>
        </w:tc>
        <w:tc>
          <w:tcPr>
            <w:tcW w:w="721" w:type="pct"/>
            <w:tcBorders>
              <w:top w:val="single" w:color="auto" w:sz="4" w:space="0"/>
              <w:left w:val="single" w:color="auto" w:sz="2" w:space="0"/>
              <w:bottom w:val="single" w:color="auto" w:sz="2" w:space="0"/>
              <w:right w:val="single" w:color="auto" w:sz="4" w:space="0"/>
            </w:tcBorders>
            <w:vAlign w:val="center"/>
          </w:tcPr>
          <w:p>
            <w:pPr>
              <w:pStyle w:val="33"/>
            </w:pPr>
            <w:r>
              <w:t>监测点</w:t>
            </w:r>
            <w:r>
              <w:rPr>
                <w:rFonts w:hint="eastAsia"/>
                <w:lang w:eastAsia="zh-CN"/>
              </w:rPr>
              <w:t>位于</w:t>
            </w:r>
            <w:r>
              <w:rPr>
                <w:rFonts w:hint="eastAsia"/>
              </w:rPr>
              <w:t>本项目</w:t>
            </w:r>
            <w:r>
              <w:t>厂址的相对位置</w:t>
            </w:r>
          </w:p>
        </w:tc>
        <w:tc>
          <w:tcPr>
            <w:tcW w:w="891" w:type="pct"/>
            <w:tcBorders>
              <w:top w:val="single" w:color="auto" w:sz="4" w:space="0"/>
              <w:left w:val="single" w:color="auto" w:sz="4" w:space="0"/>
              <w:bottom w:val="single" w:color="auto" w:sz="2" w:space="0"/>
              <w:right w:val="single" w:color="auto" w:sz="2" w:space="0"/>
            </w:tcBorders>
            <w:vAlign w:val="center"/>
          </w:tcPr>
          <w:p>
            <w:pPr>
              <w:pStyle w:val="33"/>
            </w:pPr>
            <w:r>
              <w:t>监测点位距</w:t>
            </w:r>
            <w:r>
              <w:rPr>
                <w:rFonts w:hint="eastAsia"/>
              </w:rPr>
              <w:t>本项目</w:t>
            </w:r>
            <w:r>
              <w:t>厂界的最近距离(m)</w:t>
            </w:r>
          </w:p>
        </w:tc>
        <w:tc>
          <w:tcPr>
            <w:tcW w:w="806" w:type="pct"/>
            <w:tcBorders>
              <w:top w:val="single" w:color="auto" w:sz="4" w:space="0"/>
              <w:left w:val="single" w:color="auto" w:sz="2" w:space="0"/>
              <w:bottom w:val="single" w:color="auto" w:sz="2" w:space="0"/>
              <w:right w:val="single" w:color="auto" w:sz="2" w:space="0"/>
            </w:tcBorders>
            <w:vAlign w:val="center"/>
          </w:tcPr>
          <w:p>
            <w:pPr>
              <w:pStyle w:val="33"/>
            </w:pPr>
            <w:r>
              <w:t>功能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cantSplit/>
          <w:trHeight w:val="20" w:hRule="atLeast"/>
          <w:jc w:val="center"/>
        </w:trPr>
        <w:tc>
          <w:tcPr>
            <w:tcW w:w="379" w:type="pct"/>
            <w:tcBorders>
              <w:top w:val="single" w:color="auto" w:sz="2" w:space="0"/>
              <w:left w:val="single" w:color="auto" w:sz="2" w:space="0"/>
              <w:bottom w:val="single" w:color="auto" w:sz="2" w:space="0"/>
              <w:right w:val="single" w:color="auto" w:sz="2" w:space="0"/>
            </w:tcBorders>
            <w:vAlign w:val="center"/>
          </w:tcPr>
          <w:p>
            <w:pPr>
              <w:pStyle w:val="33"/>
            </w:pPr>
            <w:r>
              <w:t>1</w:t>
            </w:r>
          </w:p>
        </w:tc>
        <w:tc>
          <w:tcPr>
            <w:tcW w:w="1238" w:type="pct"/>
            <w:tcBorders>
              <w:top w:val="single" w:color="auto" w:sz="2" w:space="0"/>
              <w:left w:val="single" w:color="auto" w:sz="2" w:space="0"/>
              <w:bottom w:val="single" w:color="auto" w:sz="4" w:space="0"/>
              <w:right w:val="single" w:color="auto" w:sz="2" w:space="0"/>
            </w:tcBorders>
            <w:vAlign w:val="center"/>
          </w:tcPr>
          <w:p>
            <w:pPr>
              <w:pStyle w:val="33"/>
            </w:pPr>
            <w:r>
              <w:rPr>
                <w:rFonts w:hint="eastAsia"/>
                <w:caps/>
                <w:kern w:val="0"/>
                <w:szCs w:val="21"/>
              </w:rPr>
              <w:t>厂址中心（</w:t>
            </w:r>
            <w:r>
              <w:rPr>
                <w:rFonts w:hint="eastAsia"/>
              </w:rPr>
              <w:t>年产120万吨轻质高强铝合金材料项目</w:t>
            </w:r>
            <w:r>
              <w:rPr>
                <w:rFonts w:hint="eastAsia"/>
                <w:caps/>
                <w:kern w:val="0"/>
                <w:szCs w:val="21"/>
              </w:rPr>
              <w:t>）</w:t>
            </w:r>
          </w:p>
        </w:tc>
        <w:tc>
          <w:tcPr>
            <w:tcW w:w="962" w:type="pct"/>
            <w:tcBorders>
              <w:top w:val="single" w:color="auto" w:sz="2" w:space="0"/>
              <w:left w:val="single" w:color="auto" w:sz="2" w:space="0"/>
              <w:bottom w:val="single" w:color="auto" w:sz="4" w:space="0"/>
              <w:right w:val="single" w:color="auto" w:sz="2" w:space="0"/>
            </w:tcBorders>
            <w:vAlign w:val="center"/>
          </w:tcPr>
          <w:p>
            <w:pPr>
              <w:pStyle w:val="33"/>
            </w:pPr>
            <w:r>
              <w:rPr>
                <w:rFonts w:hint="eastAsia"/>
                <w:bCs/>
                <w:szCs w:val="21"/>
              </w:rPr>
              <w:t>H</w:t>
            </w:r>
            <w:r>
              <w:rPr>
                <w:bCs/>
                <w:szCs w:val="21"/>
              </w:rPr>
              <w:t>C</w:t>
            </w:r>
            <w:r>
              <w:rPr>
                <w:rFonts w:hint="eastAsia"/>
                <w:bCs/>
                <w:szCs w:val="21"/>
              </w:rPr>
              <w:t>l、Cl</w:t>
            </w:r>
            <w:r>
              <w:rPr>
                <w:rFonts w:hint="eastAsia"/>
                <w:bCs/>
                <w:szCs w:val="21"/>
                <w:vertAlign w:val="subscript"/>
              </w:rPr>
              <w:t>2</w:t>
            </w:r>
          </w:p>
        </w:tc>
        <w:tc>
          <w:tcPr>
            <w:tcW w:w="721" w:type="pct"/>
            <w:tcBorders>
              <w:top w:val="single" w:color="auto" w:sz="2" w:space="0"/>
              <w:left w:val="single" w:color="auto" w:sz="2" w:space="0"/>
              <w:bottom w:val="single" w:color="auto" w:sz="4" w:space="0"/>
              <w:right w:val="single" w:color="auto" w:sz="4" w:space="0"/>
            </w:tcBorders>
            <w:vAlign w:val="center"/>
          </w:tcPr>
          <w:p>
            <w:pPr>
              <w:pStyle w:val="33"/>
            </w:pPr>
            <w:r>
              <w:rPr>
                <w:rFonts w:hint="eastAsia"/>
              </w:rPr>
              <w:t>东北</w:t>
            </w:r>
          </w:p>
        </w:tc>
        <w:tc>
          <w:tcPr>
            <w:tcW w:w="891" w:type="pct"/>
            <w:tcBorders>
              <w:top w:val="single" w:color="auto" w:sz="2" w:space="0"/>
              <w:left w:val="single" w:color="auto" w:sz="4" w:space="0"/>
              <w:bottom w:val="single" w:color="auto" w:sz="4" w:space="0"/>
              <w:right w:val="single" w:color="auto" w:sz="2" w:space="0"/>
            </w:tcBorders>
            <w:vAlign w:val="center"/>
          </w:tcPr>
          <w:p>
            <w:pPr>
              <w:pStyle w:val="33"/>
            </w:pPr>
            <w:r>
              <w:rPr>
                <w:rFonts w:hint="eastAsia"/>
              </w:rPr>
              <w:t>254</w:t>
            </w:r>
          </w:p>
        </w:tc>
        <w:tc>
          <w:tcPr>
            <w:tcW w:w="806" w:type="pct"/>
            <w:tcBorders>
              <w:top w:val="single" w:color="auto" w:sz="2" w:space="0"/>
              <w:left w:val="single" w:color="auto" w:sz="2" w:space="0"/>
              <w:bottom w:val="single" w:color="auto" w:sz="4" w:space="0"/>
              <w:right w:val="single" w:color="auto" w:sz="2" w:space="0"/>
            </w:tcBorders>
            <w:vAlign w:val="center"/>
          </w:tcPr>
          <w:p>
            <w:pPr>
              <w:pStyle w:val="33"/>
            </w:pPr>
            <w:r>
              <w:t>环境空气</w:t>
            </w:r>
          </w:p>
          <w:p>
            <w:pPr>
              <w:pStyle w:val="33"/>
            </w:pPr>
            <w:r>
              <w:rPr>
                <w:rFonts w:hint="eastAsia"/>
              </w:rPr>
              <w:t>二</w:t>
            </w:r>
            <w:r>
              <w:t>级标准</w:t>
            </w:r>
          </w:p>
        </w:tc>
      </w:tr>
    </w:tbl>
    <w:p>
      <w:pPr>
        <w:pStyle w:val="7"/>
        <w:ind w:firstLine="480"/>
      </w:pPr>
      <w:r>
        <w:rPr>
          <w:rFonts w:hint="eastAsia"/>
        </w:rPr>
        <w:t>（2）</w:t>
      </w:r>
      <w:r>
        <w:t>监测频率</w:t>
      </w:r>
    </w:p>
    <w:p>
      <w:pPr>
        <w:pStyle w:val="7"/>
        <w:ind w:firstLine="480"/>
        <w:rPr>
          <w:caps/>
          <w:kern w:val="0"/>
        </w:rPr>
      </w:pPr>
      <w:r>
        <w:rPr>
          <w:bCs/>
        </w:rPr>
        <w:t>连续监测7天，</w:t>
      </w:r>
      <w:r>
        <w:rPr>
          <w:rFonts w:hint="eastAsia"/>
          <w:bCs/>
        </w:rPr>
        <w:t>H</w:t>
      </w:r>
      <w:r>
        <w:rPr>
          <w:bCs/>
        </w:rPr>
        <w:t>C</w:t>
      </w:r>
      <w:r>
        <w:rPr>
          <w:rFonts w:hint="eastAsia"/>
          <w:bCs/>
        </w:rPr>
        <w:t>l、Cl</w:t>
      </w:r>
      <w:r>
        <w:rPr>
          <w:rFonts w:hint="eastAsia"/>
          <w:bCs/>
          <w:vertAlign w:val="subscript"/>
        </w:rPr>
        <w:t>2</w:t>
      </w:r>
      <w:r>
        <w:rPr>
          <w:bCs/>
        </w:rPr>
        <w:t>小时浓度各测点每天采样4次，监测时间为每天的02:00、08:00、14:00、20:00，每次采样时间不少于45分钟。</w:t>
      </w:r>
    </w:p>
    <w:p>
      <w:pPr>
        <w:pStyle w:val="7"/>
        <w:ind w:firstLine="480"/>
      </w:pPr>
      <w:r>
        <w:rPr>
          <w:rFonts w:hint="eastAsia"/>
        </w:rPr>
        <w:t>（3）</w:t>
      </w:r>
      <w:r>
        <w:t>监测方法</w:t>
      </w:r>
    </w:p>
    <w:p>
      <w:pPr>
        <w:pStyle w:val="7"/>
        <w:ind w:firstLine="480"/>
      </w:pPr>
      <w:r>
        <w:t>环境空气质量现状监测分析方法按照《环境空气质量标准》（GB3095-2012）及《空气和废气监测分析方法》（第四版）执行。</w:t>
      </w:r>
    </w:p>
    <w:p>
      <w:pPr>
        <w:pStyle w:val="7"/>
        <w:ind w:firstLine="480"/>
      </w:pPr>
      <w:r>
        <w:rPr>
          <w:rFonts w:hint="eastAsia"/>
        </w:rPr>
        <w:t>（4）评价方法</w:t>
      </w:r>
    </w:p>
    <w:p>
      <w:pPr>
        <w:pStyle w:val="7"/>
        <w:ind w:firstLine="480"/>
      </w:pPr>
      <w:r>
        <w:t>本评价采用单因子评价指数法对空气环境质量现状进行评价，确定空气环境的质量水平。单因子评价指数计算公式如下：</w:t>
      </w:r>
    </w:p>
    <w:p>
      <w:pPr>
        <w:pStyle w:val="7"/>
        <w:ind w:firstLine="480"/>
        <w:rPr>
          <w:bCs/>
        </w:rPr>
      </w:pPr>
      <w:r>
        <w:rPr>
          <w:bCs/>
        </w:rPr>
        <w:t>I</w:t>
      </w:r>
      <w:r>
        <w:rPr>
          <w:bCs/>
          <w:vertAlign w:val="subscript"/>
        </w:rPr>
        <w:t>i</w:t>
      </w:r>
      <w:r>
        <w:rPr>
          <w:bCs/>
        </w:rPr>
        <w:t>= C</w:t>
      </w:r>
      <w:r>
        <w:rPr>
          <w:bCs/>
          <w:vertAlign w:val="subscript"/>
        </w:rPr>
        <w:t>i</w:t>
      </w:r>
      <w:r>
        <w:rPr>
          <w:bCs/>
        </w:rPr>
        <w:t xml:space="preserve"> / C</w:t>
      </w:r>
      <w:r>
        <w:rPr>
          <w:bCs/>
          <w:vertAlign w:val="subscript"/>
        </w:rPr>
        <w:t>0i</w:t>
      </w:r>
    </w:p>
    <w:p>
      <w:pPr>
        <w:pStyle w:val="7"/>
        <w:ind w:firstLine="480"/>
        <w:rPr>
          <w:bCs/>
        </w:rPr>
      </w:pPr>
      <w:r>
        <w:rPr>
          <w:bCs/>
        </w:rPr>
        <w:t>式中：I</w:t>
      </w:r>
      <w:r>
        <w:rPr>
          <w:bCs/>
          <w:vertAlign w:val="subscript"/>
        </w:rPr>
        <w:t>i</w:t>
      </w:r>
      <w:r>
        <w:rPr>
          <w:bCs/>
        </w:rPr>
        <w:t>—污染物i的单因子评价指数；</w:t>
      </w:r>
    </w:p>
    <w:p>
      <w:pPr>
        <w:pStyle w:val="7"/>
        <w:ind w:firstLine="480"/>
        <w:rPr>
          <w:bCs/>
        </w:rPr>
      </w:pPr>
      <w:r>
        <w:rPr>
          <w:bCs/>
        </w:rPr>
        <w:t>C</w:t>
      </w:r>
      <w:r>
        <w:rPr>
          <w:bCs/>
          <w:vertAlign w:val="subscript"/>
        </w:rPr>
        <w:t>i</w:t>
      </w:r>
      <w:r>
        <w:rPr>
          <w:bCs/>
        </w:rPr>
        <w:t>—污染物i的实测浓度；</w:t>
      </w:r>
    </w:p>
    <w:p>
      <w:pPr>
        <w:pStyle w:val="7"/>
        <w:ind w:firstLine="480"/>
        <w:rPr>
          <w:bCs/>
        </w:rPr>
      </w:pPr>
      <w:r>
        <w:rPr>
          <w:bCs/>
        </w:rPr>
        <w:t>C</w:t>
      </w:r>
      <w:r>
        <w:rPr>
          <w:bCs/>
          <w:vertAlign w:val="subscript"/>
        </w:rPr>
        <w:t>0i</w:t>
      </w:r>
      <w:r>
        <w:rPr>
          <w:bCs/>
        </w:rPr>
        <w:t>—污染物i的评价标准。</w:t>
      </w:r>
    </w:p>
    <w:p>
      <w:pPr>
        <w:pStyle w:val="7"/>
        <w:numPr>
          <w:ilvl w:val="0"/>
          <w:numId w:val="2"/>
        </w:numPr>
        <w:ind w:firstLine="480"/>
      </w:pPr>
      <w:r>
        <w:t>监测统计结果分析及评价</w:t>
      </w:r>
    </w:p>
    <w:p>
      <w:pPr>
        <w:pStyle w:val="31"/>
      </w:pPr>
      <w:r>
        <w:t>表</w:t>
      </w:r>
      <w:r>
        <w:rPr>
          <w:rFonts w:hint="eastAsia"/>
        </w:rPr>
        <w:t>5</w:t>
      </w:r>
      <w:r>
        <w:t>.3-</w:t>
      </w:r>
      <w:r>
        <w:rPr>
          <w:rFonts w:hint="eastAsia"/>
          <w:lang w:val="en-US" w:eastAsia="zh-CN"/>
        </w:rPr>
        <w:t>10</w:t>
      </w:r>
      <w:r>
        <w:t xml:space="preserve">  HCl 1小时平均浓度监测结果  </w:t>
      </w:r>
      <w:r>
        <w:rPr>
          <w:rFonts w:hint="eastAsia"/>
          <w:lang w:val="en-US" w:eastAsia="zh-CN"/>
        </w:rPr>
        <w:t xml:space="preserve">  </w:t>
      </w:r>
      <w:r>
        <w:t>单位：mg/m</w:t>
      </w:r>
      <w:r>
        <w:rPr>
          <w:vertAlign w:val="superscript"/>
        </w:rPr>
        <w:t>3</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276"/>
        <w:gridCol w:w="1573"/>
        <w:gridCol w:w="1510"/>
        <w:gridCol w:w="1170"/>
        <w:gridCol w:w="1148"/>
        <w:gridCol w:w="1302"/>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04" w:type="pct"/>
            <w:vAlign w:val="center"/>
          </w:tcPr>
          <w:p>
            <w:pPr>
              <w:pStyle w:val="33"/>
            </w:pPr>
            <w:r>
              <w:t>采样</w:t>
            </w:r>
          </w:p>
          <w:p>
            <w:pPr>
              <w:pStyle w:val="33"/>
            </w:pPr>
            <w:r>
              <w:t>点位</w:t>
            </w:r>
          </w:p>
        </w:tc>
        <w:tc>
          <w:tcPr>
            <w:tcW w:w="687" w:type="pct"/>
            <w:vAlign w:val="center"/>
          </w:tcPr>
          <w:p>
            <w:pPr>
              <w:pStyle w:val="33"/>
            </w:pPr>
            <w:r>
              <w:t>采样</w:t>
            </w:r>
          </w:p>
          <w:p>
            <w:pPr>
              <w:pStyle w:val="33"/>
            </w:pPr>
            <w:r>
              <w:t>日期</w:t>
            </w:r>
          </w:p>
        </w:tc>
        <w:tc>
          <w:tcPr>
            <w:tcW w:w="847" w:type="pct"/>
            <w:vAlign w:val="center"/>
          </w:tcPr>
          <w:p>
            <w:pPr>
              <w:pStyle w:val="33"/>
            </w:pPr>
            <w:r>
              <w:t>采样时段</w:t>
            </w:r>
          </w:p>
        </w:tc>
        <w:tc>
          <w:tcPr>
            <w:tcW w:w="813" w:type="pct"/>
            <w:vAlign w:val="center"/>
          </w:tcPr>
          <w:p>
            <w:pPr>
              <w:pStyle w:val="33"/>
            </w:pPr>
            <w:r>
              <w:t>HCl</w:t>
            </w:r>
          </w:p>
        </w:tc>
        <w:tc>
          <w:tcPr>
            <w:tcW w:w="630" w:type="pct"/>
            <w:vAlign w:val="center"/>
          </w:tcPr>
          <w:p>
            <w:pPr>
              <w:pStyle w:val="33"/>
            </w:pPr>
            <w:r>
              <w:t>标准值</w:t>
            </w:r>
          </w:p>
        </w:tc>
        <w:tc>
          <w:tcPr>
            <w:tcW w:w="618" w:type="pct"/>
            <w:vAlign w:val="center"/>
          </w:tcPr>
          <w:p>
            <w:pPr>
              <w:pStyle w:val="33"/>
            </w:pPr>
            <w:r>
              <w:t>超标率/%</w:t>
            </w:r>
          </w:p>
        </w:tc>
        <w:tc>
          <w:tcPr>
            <w:tcW w:w="701" w:type="pct"/>
            <w:vAlign w:val="center"/>
          </w:tcPr>
          <w:p>
            <w:pPr>
              <w:pStyle w:val="33"/>
            </w:pPr>
            <w:r>
              <w:t>达标情况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restart"/>
            <w:vAlign w:val="center"/>
          </w:tcPr>
          <w:p>
            <w:pPr>
              <w:pStyle w:val="33"/>
            </w:pPr>
            <w:r>
              <w:rPr>
                <w:rFonts w:hint="eastAsia"/>
              </w:rPr>
              <w:t>厂址中心</w:t>
            </w:r>
          </w:p>
        </w:tc>
        <w:tc>
          <w:tcPr>
            <w:tcW w:w="687" w:type="pct"/>
            <w:vMerge w:val="restart"/>
            <w:vAlign w:val="center"/>
          </w:tcPr>
          <w:p>
            <w:pPr>
              <w:pStyle w:val="33"/>
            </w:pPr>
            <w:r>
              <w:t>5月16日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vAlign w:val="center"/>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5月17日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5月18日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5月19日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5月20日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5月21日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5月22日</w:t>
            </w:r>
          </w:p>
        </w:tc>
        <w:tc>
          <w:tcPr>
            <w:tcW w:w="847" w:type="pct"/>
            <w:vAlign w:val="bottom"/>
          </w:tcPr>
          <w:p>
            <w:pPr>
              <w:pStyle w:val="33"/>
            </w:pPr>
            <w:r>
              <w:t>02:00-03:00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w:t>
            </w:r>
            <w:r>
              <w:rPr>
                <w:rFonts w:hint="eastAsia"/>
              </w:rPr>
              <w:t>5</w:t>
            </w:r>
          </w:p>
        </w:tc>
        <w:tc>
          <w:tcPr>
            <w:tcW w:w="630" w:type="pct"/>
          </w:tcPr>
          <w:p>
            <w:pPr>
              <w:pStyle w:val="33"/>
            </w:pPr>
            <w:r>
              <w:t>0.05</w:t>
            </w:r>
          </w:p>
        </w:tc>
        <w:tc>
          <w:tcPr>
            <w:tcW w:w="618" w:type="pct"/>
            <w:vAlign w:val="center"/>
          </w:tcPr>
          <w:p>
            <w:pPr>
              <w:pStyle w:val="33"/>
            </w:pPr>
            <w:r>
              <w:t>0</w:t>
            </w:r>
          </w:p>
        </w:tc>
        <w:tc>
          <w:tcPr>
            <w:tcW w:w="701" w:type="pct"/>
            <w:vAlign w:val="center"/>
          </w:tcPr>
          <w:p>
            <w:pPr>
              <w:pStyle w:val="33"/>
            </w:pPr>
            <w:r>
              <w:t>达标</w:t>
            </w:r>
          </w:p>
        </w:tc>
      </w:tr>
    </w:tbl>
    <w:p>
      <w:pPr>
        <w:pStyle w:val="31"/>
      </w:pPr>
      <w:r>
        <w:t>表</w:t>
      </w:r>
      <w:r>
        <w:rPr>
          <w:rFonts w:hint="eastAsia"/>
        </w:rPr>
        <w:t>5</w:t>
      </w:r>
      <w:r>
        <w:t>.3-</w:t>
      </w:r>
      <w:r>
        <w:rPr>
          <w:rFonts w:hint="eastAsia"/>
          <w:lang w:val="en-US" w:eastAsia="zh-CN"/>
        </w:rPr>
        <w:t>11</w:t>
      </w:r>
      <w:r>
        <w:t xml:space="preserve">  Cl</w:t>
      </w:r>
      <w:r>
        <w:rPr>
          <w:vertAlign w:val="subscript"/>
        </w:rPr>
        <w:t>2</w:t>
      </w:r>
      <w:r>
        <w:t xml:space="preserve"> 1小时平均浓度监测结果 </w:t>
      </w:r>
      <w:r>
        <w:rPr>
          <w:rFonts w:hint="eastAsia"/>
          <w:lang w:val="en-US" w:eastAsia="zh-CN"/>
        </w:rPr>
        <w:t xml:space="preserve">  </w:t>
      </w:r>
      <w:r>
        <w:t xml:space="preserve"> 单位：mg/m</w:t>
      </w:r>
      <w:r>
        <w:rPr>
          <w:vertAlign w:val="superscript"/>
        </w:rPr>
        <w:t>3</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276"/>
        <w:gridCol w:w="1573"/>
        <w:gridCol w:w="1510"/>
        <w:gridCol w:w="1170"/>
        <w:gridCol w:w="1148"/>
        <w:gridCol w:w="1302"/>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04" w:type="pct"/>
            <w:vAlign w:val="center"/>
          </w:tcPr>
          <w:p>
            <w:pPr>
              <w:pStyle w:val="33"/>
            </w:pPr>
            <w:r>
              <w:t>采样</w:t>
            </w:r>
          </w:p>
          <w:p>
            <w:pPr>
              <w:pStyle w:val="33"/>
            </w:pPr>
            <w:r>
              <w:t>点位</w:t>
            </w:r>
          </w:p>
        </w:tc>
        <w:tc>
          <w:tcPr>
            <w:tcW w:w="687" w:type="pct"/>
            <w:vAlign w:val="center"/>
          </w:tcPr>
          <w:p>
            <w:pPr>
              <w:pStyle w:val="33"/>
            </w:pPr>
            <w:r>
              <w:t>采样</w:t>
            </w:r>
          </w:p>
          <w:p>
            <w:pPr>
              <w:pStyle w:val="33"/>
            </w:pPr>
            <w:r>
              <w:t>日期</w:t>
            </w:r>
          </w:p>
        </w:tc>
        <w:tc>
          <w:tcPr>
            <w:tcW w:w="847" w:type="pct"/>
            <w:vAlign w:val="center"/>
          </w:tcPr>
          <w:p>
            <w:pPr>
              <w:pStyle w:val="33"/>
            </w:pPr>
            <w:r>
              <w:t>采样时段</w:t>
            </w:r>
          </w:p>
        </w:tc>
        <w:tc>
          <w:tcPr>
            <w:tcW w:w="813" w:type="pct"/>
            <w:vAlign w:val="center"/>
          </w:tcPr>
          <w:p>
            <w:pPr>
              <w:pStyle w:val="33"/>
            </w:pPr>
            <w:r>
              <w:t>Cl</w:t>
            </w:r>
            <w:r>
              <w:rPr>
                <w:vertAlign w:val="subscript"/>
              </w:rPr>
              <w:t>2</w:t>
            </w:r>
          </w:p>
        </w:tc>
        <w:tc>
          <w:tcPr>
            <w:tcW w:w="630" w:type="pct"/>
            <w:vAlign w:val="center"/>
          </w:tcPr>
          <w:p>
            <w:pPr>
              <w:pStyle w:val="33"/>
            </w:pPr>
            <w:r>
              <w:t>标准值</w:t>
            </w:r>
          </w:p>
        </w:tc>
        <w:tc>
          <w:tcPr>
            <w:tcW w:w="618" w:type="pct"/>
            <w:vAlign w:val="center"/>
          </w:tcPr>
          <w:p>
            <w:pPr>
              <w:pStyle w:val="33"/>
            </w:pPr>
            <w:r>
              <w:t>超标率/%</w:t>
            </w:r>
          </w:p>
        </w:tc>
        <w:tc>
          <w:tcPr>
            <w:tcW w:w="701" w:type="pct"/>
            <w:vAlign w:val="center"/>
          </w:tcPr>
          <w:p>
            <w:pPr>
              <w:pStyle w:val="33"/>
            </w:pPr>
            <w:r>
              <w:t>达标情况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restart"/>
            <w:vAlign w:val="center"/>
          </w:tcPr>
          <w:p>
            <w:pPr>
              <w:pStyle w:val="33"/>
            </w:pPr>
            <w:r>
              <w:rPr>
                <w:rFonts w:hint="eastAsia"/>
              </w:rPr>
              <w:t>厂址中心</w:t>
            </w:r>
          </w:p>
        </w:tc>
        <w:tc>
          <w:tcPr>
            <w:tcW w:w="687" w:type="pct"/>
            <w:vMerge w:val="restart"/>
            <w:vAlign w:val="center"/>
          </w:tcPr>
          <w:p>
            <w:pPr>
              <w:pStyle w:val="33"/>
            </w:pPr>
            <w:r>
              <w:t>5月16日</w:t>
            </w:r>
          </w:p>
        </w:tc>
        <w:tc>
          <w:tcPr>
            <w:tcW w:w="847" w:type="pct"/>
            <w:vAlign w:val="bottom"/>
          </w:tcPr>
          <w:p>
            <w:pPr>
              <w:pStyle w:val="33"/>
            </w:pPr>
            <w:r>
              <w:t>02:00-03:00</w:t>
            </w:r>
          </w:p>
        </w:tc>
        <w:tc>
          <w:tcPr>
            <w:tcW w:w="813" w:type="pct"/>
          </w:tcPr>
          <w:p>
            <w:pPr>
              <w:pStyle w:val="33"/>
            </w:pPr>
            <w:r>
              <w:rPr>
                <w:rFonts w:hint="eastAsia"/>
              </w:rPr>
              <w:t>＜</w:t>
            </w:r>
            <w:r>
              <w:t xml:space="preserve">0.03 </w:t>
            </w:r>
          </w:p>
        </w:tc>
        <w:tc>
          <w:tcPr>
            <w:tcW w:w="630" w:type="pct"/>
            <w:vAlign w:val="center"/>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5月17日</w:t>
            </w:r>
          </w:p>
        </w:tc>
        <w:tc>
          <w:tcPr>
            <w:tcW w:w="847" w:type="pct"/>
            <w:vAlign w:val="bottom"/>
          </w:tcPr>
          <w:p>
            <w:pPr>
              <w:pStyle w:val="33"/>
            </w:pPr>
            <w:r>
              <w:t>02:00-03:00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5月18日</w:t>
            </w:r>
          </w:p>
        </w:tc>
        <w:tc>
          <w:tcPr>
            <w:tcW w:w="847" w:type="pct"/>
            <w:vAlign w:val="bottom"/>
          </w:tcPr>
          <w:p>
            <w:pPr>
              <w:pStyle w:val="33"/>
            </w:pPr>
            <w:r>
              <w:t>02:00-03:00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5月19日</w:t>
            </w:r>
          </w:p>
        </w:tc>
        <w:tc>
          <w:tcPr>
            <w:tcW w:w="847" w:type="pct"/>
            <w:vAlign w:val="bottom"/>
          </w:tcPr>
          <w:p>
            <w:pPr>
              <w:pStyle w:val="33"/>
            </w:pPr>
            <w:r>
              <w:t>02:00-03:00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5月20日</w:t>
            </w:r>
          </w:p>
        </w:tc>
        <w:tc>
          <w:tcPr>
            <w:tcW w:w="847" w:type="pct"/>
            <w:vAlign w:val="bottom"/>
          </w:tcPr>
          <w:p>
            <w:pPr>
              <w:pStyle w:val="33"/>
            </w:pPr>
            <w:r>
              <w:t>02:00-03:00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5月21日</w:t>
            </w:r>
          </w:p>
        </w:tc>
        <w:tc>
          <w:tcPr>
            <w:tcW w:w="847" w:type="pct"/>
            <w:vAlign w:val="bottom"/>
          </w:tcPr>
          <w:p>
            <w:pPr>
              <w:pStyle w:val="33"/>
            </w:pPr>
            <w:r>
              <w:t>02:00-03:00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restart"/>
            <w:vAlign w:val="center"/>
          </w:tcPr>
          <w:p>
            <w:pPr>
              <w:pStyle w:val="33"/>
            </w:pPr>
            <w:r>
              <w:t>5月22日</w:t>
            </w:r>
          </w:p>
        </w:tc>
        <w:tc>
          <w:tcPr>
            <w:tcW w:w="847" w:type="pct"/>
            <w:vAlign w:val="bottom"/>
          </w:tcPr>
          <w:p>
            <w:pPr>
              <w:pStyle w:val="33"/>
            </w:pPr>
            <w:r>
              <w:t>02:00-03:00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08:00-09:00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14:00-15:00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c>
          <w:tcPr>
            <w:tcW w:w="704" w:type="pct"/>
            <w:vMerge w:val="continue"/>
            <w:vAlign w:val="center"/>
          </w:tcPr>
          <w:p>
            <w:pPr>
              <w:pStyle w:val="33"/>
            </w:pPr>
          </w:p>
        </w:tc>
        <w:tc>
          <w:tcPr>
            <w:tcW w:w="687" w:type="pct"/>
            <w:vMerge w:val="continue"/>
            <w:vAlign w:val="center"/>
          </w:tcPr>
          <w:p>
            <w:pPr>
              <w:pStyle w:val="33"/>
            </w:pPr>
          </w:p>
        </w:tc>
        <w:tc>
          <w:tcPr>
            <w:tcW w:w="847" w:type="pct"/>
            <w:vAlign w:val="bottom"/>
          </w:tcPr>
          <w:p>
            <w:pPr>
              <w:pStyle w:val="33"/>
            </w:pPr>
            <w:r>
              <w:t>20:00-21:00</w:t>
            </w:r>
          </w:p>
        </w:tc>
        <w:tc>
          <w:tcPr>
            <w:tcW w:w="813" w:type="pct"/>
          </w:tcPr>
          <w:p>
            <w:pPr>
              <w:pStyle w:val="33"/>
            </w:pPr>
            <w:r>
              <w:rPr>
                <w:rFonts w:hint="eastAsia"/>
              </w:rPr>
              <w:t>＜</w:t>
            </w:r>
            <w:r>
              <w:t>0.03</w:t>
            </w:r>
          </w:p>
        </w:tc>
        <w:tc>
          <w:tcPr>
            <w:tcW w:w="630" w:type="pct"/>
          </w:tcPr>
          <w:p>
            <w:pPr>
              <w:pStyle w:val="33"/>
            </w:pPr>
            <w:r>
              <w:t>0.1</w:t>
            </w:r>
          </w:p>
        </w:tc>
        <w:tc>
          <w:tcPr>
            <w:tcW w:w="618" w:type="pct"/>
            <w:vAlign w:val="center"/>
          </w:tcPr>
          <w:p>
            <w:pPr>
              <w:pStyle w:val="33"/>
            </w:pPr>
            <w:r>
              <w:t>0</w:t>
            </w:r>
          </w:p>
        </w:tc>
        <w:tc>
          <w:tcPr>
            <w:tcW w:w="701" w:type="pct"/>
            <w:vAlign w:val="center"/>
          </w:tcPr>
          <w:p>
            <w:pPr>
              <w:pStyle w:val="33"/>
            </w:pPr>
            <w:r>
              <w:t>达标</w:t>
            </w:r>
          </w:p>
        </w:tc>
      </w:tr>
    </w:tbl>
    <w:p>
      <w:pPr>
        <w:pStyle w:val="2"/>
        <w:spacing w:line="360" w:lineRule="auto"/>
        <w:ind w:left="0" w:leftChars="0" w:firstLine="480"/>
        <w:rPr>
          <w:bCs/>
        </w:rPr>
      </w:pPr>
      <w:r>
        <w:rPr>
          <w:bCs/>
        </w:rPr>
        <w:t>从现状监测结果来看，评价范围内监测点所监测的</w:t>
      </w:r>
      <w:r>
        <w:rPr>
          <w:rFonts w:hint="eastAsia"/>
          <w:bCs/>
        </w:rPr>
        <w:t>氯化氢、氯气</w:t>
      </w:r>
      <w:r>
        <w:rPr>
          <w:bCs/>
        </w:rPr>
        <w:t>浓度标准均满足</w:t>
      </w:r>
      <w:r>
        <w:rPr>
          <w:rFonts w:hint="eastAsia"/>
          <w:bCs/>
        </w:rPr>
        <w:t>环境质量标准</w:t>
      </w:r>
      <w:r>
        <w:rPr>
          <w:bCs/>
        </w:rPr>
        <w:t>限值</w:t>
      </w:r>
      <w:r>
        <w:rPr>
          <w:rFonts w:hint="eastAsia"/>
          <w:bCs/>
        </w:rPr>
        <w:t>的</w:t>
      </w:r>
      <w:r>
        <w:rPr>
          <w:bCs/>
        </w:rPr>
        <w:t>要求。</w:t>
      </w:r>
    </w:p>
    <w:p>
      <w:pPr>
        <w:pStyle w:val="8"/>
      </w:pPr>
      <w:r>
        <w:rPr>
          <w:rFonts w:hint="eastAsia"/>
        </w:rPr>
        <w:t>5.3.2地表水环境质量现状</w:t>
      </w:r>
    </w:p>
    <w:p>
      <w:pPr>
        <w:pStyle w:val="7"/>
        <w:ind w:firstLine="480"/>
      </w:pPr>
      <w:r>
        <w:rPr>
          <w:rFonts w:hint="eastAsia"/>
        </w:rPr>
        <w:t>本项目分别位于听湖水库、公革河以北，项目距离听湖水库、公革河的最近距离分别约1596m、3605m。本项目运营期间生活污水和生产废水进入砚山县污水处理厂处理，厂区初期雨水依托云南宏泰新型材料有限公司雨水管网排入公革河，有效避免了厂区雨水对听湖水库的影响。</w:t>
      </w:r>
    </w:p>
    <w:p>
      <w:pPr>
        <w:pStyle w:val="7"/>
        <w:ind w:firstLine="480"/>
      </w:pPr>
      <w:r>
        <w:rPr>
          <w:rFonts w:hint="eastAsia"/>
        </w:rPr>
        <w:t>1、听湖水库</w:t>
      </w:r>
    </w:p>
    <w:p>
      <w:pPr>
        <w:pStyle w:val="7"/>
        <w:ind w:firstLine="480"/>
      </w:pPr>
      <w:r>
        <w:rPr>
          <w:rFonts w:hint="eastAsia"/>
        </w:rPr>
        <w:t>听湖水库水质现状引用砚山分局生态环境监测站2021年第一季度、第二季度的监测报告，详见表5.3-</w:t>
      </w:r>
      <w:r>
        <w:rPr>
          <w:rFonts w:hint="eastAsia"/>
          <w:lang w:val="en-US" w:eastAsia="zh-CN"/>
        </w:rPr>
        <w:t>12</w:t>
      </w:r>
      <w:r>
        <w:rPr>
          <w:rFonts w:hint="eastAsia"/>
        </w:rPr>
        <w:t>；从表5.3-</w:t>
      </w:r>
      <w:r>
        <w:rPr>
          <w:rFonts w:hint="eastAsia"/>
          <w:lang w:val="en-US" w:eastAsia="zh-CN"/>
        </w:rPr>
        <w:t>12</w:t>
      </w:r>
      <w:r>
        <w:rPr>
          <w:rFonts w:hint="eastAsia"/>
        </w:rPr>
        <w:t>中可看出听湖水库的综合水质并不能达到其水环境功能，主要影响因子为总磷、总氮和高锰酸盐指数，从指标来看，属于生活污染源对其的影响。</w:t>
      </w:r>
    </w:p>
    <w:p>
      <w:pPr>
        <w:widowControl/>
        <w:adjustRightInd w:val="0"/>
        <w:snapToGrid w:val="0"/>
        <w:spacing w:line="360" w:lineRule="auto"/>
        <w:ind w:firstLine="480" w:firstLineChars="200"/>
        <w:jc w:val="left"/>
        <w:rPr>
          <w:bCs/>
        </w:rPr>
        <w:sectPr>
          <w:headerReference r:id="rId8" w:type="first"/>
          <w:footerReference r:id="rId9" w:type="default"/>
          <w:footerReference r:id="rId10" w:type="even"/>
          <w:pgSz w:w="11906" w:h="16838"/>
          <w:pgMar w:top="1418" w:right="1418" w:bottom="1418" w:left="1418" w:header="851" w:footer="992" w:gutter="0"/>
          <w:cols w:space="720" w:num="1"/>
          <w:docGrid w:linePitch="326" w:charSpace="0"/>
        </w:sectPr>
      </w:pPr>
    </w:p>
    <w:p>
      <w:pPr>
        <w:pStyle w:val="31"/>
        <w:keepNext w:val="0"/>
        <w:keepLines w:val="0"/>
        <w:pageBreakBefore w:val="0"/>
        <w:widowControl w:val="0"/>
        <w:kinsoku/>
        <w:wordWrap/>
        <w:overflowPunct/>
        <w:topLinePunct w:val="0"/>
        <w:autoSpaceDE/>
        <w:autoSpaceDN/>
        <w:bidi w:val="0"/>
        <w:adjustRightInd/>
        <w:snapToGrid/>
        <w:spacing w:before="0"/>
        <w:textAlignment w:val="auto"/>
      </w:pPr>
      <w:r>
        <w:t>表</w:t>
      </w:r>
      <w:r>
        <w:rPr>
          <w:rFonts w:hint="eastAsia"/>
        </w:rPr>
        <w:t>5</w:t>
      </w:r>
      <w:r>
        <w:t>.3-</w:t>
      </w:r>
      <w:r>
        <w:rPr>
          <w:rFonts w:hint="eastAsia"/>
          <w:lang w:val="en-US" w:eastAsia="zh-CN"/>
        </w:rPr>
        <w:t>12</w:t>
      </w:r>
      <w:r>
        <w:t xml:space="preserve">  听湖水库</w:t>
      </w:r>
      <w:r>
        <w:rPr>
          <w:rFonts w:hint="eastAsia"/>
        </w:rPr>
        <w:t>2021</w:t>
      </w:r>
      <w:r>
        <w:t>年水质监测状况</w:t>
      </w:r>
    </w:p>
    <w:tbl>
      <w:tblPr>
        <w:tblStyle w:val="27"/>
        <w:tblW w:w="4996" w:type="pct"/>
        <w:tblInd w:w="0" w:type="dxa"/>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160"/>
        <w:gridCol w:w="1453"/>
        <w:gridCol w:w="1321"/>
        <w:gridCol w:w="1321"/>
        <w:gridCol w:w="1321"/>
        <w:gridCol w:w="1330"/>
        <w:gridCol w:w="1321"/>
        <w:gridCol w:w="1321"/>
        <w:gridCol w:w="1321"/>
        <w:gridCol w:w="1338"/>
      </w:tblGrid>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Merge w:val="restart"/>
            <w:noWrap/>
            <w:vAlign w:val="center"/>
          </w:tcPr>
          <w:p>
            <w:pPr>
              <w:pStyle w:val="33"/>
              <w:rPr>
                <w:sz w:val="18"/>
                <w:szCs w:val="18"/>
              </w:rPr>
            </w:pPr>
            <w:r>
              <w:rPr>
                <w:sz w:val="18"/>
                <w:szCs w:val="18"/>
              </w:rPr>
              <w:t>项目</w:t>
            </w:r>
          </w:p>
        </w:tc>
        <w:tc>
          <w:tcPr>
            <w:tcW w:w="511" w:type="pct"/>
            <w:vMerge w:val="restart"/>
            <w:noWrap/>
            <w:vAlign w:val="center"/>
          </w:tcPr>
          <w:p>
            <w:pPr>
              <w:pStyle w:val="33"/>
              <w:rPr>
                <w:sz w:val="18"/>
                <w:szCs w:val="18"/>
              </w:rPr>
            </w:pPr>
            <w:r>
              <w:rPr>
                <w:rFonts w:hint="eastAsia"/>
                <w:sz w:val="18"/>
                <w:szCs w:val="18"/>
              </w:rPr>
              <w:t>标准值（II类）</w:t>
            </w:r>
          </w:p>
        </w:tc>
        <w:tc>
          <w:tcPr>
            <w:tcW w:w="1863" w:type="pct"/>
            <w:gridSpan w:val="4"/>
            <w:noWrap/>
            <w:vAlign w:val="center"/>
          </w:tcPr>
          <w:p>
            <w:pPr>
              <w:pStyle w:val="33"/>
              <w:rPr>
                <w:sz w:val="18"/>
                <w:szCs w:val="18"/>
              </w:rPr>
            </w:pPr>
            <w:r>
              <w:rPr>
                <w:sz w:val="18"/>
                <w:szCs w:val="18"/>
              </w:rPr>
              <w:t>20</w:t>
            </w:r>
            <w:r>
              <w:rPr>
                <w:rFonts w:hint="eastAsia"/>
                <w:sz w:val="18"/>
                <w:szCs w:val="18"/>
              </w:rPr>
              <w:t>21</w:t>
            </w:r>
            <w:r>
              <w:rPr>
                <w:sz w:val="18"/>
                <w:szCs w:val="18"/>
              </w:rPr>
              <w:t>年第一季度</w:t>
            </w:r>
          </w:p>
        </w:tc>
        <w:tc>
          <w:tcPr>
            <w:tcW w:w="1864" w:type="pct"/>
            <w:gridSpan w:val="4"/>
            <w:noWrap/>
            <w:vAlign w:val="center"/>
          </w:tcPr>
          <w:p>
            <w:pPr>
              <w:pStyle w:val="33"/>
              <w:rPr>
                <w:sz w:val="18"/>
                <w:szCs w:val="18"/>
              </w:rPr>
            </w:pPr>
            <w:r>
              <w:rPr>
                <w:sz w:val="18"/>
                <w:szCs w:val="18"/>
              </w:rPr>
              <w:t>20</w:t>
            </w:r>
            <w:r>
              <w:rPr>
                <w:rFonts w:hint="eastAsia"/>
                <w:sz w:val="18"/>
                <w:szCs w:val="18"/>
              </w:rPr>
              <w:t>21</w:t>
            </w:r>
            <w:r>
              <w:rPr>
                <w:sz w:val="18"/>
                <w:szCs w:val="18"/>
              </w:rPr>
              <w:t>年第二季度</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Merge w:val="continue"/>
            <w:noWrap/>
            <w:vAlign w:val="center"/>
          </w:tcPr>
          <w:p>
            <w:pPr>
              <w:pStyle w:val="33"/>
              <w:rPr>
                <w:sz w:val="18"/>
                <w:szCs w:val="18"/>
              </w:rPr>
            </w:pPr>
          </w:p>
        </w:tc>
        <w:tc>
          <w:tcPr>
            <w:tcW w:w="511" w:type="pct"/>
            <w:vMerge w:val="continue"/>
            <w:noWrap/>
            <w:vAlign w:val="center"/>
          </w:tcPr>
          <w:p>
            <w:pPr>
              <w:pStyle w:val="33"/>
              <w:rPr>
                <w:sz w:val="18"/>
                <w:szCs w:val="18"/>
              </w:rPr>
            </w:pPr>
          </w:p>
        </w:tc>
        <w:tc>
          <w:tcPr>
            <w:tcW w:w="465" w:type="pct"/>
            <w:noWrap/>
            <w:vAlign w:val="center"/>
          </w:tcPr>
          <w:p>
            <w:pPr>
              <w:pStyle w:val="33"/>
              <w:rPr>
                <w:sz w:val="18"/>
                <w:szCs w:val="18"/>
              </w:rPr>
            </w:pPr>
            <w:r>
              <w:rPr>
                <w:rFonts w:hint="eastAsia"/>
                <w:sz w:val="18"/>
                <w:szCs w:val="18"/>
              </w:rPr>
              <w:t>监测</w:t>
            </w:r>
            <w:r>
              <w:rPr>
                <w:sz w:val="18"/>
                <w:szCs w:val="18"/>
              </w:rPr>
              <w:t>结果</w:t>
            </w:r>
          </w:p>
        </w:tc>
        <w:tc>
          <w:tcPr>
            <w:tcW w:w="465" w:type="pct"/>
            <w:noWrap/>
            <w:vAlign w:val="center"/>
          </w:tcPr>
          <w:p>
            <w:pPr>
              <w:pStyle w:val="33"/>
              <w:rPr>
                <w:sz w:val="18"/>
                <w:szCs w:val="18"/>
              </w:rPr>
            </w:pPr>
            <w:r>
              <w:rPr>
                <w:rFonts w:hint="eastAsia"/>
                <w:sz w:val="18"/>
                <w:szCs w:val="18"/>
              </w:rPr>
              <w:t>标准指数</w:t>
            </w:r>
          </w:p>
        </w:tc>
        <w:tc>
          <w:tcPr>
            <w:tcW w:w="465" w:type="pct"/>
            <w:noWrap/>
            <w:vAlign w:val="center"/>
          </w:tcPr>
          <w:p>
            <w:pPr>
              <w:pStyle w:val="33"/>
              <w:rPr>
                <w:sz w:val="18"/>
                <w:szCs w:val="18"/>
              </w:rPr>
            </w:pPr>
            <w:r>
              <w:rPr>
                <w:rFonts w:hint="eastAsia"/>
                <w:sz w:val="18"/>
                <w:szCs w:val="18"/>
              </w:rPr>
              <w:t>超标倍数</w:t>
            </w:r>
          </w:p>
        </w:tc>
        <w:tc>
          <w:tcPr>
            <w:tcW w:w="465" w:type="pct"/>
            <w:noWrap/>
            <w:vAlign w:val="center"/>
          </w:tcPr>
          <w:p>
            <w:pPr>
              <w:pStyle w:val="33"/>
              <w:rPr>
                <w:sz w:val="18"/>
                <w:szCs w:val="18"/>
              </w:rPr>
            </w:pPr>
            <w:r>
              <w:rPr>
                <w:rFonts w:hint="eastAsia"/>
                <w:sz w:val="18"/>
                <w:szCs w:val="18"/>
              </w:rPr>
              <w:t>达标情况</w:t>
            </w:r>
          </w:p>
        </w:tc>
        <w:tc>
          <w:tcPr>
            <w:tcW w:w="465" w:type="pct"/>
            <w:noWrap/>
            <w:vAlign w:val="center"/>
          </w:tcPr>
          <w:p>
            <w:pPr>
              <w:pStyle w:val="33"/>
              <w:rPr>
                <w:sz w:val="18"/>
                <w:szCs w:val="18"/>
              </w:rPr>
            </w:pPr>
            <w:r>
              <w:rPr>
                <w:rFonts w:hint="eastAsia"/>
                <w:sz w:val="18"/>
                <w:szCs w:val="18"/>
              </w:rPr>
              <w:t>监测</w:t>
            </w:r>
            <w:r>
              <w:rPr>
                <w:sz w:val="18"/>
                <w:szCs w:val="18"/>
              </w:rPr>
              <w:t>结果</w:t>
            </w:r>
          </w:p>
        </w:tc>
        <w:tc>
          <w:tcPr>
            <w:tcW w:w="465" w:type="pct"/>
            <w:noWrap/>
            <w:vAlign w:val="center"/>
          </w:tcPr>
          <w:p>
            <w:pPr>
              <w:pStyle w:val="33"/>
              <w:rPr>
                <w:sz w:val="18"/>
                <w:szCs w:val="18"/>
              </w:rPr>
            </w:pPr>
            <w:r>
              <w:rPr>
                <w:rFonts w:hint="eastAsia"/>
                <w:sz w:val="18"/>
                <w:szCs w:val="18"/>
              </w:rPr>
              <w:t>标准指数</w:t>
            </w:r>
          </w:p>
        </w:tc>
        <w:tc>
          <w:tcPr>
            <w:tcW w:w="465" w:type="pct"/>
            <w:noWrap/>
            <w:vAlign w:val="center"/>
          </w:tcPr>
          <w:p>
            <w:pPr>
              <w:pStyle w:val="33"/>
              <w:rPr>
                <w:sz w:val="18"/>
                <w:szCs w:val="18"/>
              </w:rPr>
            </w:pPr>
            <w:r>
              <w:rPr>
                <w:rFonts w:hint="eastAsia"/>
                <w:sz w:val="18"/>
                <w:szCs w:val="18"/>
              </w:rPr>
              <w:t>超标倍数</w:t>
            </w:r>
          </w:p>
        </w:tc>
        <w:tc>
          <w:tcPr>
            <w:tcW w:w="467" w:type="pct"/>
            <w:noWrap/>
            <w:vAlign w:val="center"/>
          </w:tcPr>
          <w:p>
            <w:pPr>
              <w:pStyle w:val="33"/>
              <w:rPr>
                <w:sz w:val="18"/>
                <w:szCs w:val="18"/>
              </w:rPr>
            </w:pPr>
            <w:r>
              <w:rPr>
                <w:rFonts w:hint="eastAsia"/>
                <w:sz w:val="18"/>
                <w:szCs w:val="18"/>
              </w:rPr>
              <w:t>达标情况</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55" w:hRule="atLeast"/>
        </w:trPr>
        <w:tc>
          <w:tcPr>
            <w:tcW w:w="760" w:type="pct"/>
            <w:noWrap/>
            <w:vAlign w:val="center"/>
          </w:tcPr>
          <w:p>
            <w:pPr>
              <w:pStyle w:val="33"/>
              <w:rPr>
                <w:sz w:val="18"/>
                <w:szCs w:val="18"/>
              </w:rPr>
            </w:pPr>
            <w:r>
              <w:rPr>
                <w:rFonts w:hint="eastAsia"/>
                <w:sz w:val="18"/>
                <w:szCs w:val="18"/>
              </w:rPr>
              <w:t>水温</w:t>
            </w:r>
          </w:p>
        </w:tc>
        <w:tc>
          <w:tcPr>
            <w:tcW w:w="511"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13.3</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18.5</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w:t>
            </w:r>
          </w:p>
        </w:tc>
        <w:tc>
          <w:tcPr>
            <w:tcW w:w="467" w:type="pct"/>
            <w:noWrap/>
            <w:vAlign w:val="center"/>
          </w:tcPr>
          <w:p>
            <w:pPr>
              <w:pStyle w:val="33"/>
              <w:rPr>
                <w:sz w:val="18"/>
                <w:szCs w:val="18"/>
              </w:rPr>
            </w:pPr>
            <w:r>
              <w:rPr>
                <w:rFonts w:hint="eastAsia"/>
                <w:sz w:val="18"/>
                <w:szCs w:val="18"/>
              </w:rPr>
              <w:t>/</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90" w:hRule="atLeast"/>
        </w:trPr>
        <w:tc>
          <w:tcPr>
            <w:tcW w:w="760" w:type="pct"/>
            <w:vAlign w:val="center"/>
          </w:tcPr>
          <w:p>
            <w:pPr>
              <w:pStyle w:val="33"/>
              <w:rPr>
                <w:sz w:val="18"/>
                <w:szCs w:val="18"/>
              </w:rPr>
            </w:pPr>
            <w:r>
              <w:rPr>
                <w:sz w:val="18"/>
                <w:szCs w:val="18"/>
              </w:rPr>
              <w:t>pH</w:t>
            </w:r>
          </w:p>
        </w:tc>
        <w:tc>
          <w:tcPr>
            <w:tcW w:w="511" w:type="pct"/>
            <w:vAlign w:val="center"/>
          </w:tcPr>
          <w:p>
            <w:pPr>
              <w:pStyle w:val="33"/>
              <w:rPr>
                <w:sz w:val="18"/>
                <w:szCs w:val="18"/>
              </w:rPr>
            </w:pPr>
            <w:r>
              <w:rPr>
                <w:rFonts w:hint="eastAsia"/>
                <w:sz w:val="18"/>
                <w:szCs w:val="18"/>
              </w:rPr>
              <w:t>6~9</w:t>
            </w:r>
          </w:p>
        </w:tc>
        <w:tc>
          <w:tcPr>
            <w:tcW w:w="465" w:type="pct"/>
            <w:vAlign w:val="center"/>
          </w:tcPr>
          <w:p>
            <w:pPr>
              <w:pStyle w:val="33"/>
              <w:rPr>
                <w:sz w:val="18"/>
                <w:szCs w:val="18"/>
              </w:rPr>
            </w:pPr>
            <w:r>
              <w:rPr>
                <w:rFonts w:hint="eastAsia"/>
                <w:sz w:val="18"/>
                <w:szCs w:val="18"/>
              </w:rPr>
              <w:t>8.16</w:t>
            </w:r>
          </w:p>
        </w:tc>
        <w:tc>
          <w:tcPr>
            <w:tcW w:w="465" w:type="pct"/>
            <w:vAlign w:val="center"/>
          </w:tcPr>
          <w:p>
            <w:pPr>
              <w:pStyle w:val="33"/>
              <w:rPr>
                <w:sz w:val="18"/>
                <w:szCs w:val="18"/>
              </w:rPr>
            </w:pPr>
            <w:r>
              <w:rPr>
                <w:sz w:val="18"/>
                <w:szCs w:val="18"/>
              </w:rPr>
              <w:t>0.58</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8.20</w:t>
            </w:r>
          </w:p>
        </w:tc>
        <w:tc>
          <w:tcPr>
            <w:tcW w:w="465" w:type="pct"/>
            <w:vAlign w:val="center"/>
          </w:tcPr>
          <w:p>
            <w:pPr>
              <w:pStyle w:val="33"/>
              <w:rPr>
                <w:sz w:val="18"/>
                <w:szCs w:val="18"/>
              </w:rPr>
            </w:pPr>
            <w:r>
              <w:rPr>
                <w:sz w:val="18"/>
                <w:szCs w:val="18"/>
              </w:rPr>
              <w:t>0.6</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shd w:val="clear" w:color="auto" w:fill="D7D7D7" w:themeFill="background1" w:themeFillShade="D8"/>
            <w:vAlign w:val="center"/>
          </w:tcPr>
          <w:p>
            <w:pPr>
              <w:pStyle w:val="33"/>
              <w:rPr>
                <w:sz w:val="18"/>
                <w:szCs w:val="18"/>
              </w:rPr>
            </w:pPr>
            <w:r>
              <w:rPr>
                <w:sz w:val="18"/>
                <w:szCs w:val="18"/>
              </w:rPr>
              <w:t>BOD</w:t>
            </w:r>
            <w:r>
              <w:rPr>
                <w:rFonts w:hint="eastAsia"/>
                <w:sz w:val="18"/>
                <w:szCs w:val="18"/>
              </w:rPr>
              <w:t>5</w:t>
            </w:r>
          </w:p>
        </w:tc>
        <w:tc>
          <w:tcPr>
            <w:tcW w:w="511" w:type="pct"/>
            <w:shd w:val="clear" w:color="auto" w:fill="D7D7D7" w:themeFill="background1" w:themeFillShade="D8"/>
            <w:vAlign w:val="center"/>
          </w:tcPr>
          <w:p>
            <w:pPr>
              <w:pStyle w:val="33"/>
              <w:rPr>
                <w:sz w:val="18"/>
                <w:szCs w:val="18"/>
              </w:rPr>
            </w:pPr>
            <w:r>
              <w:rPr>
                <w:rFonts w:hint="eastAsia"/>
                <w:sz w:val="18"/>
                <w:szCs w:val="18"/>
              </w:rPr>
              <w:t>3</w:t>
            </w:r>
          </w:p>
        </w:tc>
        <w:tc>
          <w:tcPr>
            <w:tcW w:w="465" w:type="pct"/>
            <w:shd w:val="clear" w:color="auto" w:fill="D7D7D7" w:themeFill="background1" w:themeFillShade="D8"/>
            <w:vAlign w:val="center"/>
          </w:tcPr>
          <w:p>
            <w:pPr>
              <w:pStyle w:val="33"/>
              <w:rPr>
                <w:sz w:val="18"/>
                <w:szCs w:val="18"/>
              </w:rPr>
            </w:pPr>
            <w:r>
              <w:rPr>
                <w:rFonts w:hint="eastAsia"/>
                <w:sz w:val="18"/>
                <w:szCs w:val="18"/>
              </w:rPr>
              <w:t>6</w:t>
            </w:r>
          </w:p>
        </w:tc>
        <w:tc>
          <w:tcPr>
            <w:tcW w:w="465" w:type="pct"/>
            <w:shd w:val="clear" w:color="auto" w:fill="D7D7D7" w:themeFill="background1" w:themeFillShade="D8"/>
            <w:vAlign w:val="center"/>
          </w:tcPr>
          <w:p>
            <w:pPr>
              <w:pStyle w:val="33"/>
              <w:rPr>
                <w:sz w:val="18"/>
                <w:szCs w:val="18"/>
              </w:rPr>
            </w:pPr>
            <w:r>
              <w:rPr>
                <w:sz w:val="18"/>
                <w:szCs w:val="18"/>
              </w:rPr>
              <w:t>2</w:t>
            </w:r>
          </w:p>
        </w:tc>
        <w:tc>
          <w:tcPr>
            <w:tcW w:w="465" w:type="pct"/>
            <w:shd w:val="clear" w:color="auto" w:fill="D7D7D7" w:themeFill="background1" w:themeFillShade="D8"/>
            <w:vAlign w:val="center"/>
          </w:tcPr>
          <w:p>
            <w:pPr>
              <w:pStyle w:val="33"/>
              <w:rPr>
                <w:sz w:val="18"/>
                <w:szCs w:val="18"/>
              </w:rPr>
            </w:pPr>
            <w:r>
              <w:rPr>
                <w:rFonts w:hint="eastAsia"/>
                <w:sz w:val="18"/>
                <w:szCs w:val="18"/>
              </w:rPr>
              <w:t>1</w:t>
            </w:r>
          </w:p>
        </w:tc>
        <w:tc>
          <w:tcPr>
            <w:tcW w:w="465" w:type="pct"/>
            <w:shd w:val="clear" w:color="auto" w:fill="D7D7D7" w:themeFill="background1" w:themeFillShade="D8"/>
            <w:vAlign w:val="center"/>
          </w:tcPr>
          <w:p>
            <w:pPr>
              <w:pStyle w:val="33"/>
              <w:rPr>
                <w:sz w:val="18"/>
                <w:szCs w:val="18"/>
              </w:rPr>
            </w:pPr>
            <w:r>
              <w:rPr>
                <w:rFonts w:hint="eastAsia"/>
                <w:sz w:val="18"/>
                <w:szCs w:val="18"/>
              </w:rPr>
              <w:t>超标</w:t>
            </w:r>
          </w:p>
        </w:tc>
        <w:tc>
          <w:tcPr>
            <w:tcW w:w="465" w:type="pct"/>
            <w:shd w:val="clear" w:color="auto" w:fill="D7D7D7" w:themeFill="background1" w:themeFillShade="D8"/>
            <w:vAlign w:val="center"/>
          </w:tcPr>
          <w:p>
            <w:pPr>
              <w:pStyle w:val="33"/>
              <w:rPr>
                <w:sz w:val="18"/>
                <w:szCs w:val="18"/>
              </w:rPr>
            </w:pPr>
            <w:r>
              <w:rPr>
                <w:rFonts w:hint="eastAsia"/>
                <w:sz w:val="18"/>
                <w:szCs w:val="18"/>
              </w:rPr>
              <w:t>4</w:t>
            </w:r>
          </w:p>
        </w:tc>
        <w:tc>
          <w:tcPr>
            <w:tcW w:w="465" w:type="pct"/>
            <w:shd w:val="clear" w:color="auto" w:fill="D7D7D7" w:themeFill="background1" w:themeFillShade="D8"/>
            <w:vAlign w:val="center"/>
          </w:tcPr>
          <w:p>
            <w:pPr>
              <w:pStyle w:val="33"/>
              <w:rPr>
                <w:sz w:val="18"/>
                <w:szCs w:val="18"/>
              </w:rPr>
            </w:pPr>
            <w:r>
              <w:rPr>
                <w:sz w:val="18"/>
                <w:szCs w:val="18"/>
              </w:rPr>
              <w:t>1.333</w:t>
            </w:r>
          </w:p>
        </w:tc>
        <w:tc>
          <w:tcPr>
            <w:tcW w:w="465" w:type="pct"/>
            <w:shd w:val="clear" w:color="auto" w:fill="D7D7D7" w:themeFill="background1" w:themeFillShade="D8"/>
            <w:vAlign w:val="center"/>
          </w:tcPr>
          <w:p>
            <w:pPr>
              <w:pStyle w:val="33"/>
              <w:rPr>
                <w:sz w:val="18"/>
                <w:szCs w:val="18"/>
              </w:rPr>
            </w:pPr>
            <w:r>
              <w:rPr>
                <w:rFonts w:hint="eastAsia"/>
                <w:sz w:val="18"/>
                <w:szCs w:val="18"/>
              </w:rPr>
              <w:t>0.333</w:t>
            </w:r>
          </w:p>
        </w:tc>
        <w:tc>
          <w:tcPr>
            <w:tcW w:w="467" w:type="pct"/>
            <w:shd w:val="clear" w:color="auto" w:fill="D7D7D7" w:themeFill="background1" w:themeFillShade="D8"/>
            <w:vAlign w:val="center"/>
          </w:tcPr>
          <w:p>
            <w:pPr>
              <w:pStyle w:val="33"/>
              <w:rPr>
                <w:sz w:val="18"/>
                <w:szCs w:val="18"/>
              </w:rPr>
            </w:pPr>
            <w:r>
              <w:rPr>
                <w:rFonts w:hint="eastAsia"/>
                <w:sz w:val="18"/>
                <w:szCs w:val="18"/>
              </w:rPr>
              <w:t>超标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氟化物</w:t>
            </w:r>
          </w:p>
        </w:tc>
        <w:tc>
          <w:tcPr>
            <w:tcW w:w="511" w:type="pct"/>
            <w:vAlign w:val="center"/>
          </w:tcPr>
          <w:p>
            <w:pPr>
              <w:pStyle w:val="33"/>
              <w:rPr>
                <w:sz w:val="18"/>
                <w:szCs w:val="18"/>
              </w:rPr>
            </w:pPr>
            <w:r>
              <w:rPr>
                <w:rFonts w:hint="eastAsia"/>
                <w:sz w:val="18"/>
                <w:szCs w:val="18"/>
              </w:rPr>
              <w:t>1.0</w:t>
            </w:r>
          </w:p>
        </w:tc>
        <w:tc>
          <w:tcPr>
            <w:tcW w:w="465" w:type="pct"/>
            <w:vAlign w:val="center"/>
          </w:tcPr>
          <w:p>
            <w:pPr>
              <w:pStyle w:val="33"/>
              <w:rPr>
                <w:sz w:val="18"/>
                <w:szCs w:val="18"/>
              </w:rPr>
            </w:pPr>
            <w:r>
              <w:rPr>
                <w:rFonts w:hint="eastAsia"/>
                <w:sz w:val="18"/>
                <w:szCs w:val="18"/>
              </w:rPr>
              <w:t>0.306</w:t>
            </w:r>
          </w:p>
        </w:tc>
        <w:tc>
          <w:tcPr>
            <w:tcW w:w="465" w:type="pct"/>
            <w:vAlign w:val="center"/>
          </w:tcPr>
          <w:p>
            <w:pPr>
              <w:pStyle w:val="33"/>
              <w:rPr>
                <w:sz w:val="18"/>
                <w:szCs w:val="18"/>
              </w:rPr>
            </w:pPr>
            <w:r>
              <w:rPr>
                <w:sz w:val="18"/>
                <w:szCs w:val="18"/>
              </w:rPr>
              <w:t>0.306</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0.276</w:t>
            </w:r>
          </w:p>
        </w:tc>
        <w:tc>
          <w:tcPr>
            <w:tcW w:w="465" w:type="pct"/>
            <w:vAlign w:val="center"/>
          </w:tcPr>
          <w:p>
            <w:pPr>
              <w:pStyle w:val="33"/>
              <w:rPr>
                <w:sz w:val="18"/>
                <w:szCs w:val="18"/>
              </w:rPr>
            </w:pPr>
            <w:r>
              <w:rPr>
                <w:sz w:val="18"/>
                <w:szCs w:val="18"/>
              </w:rPr>
              <w:t>0.276</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90" w:hRule="atLeast"/>
        </w:trPr>
        <w:tc>
          <w:tcPr>
            <w:tcW w:w="760" w:type="pct"/>
            <w:vAlign w:val="center"/>
          </w:tcPr>
          <w:p>
            <w:pPr>
              <w:pStyle w:val="33"/>
              <w:rPr>
                <w:sz w:val="18"/>
                <w:szCs w:val="18"/>
              </w:rPr>
            </w:pPr>
            <w:r>
              <w:rPr>
                <w:sz w:val="18"/>
                <w:szCs w:val="18"/>
              </w:rPr>
              <w:t>硫酸盐</w:t>
            </w:r>
          </w:p>
        </w:tc>
        <w:tc>
          <w:tcPr>
            <w:tcW w:w="511" w:type="pct"/>
            <w:vAlign w:val="center"/>
          </w:tcPr>
          <w:p>
            <w:pPr>
              <w:pStyle w:val="33"/>
              <w:rPr>
                <w:sz w:val="18"/>
                <w:szCs w:val="18"/>
              </w:rPr>
            </w:pPr>
            <w:r>
              <w:rPr>
                <w:rFonts w:hint="eastAsia"/>
                <w:sz w:val="18"/>
                <w:szCs w:val="18"/>
              </w:rPr>
              <w:t>250</w:t>
            </w:r>
          </w:p>
        </w:tc>
        <w:tc>
          <w:tcPr>
            <w:tcW w:w="465" w:type="pct"/>
            <w:vAlign w:val="center"/>
          </w:tcPr>
          <w:p>
            <w:pPr>
              <w:pStyle w:val="33"/>
              <w:rPr>
                <w:sz w:val="18"/>
                <w:szCs w:val="18"/>
              </w:rPr>
            </w:pPr>
            <w:r>
              <w:rPr>
                <w:rFonts w:hint="eastAsia"/>
                <w:sz w:val="18"/>
                <w:szCs w:val="18"/>
              </w:rPr>
              <w:t>23.5</w:t>
            </w:r>
          </w:p>
        </w:tc>
        <w:tc>
          <w:tcPr>
            <w:tcW w:w="465" w:type="pct"/>
            <w:vAlign w:val="center"/>
          </w:tcPr>
          <w:p>
            <w:pPr>
              <w:pStyle w:val="33"/>
              <w:rPr>
                <w:sz w:val="18"/>
                <w:szCs w:val="18"/>
              </w:rPr>
            </w:pPr>
            <w:r>
              <w:rPr>
                <w:sz w:val="18"/>
                <w:szCs w:val="18"/>
              </w:rPr>
              <w:t>0.094</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21.8</w:t>
            </w:r>
          </w:p>
        </w:tc>
        <w:tc>
          <w:tcPr>
            <w:tcW w:w="465" w:type="pct"/>
            <w:vAlign w:val="center"/>
          </w:tcPr>
          <w:p>
            <w:pPr>
              <w:pStyle w:val="33"/>
              <w:rPr>
                <w:sz w:val="18"/>
                <w:szCs w:val="18"/>
              </w:rPr>
            </w:pPr>
            <w:r>
              <w:rPr>
                <w:sz w:val="18"/>
                <w:szCs w:val="18"/>
              </w:rPr>
              <w:t>0.0872</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氯化物</w:t>
            </w:r>
          </w:p>
        </w:tc>
        <w:tc>
          <w:tcPr>
            <w:tcW w:w="511" w:type="pct"/>
            <w:vAlign w:val="center"/>
          </w:tcPr>
          <w:p>
            <w:pPr>
              <w:pStyle w:val="33"/>
              <w:rPr>
                <w:sz w:val="18"/>
                <w:szCs w:val="18"/>
              </w:rPr>
            </w:pPr>
            <w:r>
              <w:rPr>
                <w:rFonts w:hint="eastAsia"/>
                <w:sz w:val="18"/>
                <w:szCs w:val="18"/>
              </w:rPr>
              <w:t>250</w:t>
            </w:r>
          </w:p>
        </w:tc>
        <w:tc>
          <w:tcPr>
            <w:tcW w:w="465" w:type="pct"/>
            <w:vAlign w:val="center"/>
          </w:tcPr>
          <w:p>
            <w:pPr>
              <w:pStyle w:val="33"/>
              <w:rPr>
                <w:sz w:val="18"/>
                <w:szCs w:val="18"/>
              </w:rPr>
            </w:pPr>
            <w:r>
              <w:rPr>
                <w:rFonts w:hint="eastAsia"/>
                <w:sz w:val="18"/>
                <w:szCs w:val="18"/>
              </w:rPr>
              <w:t>42</w:t>
            </w:r>
          </w:p>
        </w:tc>
        <w:tc>
          <w:tcPr>
            <w:tcW w:w="465" w:type="pct"/>
            <w:vAlign w:val="center"/>
          </w:tcPr>
          <w:p>
            <w:pPr>
              <w:pStyle w:val="33"/>
              <w:rPr>
                <w:sz w:val="18"/>
                <w:szCs w:val="18"/>
              </w:rPr>
            </w:pPr>
            <w:r>
              <w:rPr>
                <w:sz w:val="18"/>
                <w:szCs w:val="18"/>
              </w:rPr>
              <w:t>0.168</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44.1</w:t>
            </w:r>
          </w:p>
        </w:tc>
        <w:tc>
          <w:tcPr>
            <w:tcW w:w="465" w:type="pct"/>
            <w:vAlign w:val="center"/>
          </w:tcPr>
          <w:p>
            <w:pPr>
              <w:pStyle w:val="33"/>
              <w:rPr>
                <w:sz w:val="18"/>
                <w:szCs w:val="18"/>
              </w:rPr>
            </w:pPr>
            <w:r>
              <w:rPr>
                <w:sz w:val="18"/>
                <w:szCs w:val="18"/>
              </w:rPr>
              <w:t>0.1764</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硝酸盐氮</w:t>
            </w:r>
          </w:p>
        </w:tc>
        <w:tc>
          <w:tcPr>
            <w:tcW w:w="511" w:type="pct"/>
            <w:vAlign w:val="center"/>
          </w:tcPr>
          <w:p>
            <w:pPr>
              <w:pStyle w:val="33"/>
              <w:rPr>
                <w:sz w:val="18"/>
                <w:szCs w:val="18"/>
              </w:rPr>
            </w:pPr>
            <w:r>
              <w:rPr>
                <w:rFonts w:hint="eastAsia"/>
                <w:sz w:val="18"/>
                <w:szCs w:val="18"/>
              </w:rPr>
              <w:t>10</w:t>
            </w:r>
          </w:p>
        </w:tc>
        <w:tc>
          <w:tcPr>
            <w:tcW w:w="465" w:type="pct"/>
            <w:vAlign w:val="center"/>
          </w:tcPr>
          <w:p>
            <w:pPr>
              <w:pStyle w:val="33"/>
              <w:rPr>
                <w:sz w:val="18"/>
                <w:szCs w:val="18"/>
              </w:rPr>
            </w:pPr>
            <w:r>
              <w:rPr>
                <w:rFonts w:hint="eastAsia"/>
                <w:sz w:val="18"/>
                <w:szCs w:val="18"/>
              </w:rPr>
              <w:t>0.583</w:t>
            </w:r>
          </w:p>
        </w:tc>
        <w:tc>
          <w:tcPr>
            <w:tcW w:w="465" w:type="pct"/>
            <w:vAlign w:val="center"/>
          </w:tcPr>
          <w:p>
            <w:pPr>
              <w:pStyle w:val="33"/>
              <w:rPr>
                <w:sz w:val="18"/>
                <w:szCs w:val="18"/>
              </w:rPr>
            </w:pPr>
            <w:r>
              <w:rPr>
                <w:sz w:val="18"/>
                <w:szCs w:val="18"/>
              </w:rPr>
              <w:t>0.0583</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0.232</w:t>
            </w:r>
          </w:p>
        </w:tc>
        <w:tc>
          <w:tcPr>
            <w:tcW w:w="465" w:type="pct"/>
            <w:vAlign w:val="center"/>
          </w:tcPr>
          <w:p>
            <w:pPr>
              <w:pStyle w:val="33"/>
              <w:rPr>
                <w:sz w:val="18"/>
                <w:szCs w:val="18"/>
              </w:rPr>
            </w:pPr>
            <w:r>
              <w:rPr>
                <w:sz w:val="18"/>
                <w:szCs w:val="18"/>
              </w:rPr>
              <w:t>0.0232</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shd w:val="clear" w:color="auto" w:fill="D7D7D7" w:themeFill="background1" w:themeFillShade="D8"/>
            <w:vAlign w:val="center"/>
          </w:tcPr>
          <w:p>
            <w:pPr>
              <w:pStyle w:val="33"/>
              <w:rPr>
                <w:sz w:val="18"/>
                <w:szCs w:val="18"/>
              </w:rPr>
            </w:pPr>
            <w:r>
              <w:rPr>
                <w:sz w:val="18"/>
                <w:szCs w:val="18"/>
              </w:rPr>
              <w:t>氨 氮</w:t>
            </w:r>
          </w:p>
        </w:tc>
        <w:tc>
          <w:tcPr>
            <w:tcW w:w="511" w:type="pct"/>
            <w:vAlign w:val="center"/>
          </w:tcPr>
          <w:p>
            <w:pPr>
              <w:pStyle w:val="33"/>
              <w:rPr>
                <w:sz w:val="18"/>
                <w:szCs w:val="18"/>
              </w:rPr>
            </w:pPr>
            <w:r>
              <w:rPr>
                <w:rFonts w:hint="eastAsia"/>
                <w:sz w:val="18"/>
                <w:szCs w:val="18"/>
              </w:rPr>
              <w:t>0.5</w:t>
            </w:r>
          </w:p>
        </w:tc>
        <w:tc>
          <w:tcPr>
            <w:tcW w:w="465" w:type="pct"/>
            <w:vAlign w:val="center"/>
          </w:tcPr>
          <w:p>
            <w:pPr>
              <w:pStyle w:val="33"/>
              <w:rPr>
                <w:sz w:val="18"/>
                <w:szCs w:val="18"/>
              </w:rPr>
            </w:pPr>
            <w:r>
              <w:rPr>
                <w:rFonts w:hint="eastAsia"/>
                <w:sz w:val="18"/>
                <w:szCs w:val="18"/>
              </w:rPr>
              <w:t>0.17</w:t>
            </w:r>
          </w:p>
        </w:tc>
        <w:tc>
          <w:tcPr>
            <w:tcW w:w="465" w:type="pct"/>
            <w:vAlign w:val="center"/>
          </w:tcPr>
          <w:p>
            <w:pPr>
              <w:pStyle w:val="33"/>
              <w:rPr>
                <w:sz w:val="18"/>
                <w:szCs w:val="18"/>
              </w:rPr>
            </w:pPr>
            <w:r>
              <w:rPr>
                <w:sz w:val="18"/>
                <w:szCs w:val="18"/>
              </w:rPr>
              <w:t>0.34</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shd w:val="clear" w:color="auto" w:fill="D7D7D7" w:themeFill="background1" w:themeFillShade="D8"/>
            <w:vAlign w:val="center"/>
          </w:tcPr>
          <w:p>
            <w:pPr>
              <w:pStyle w:val="33"/>
              <w:rPr>
                <w:sz w:val="18"/>
                <w:szCs w:val="18"/>
              </w:rPr>
            </w:pPr>
            <w:r>
              <w:rPr>
                <w:rFonts w:hint="eastAsia"/>
                <w:sz w:val="18"/>
                <w:szCs w:val="18"/>
              </w:rPr>
              <w:t>0.68</w:t>
            </w:r>
          </w:p>
        </w:tc>
        <w:tc>
          <w:tcPr>
            <w:tcW w:w="465" w:type="pct"/>
            <w:shd w:val="clear" w:color="auto" w:fill="D7D7D7" w:themeFill="background1" w:themeFillShade="D8"/>
            <w:vAlign w:val="center"/>
          </w:tcPr>
          <w:p>
            <w:pPr>
              <w:pStyle w:val="33"/>
              <w:rPr>
                <w:sz w:val="18"/>
                <w:szCs w:val="18"/>
              </w:rPr>
            </w:pPr>
            <w:r>
              <w:rPr>
                <w:sz w:val="18"/>
                <w:szCs w:val="18"/>
              </w:rPr>
              <w:t>1.36</w:t>
            </w:r>
          </w:p>
        </w:tc>
        <w:tc>
          <w:tcPr>
            <w:tcW w:w="465" w:type="pct"/>
            <w:shd w:val="clear" w:color="auto" w:fill="D7D7D7" w:themeFill="background1" w:themeFillShade="D8"/>
            <w:vAlign w:val="center"/>
          </w:tcPr>
          <w:p>
            <w:pPr>
              <w:pStyle w:val="33"/>
              <w:rPr>
                <w:sz w:val="18"/>
                <w:szCs w:val="18"/>
              </w:rPr>
            </w:pPr>
            <w:r>
              <w:rPr>
                <w:rFonts w:hint="eastAsia"/>
                <w:sz w:val="18"/>
                <w:szCs w:val="18"/>
              </w:rPr>
              <w:t>0.36</w:t>
            </w:r>
          </w:p>
        </w:tc>
        <w:tc>
          <w:tcPr>
            <w:tcW w:w="467" w:type="pct"/>
            <w:shd w:val="clear" w:color="auto" w:fill="D7D7D7" w:themeFill="background1" w:themeFillShade="D8"/>
            <w:vAlign w:val="center"/>
          </w:tcPr>
          <w:p>
            <w:pPr>
              <w:pStyle w:val="33"/>
              <w:rPr>
                <w:sz w:val="18"/>
                <w:szCs w:val="18"/>
              </w:rPr>
            </w:pPr>
            <w:r>
              <w:rPr>
                <w:rFonts w:hint="eastAsia"/>
                <w:sz w:val="18"/>
                <w:szCs w:val="18"/>
              </w:rPr>
              <w:t>超标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溶解氧</w:t>
            </w:r>
          </w:p>
        </w:tc>
        <w:tc>
          <w:tcPr>
            <w:tcW w:w="511" w:type="pct"/>
            <w:vAlign w:val="center"/>
          </w:tcPr>
          <w:p>
            <w:pPr>
              <w:pStyle w:val="33"/>
              <w:rPr>
                <w:sz w:val="18"/>
                <w:szCs w:val="18"/>
              </w:rPr>
            </w:pPr>
            <w:r>
              <w:rPr>
                <w:rFonts w:hint="eastAsia"/>
                <w:sz w:val="18"/>
                <w:szCs w:val="18"/>
              </w:rPr>
              <w:t>6</w:t>
            </w:r>
          </w:p>
        </w:tc>
        <w:tc>
          <w:tcPr>
            <w:tcW w:w="465" w:type="pct"/>
            <w:vAlign w:val="center"/>
          </w:tcPr>
          <w:p>
            <w:pPr>
              <w:pStyle w:val="33"/>
              <w:rPr>
                <w:sz w:val="18"/>
                <w:szCs w:val="18"/>
              </w:rPr>
            </w:pPr>
            <w:r>
              <w:rPr>
                <w:rFonts w:hint="eastAsia"/>
                <w:sz w:val="18"/>
                <w:szCs w:val="18"/>
              </w:rPr>
              <w:t>9.95</w:t>
            </w:r>
          </w:p>
        </w:tc>
        <w:tc>
          <w:tcPr>
            <w:tcW w:w="465" w:type="pct"/>
            <w:vAlign w:val="center"/>
          </w:tcPr>
          <w:p>
            <w:pPr>
              <w:pStyle w:val="33"/>
              <w:rPr>
                <w:sz w:val="18"/>
                <w:szCs w:val="18"/>
              </w:rPr>
            </w:pPr>
            <w:r>
              <w:rPr>
                <w:rFonts w:hint="eastAsia"/>
                <w:sz w:val="18"/>
                <w:szCs w:val="18"/>
              </w:rPr>
              <w:t>0.603</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6.84</w:t>
            </w:r>
          </w:p>
        </w:tc>
        <w:tc>
          <w:tcPr>
            <w:tcW w:w="465" w:type="pct"/>
            <w:vAlign w:val="center"/>
          </w:tcPr>
          <w:p>
            <w:pPr>
              <w:pStyle w:val="33"/>
              <w:rPr>
                <w:sz w:val="18"/>
                <w:szCs w:val="18"/>
              </w:rPr>
            </w:pPr>
            <w:r>
              <w:rPr>
                <w:sz w:val="18"/>
                <w:szCs w:val="18"/>
              </w:rPr>
              <w:t>0.877</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90" w:hRule="atLeast"/>
        </w:trPr>
        <w:tc>
          <w:tcPr>
            <w:tcW w:w="760" w:type="pct"/>
            <w:shd w:val="clear" w:color="auto" w:fill="D7D7D7" w:themeFill="background1" w:themeFillShade="D8"/>
            <w:vAlign w:val="center"/>
          </w:tcPr>
          <w:p>
            <w:pPr>
              <w:pStyle w:val="33"/>
              <w:rPr>
                <w:sz w:val="18"/>
                <w:szCs w:val="18"/>
              </w:rPr>
            </w:pPr>
            <w:r>
              <w:rPr>
                <w:sz w:val="18"/>
                <w:szCs w:val="18"/>
              </w:rPr>
              <w:t xml:space="preserve">总 磷 </w:t>
            </w:r>
          </w:p>
        </w:tc>
        <w:tc>
          <w:tcPr>
            <w:tcW w:w="511" w:type="pct"/>
            <w:shd w:val="clear" w:color="auto" w:fill="D7D7D7" w:themeFill="background1" w:themeFillShade="D8"/>
            <w:vAlign w:val="center"/>
          </w:tcPr>
          <w:p>
            <w:pPr>
              <w:pStyle w:val="33"/>
              <w:rPr>
                <w:sz w:val="18"/>
                <w:szCs w:val="18"/>
              </w:rPr>
            </w:pPr>
            <w:r>
              <w:rPr>
                <w:rFonts w:hint="eastAsia"/>
                <w:sz w:val="18"/>
                <w:szCs w:val="18"/>
              </w:rPr>
              <w:t>0.025</w:t>
            </w:r>
          </w:p>
        </w:tc>
        <w:tc>
          <w:tcPr>
            <w:tcW w:w="465" w:type="pct"/>
            <w:shd w:val="clear" w:color="auto" w:fill="D7D7D7" w:themeFill="background1" w:themeFillShade="D8"/>
            <w:vAlign w:val="center"/>
          </w:tcPr>
          <w:p>
            <w:pPr>
              <w:pStyle w:val="33"/>
              <w:rPr>
                <w:sz w:val="18"/>
                <w:szCs w:val="18"/>
              </w:rPr>
            </w:pPr>
            <w:r>
              <w:rPr>
                <w:rFonts w:hint="eastAsia"/>
                <w:sz w:val="18"/>
                <w:szCs w:val="18"/>
              </w:rPr>
              <w:t>0.06</w:t>
            </w:r>
          </w:p>
        </w:tc>
        <w:tc>
          <w:tcPr>
            <w:tcW w:w="465" w:type="pct"/>
            <w:shd w:val="clear" w:color="auto" w:fill="D7D7D7" w:themeFill="background1" w:themeFillShade="D8"/>
            <w:vAlign w:val="center"/>
          </w:tcPr>
          <w:p>
            <w:pPr>
              <w:pStyle w:val="33"/>
              <w:rPr>
                <w:sz w:val="18"/>
                <w:szCs w:val="18"/>
              </w:rPr>
            </w:pPr>
            <w:r>
              <w:rPr>
                <w:sz w:val="18"/>
                <w:szCs w:val="18"/>
              </w:rPr>
              <w:t>2.4</w:t>
            </w:r>
          </w:p>
        </w:tc>
        <w:tc>
          <w:tcPr>
            <w:tcW w:w="465" w:type="pct"/>
            <w:shd w:val="clear" w:color="auto" w:fill="D7D7D7" w:themeFill="background1" w:themeFillShade="D8"/>
            <w:vAlign w:val="center"/>
          </w:tcPr>
          <w:p>
            <w:pPr>
              <w:pStyle w:val="33"/>
              <w:rPr>
                <w:sz w:val="18"/>
                <w:szCs w:val="18"/>
              </w:rPr>
            </w:pPr>
            <w:r>
              <w:rPr>
                <w:rFonts w:hint="eastAsia"/>
                <w:sz w:val="18"/>
                <w:szCs w:val="18"/>
              </w:rPr>
              <w:t>1.4</w:t>
            </w:r>
          </w:p>
        </w:tc>
        <w:tc>
          <w:tcPr>
            <w:tcW w:w="465" w:type="pct"/>
            <w:shd w:val="clear" w:color="auto" w:fill="D7D7D7" w:themeFill="background1" w:themeFillShade="D8"/>
            <w:vAlign w:val="center"/>
          </w:tcPr>
          <w:p>
            <w:pPr>
              <w:pStyle w:val="33"/>
              <w:rPr>
                <w:sz w:val="18"/>
                <w:szCs w:val="18"/>
              </w:rPr>
            </w:pPr>
            <w:r>
              <w:rPr>
                <w:rFonts w:hint="eastAsia"/>
                <w:sz w:val="18"/>
                <w:szCs w:val="18"/>
              </w:rPr>
              <w:t>超标</w:t>
            </w:r>
          </w:p>
        </w:tc>
        <w:tc>
          <w:tcPr>
            <w:tcW w:w="465" w:type="pct"/>
            <w:shd w:val="clear" w:color="auto" w:fill="D7D7D7" w:themeFill="background1" w:themeFillShade="D8"/>
            <w:vAlign w:val="center"/>
          </w:tcPr>
          <w:p>
            <w:pPr>
              <w:pStyle w:val="33"/>
              <w:rPr>
                <w:sz w:val="18"/>
                <w:szCs w:val="18"/>
              </w:rPr>
            </w:pPr>
            <w:r>
              <w:rPr>
                <w:rFonts w:hint="eastAsia"/>
                <w:sz w:val="18"/>
                <w:szCs w:val="18"/>
              </w:rPr>
              <w:t>0.10</w:t>
            </w:r>
          </w:p>
        </w:tc>
        <w:tc>
          <w:tcPr>
            <w:tcW w:w="465" w:type="pct"/>
            <w:shd w:val="clear" w:color="auto" w:fill="D7D7D7" w:themeFill="background1" w:themeFillShade="D8"/>
            <w:vAlign w:val="center"/>
          </w:tcPr>
          <w:p>
            <w:pPr>
              <w:pStyle w:val="33"/>
              <w:rPr>
                <w:sz w:val="18"/>
                <w:szCs w:val="18"/>
              </w:rPr>
            </w:pPr>
            <w:r>
              <w:rPr>
                <w:sz w:val="18"/>
                <w:szCs w:val="18"/>
              </w:rPr>
              <w:t>4</w:t>
            </w:r>
          </w:p>
        </w:tc>
        <w:tc>
          <w:tcPr>
            <w:tcW w:w="465" w:type="pct"/>
            <w:shd w:val="clear" w:color="auto" w:fill="D7D7D7" w:themeFill="background1" w:themeFillShade="D8"/>
            <w:vAlign w:val="center"/>
          </w:tcPr>
          <w:p>
            <w:pPr>
              <w:pStyle w:val="33"/>
              <w:rPr>
                <w:sz w:val="18"/>
                <w:szCs w:val="18"/>
              </w:rPr>
            </w:pPr>
            <w:r>
              <w:rPr>
                <w:rFonts w:hint="eastAsia"/>
                <w:sz w:val="18"/>
                <w:szCs w:val="18"/>
              </w:rPr>
              <w:t>3</w:t>
            </w:r>
          </w:p>
        </w:tc>
        <w:tc>
          <w:tcPr>
            <w:tcW w:w="467" w:type="pct"/>
            <w:shd w:val="clear" w:color="auto" w:fill="D7D7D7" w:themeFill="background1" w:themeFillShade="D8"/>
            <w:vAlign w:val="center"/>
          </w:tcPr>
          <w:p>
            <w:pPr>
              <w:pStyle w:val="33"/>
              <w:rPr>
                <w:sz w:val="18"/>
                <w:szCs w:val="18"/>
              </w:rPr>
            </w:pPr>
            <w:r>
              <w:rPr>
                <w:rFonts w:hint="eastAsia"/>
                <w:sz w:val="18"/>
                <w:szCs w:val="18"/>
              </w:rPr>
              <w:t>超标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shd w:val="clear" w:color="auto" w:fill="D7D7D7" w:themeFill="background1" w:themeFillShade="D8"/>
            <w:vAlign w:val="center"/>
          </w:tcPr>
          <w:p>
            <w:pPr>
              <w:pStyle w:val="33"/>
              <w:rPr>
                <w:sz w:val="18"/>
                <w:szCs w:val="18"/>
              </w:rPr>
            </w:pPr>
            <w:r>
              <w:rPr>
                <w:sz w:val="18"/>
                <w:szCs w:val="18"/>
              </w:rPr>
              <w:t>总 氮</w:t>
            </w:r>
          </w:p>
        </w:tc>
        <w:tc>
          <w:tcPr>
            <w:tcW w:w="511" w:type="pct"/>
            <w:shd w:val="clear" w:color="auto" w:fill="D7D7D7" w:themeFill="background1" w:themeFillShade="D8"/>
            <w:vAlign w:val="center"/>
          </w:tcPr>
          <w:p>
            <w:pPr>
              <w:pStyle w:val="33"/>
              <w:rPr>
                <w:sz w:val="18"/>
                <w:szCs w:val="18"/>
              </w:rPr>
            </w:pPr>
            <w:r>
              <w:rPr>
                <w:rFonts w:hint="eastAsia"/>
                <w:sz w:val="18"/>
                <w:szCs w:val="18"/>
              </w:rPr>
              <w:t>0.5</w:t>
            </w:r>
          </w:p>
        </w:tc>
        <w:tc>
          <w:tcPr>
            <w:tcW w:w="465" w:type="pct"/>
            <w:shd w:val="clear" w:color="auto" w:fill="D7D7D7" w:themeFill="background1" w:themeFillShade="D8"/>
            <w:vAlign w:val="center"/>
          </w:tcPr>
          <w:p>
            <w:pPr>
              <w:pStyle w:val="33"/>
              <w:rPr>
                <w:sz w:val="18"/>
                <w:szCs w:val="18"/>
              </w:rPr>
            </w:pPr>
            <w:r>
              <w:rPr>
                <w:rFonts w:hint="eastAsia"/>
                <w:sz w:val="18"/>
                <w:szCs w:val="18"/>
              </w:rPr>
              <w:t>1.86</w:t>
            </w:r>
          </w:p>
        </w:tc>
        <w:tc>
          <w:tcPr>
            <w:tcW w:w="465" w:type="pct"/>
            <w:shd w:val="clear" w:color="auto" w:fill="D7D7D7" w:themeFill="background1" w:themeFillShade="D8"/>
            <w:vAlign w:val="center"/>
          </w:tcPr>
          <w:p>
            <w:pPr>
              <w:pStyle w:val="33"/>
              <w:rPr>
                <w:sz w:val="18"/>
                <w:szCs w:val="18"/>
              </w:rPr>
            </w:pPr>
            <w:r>
              <w:rPr>
                <w:sz w:val="18"/>
                <w:szCs w:val="18"/>
              </w:rPr>
              <w:t>3.72</w:t>
            </w:r>
          </w:p>
        </w:tc>
        <w:tc>
          <w:tcPr>
            <w:tcW w:w="465" w:type="pct"/>
            <w:shd w:val="clear" w:color="auto" w:fill="D7D7D7" w:themeFill="background1" w:themeFillShade="D8"/>
            <w:vAlign w:val="center"/>
          </w:tcPr>
          <w:p>
            <w:pPr>
              <w:pStyle w:val="33"/>
              <w:rPr>
                <w:sz w:val="18"/>
                <w:szCs w:val="18"/>
              </w:rPr>
            </w:pPr>
            <w:r>
              <w:rPr>
                <w:rFonts w:hint="eastAsia"/>
                <w:sz w:val="18"/>
                <w:szCs w:val="18"/>
              </w:rPr>
              <w:t>2.72</w:t>
            </w:r>
          </w:p>
        </w:tc>
        <w:tc>
          <w:tcPr>
            <w:tcW w:w="465" w:type="pct"/>
            <w:shd w:val="clear" w:color="auto" w:fill="D7D7D7" w:themeFill="background1" w:themeFillShade="D8"/>
            <w:vAlign w:val="center"/>
          </w:tcPr>
          <w:p>
            <w:pPr>
              <w:pStyle w:val="33"/>
              <w:rPr>
                <w:sz w:val="18"/>
                <w:szCs w:val="18"/>
              </w:rPr>
            </w:pPr>
            <w:r>
              <w:rPr>
                <w:rFonts w:hint="eastAsia"/>
                <w:sz w:val="18"/>
                <w:szCs w:val="18"/>
              </w:rPr>
              <w:t>超标</w:t>
            </w:r>
          </w:p>
        </w:tc>
        <w:tc>
          <w:tcPr>
            <w:tcW w:w="465" w:type="pct"/>
            <w:shd w:val="clear" w:color="auto" w:fill="D7D7D7" w:themeFill="background1" w:themeFillShade="D8"/>
            <w:vAlign w:val="center"/>
          </w:tcPr>
          <w:p>
            <w:pPr>
              <w:pStyle w:val="33"/>
              <w:rPr>
                <w:sz w:val="18"/>
                <w:szCs w:val="18"/>
              </w:rPr>
            </w:pPr>
            <w:r>
              <w:rPr>
                <w:rFonts w:hint="eastAsia"/>
                <w:sz w:val="18"/>
                <w:szCs w:val="18"/>
              </w:rPr>
              <w:t>1.69</w:t>
            </w:r>
          </w:p>
        </w:tc>
        <w:tc>
          <w:tcPr>
            <w:tcW w:w="465" w:type="pct"/>
            <w:shd w:val="clear" w:color="auto" w:fill="D7D7D7" w:themeFill="background1" w:themeFillShade="D8"/>
            <w:vAlign w:val="center"/>
          </w:tcPr>
          <w:p>
            <w:pPr>
              <w:pStyle w:val="33"/>
              <w:rPr>
                <w:sz w:val="18"/>
                <w:szCs w:val="18"/>
              </w:rPr>
            </w:pPr>
            <w:r>
              <w:rPr>
                <w:sz w:val="18"/>
                <w:szCs w:val="18"/>
              </w:rPr>
              <w:t>3.38</w:t>
            </w:r>
          </w:p>
        </w:tc>
        <w:tc>
          <w:tcPr>
            <w:tcW w:w="465" w:type="pct"/>
            <w:shd w:val="clear" w:color="auto" w:fill="D7D7D7" w:themeFill="background1" w:themeFillShade="D8"/>
            <w:vAlign w:val="center"/>
          </w:tcPr>
          <w:p>
            <w:pPr>
              <w:pStyle w:val="33"/>
              <w:rPr>
                <w:sz w:val="18"/>
                <w:szCs w:val="18"/>
              </w:rPr>
            </w:pPr>
            <w:r>
              <w:rPr>
                <w:rFonts w:hint="eastAsia"/>
                <w:sz w:val="18"/>
                <w:szCs w:val="18"/>
              </w:rPr>
              <w:t>2.38</w:t>
            </w:r>
          </w:p>
        </w:tc>
        <w:tc>
          <w:tcPr>
            <w:tcW w:w="467" w:type="pct"/>
            <w:shd w:val="clear" w:color="auto" w:fill="D7D7D7" w:themeFill="background1" w:themeFillShade="D8"/>
            <w:vAlign w:val="center"/>
          </w:tcPr>
          <w:p>
            <w:pPr>
              <w:pStyle w:val="33"/>
              <w:rPr>
                <w:sz w:val="18"/>
                <w:szCs w:val="18"/>
              </w:rPr>
            </w:pPr>
            <w:r>
              <w:rPr>
                <w:rFonts w:hint="eastAsia"/>
                <w:sz w:val="18"/>
                <w:szCs w:val="18"/>
              </w:rPr>
              <w:t>超标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阴离子表面活性剂</w:t>
            </w:r>
          </w:p>
        </w:tc>
        <w:tc>
          <w:tcPr>
            <w:tcW w:w="511" w:type="pct"/>
            <w:vAlign w:val="center"/>
          </w:tcPr>
          <w:p>
            <w:pPr>
              <w:pStyle w:val="33"/>
              <w:rPr>
                <w:sz w:val="18"/>
                <w:szCs w:val="18"/>
              </w:rPr>
            </w:pPr>
            <w:r>
              <w:rPr>
                <w:rFonts w:hint="eastAsia"/>
                <w:sz w:val="18"/>
                <w:szCs w:val="18"/>
              </w:rPr>
              <w:t>0.2</w:t>
            </w:r>
          </w:p>
        </w:tc>
        <w:tc>
          <w:tcPr>
            <w:tcW w:w="465" w:type="pct"/>
            <w:vAlign w:val="center"/>
          </w:tcPr>
          <w:p>
            <w:pPr>
              <w:pStyle w:val="33"/>
              <w:rPr>
                <w:sz w:val="18"/>
                <w:szCs w:val="18"/>
              </w:rPr>
            </w:pPr>
            <w:r>
              <w:rPr>
                <w:rFonts w:hint="eastAsia"/>
                <w:sz w:val="18"/>
                <w:szCs w:val="18"/>
              </w:rPr>
              <w:t>0.064</w:t>
            </w:r>
          </w:p>
        </w:tc>
        <w:tc>
          <w:tcPr>
            <w:tcW w:w="465" w:type="pct"/>
            <w:vAlign w:val="center"/>
          </w:tcPr>
          <w:p>
            <w:pPr>
              <w:pStyle w:val="33"/>
              <w:rPr>
                <w:sz w:val="18"/>
                <w:szCs w:val="18"/>
              </w:rPr>
            </w:pPr>
            <w:r>
              <w:rPr>
                <w:sz w:val="18"/>
                <w:szCs w:val="18"/>
              </w:rPr>
              <w:t>0.32</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0.053</w:t>
            </w:r>
          </w:p>
        </w:tc>
        <w:tc>
          <w:tcPr>
            <w:tcW w:w="465" w:type="pct"/>
            <w:vAlign w:val="center"/>
          </w:tcPr>
          <w:p>
            <w:pPr>
              <w:pStyle w:val="33"/>
              <w:rPr>
                <w:sz w:val="18"/>
                <w:szCs w:val="18"/>
              </w:rPr>
            </w:pPr>
            <w:r>
              <w:rPr>
                <w:sz w:val="18"/>
                <w:szCs w:val="18"/>
              </w:rPr>
              <w:t>0.265</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shd w:val="clear" w:color="auto" w:fill="D7D7D7" w:themeFill="background1" w:themeFillShade="D8"/>
            <w:vAlign w:val="center"/>
          </w:tcPr>
          <w:p>
            <w:pPr>
              <w:pStyle w:val="33"/>
              <w:rPr>
                <w:sz w:val="18"/>
                <w:szCs w:val="18"/>
              </w:rPr>
            </w:pPr>
            <w:r>
              <w:rPr>
                <w:sz w:val="18"/>
                <w:szCs w:val="18"/>
              </w:rPr>
              <w:t>高锰酸盐指数</w:t>
            </w:r>
          </w:p>
        </w:tc>
        <w:tc>
          <w:tcPr>
            <w:tcW w:w="511" w:type="pct"/>
            <w:shd w:val="clear" w:color="auto" w:fill="D7D7D7" w:themeFill="background1" w:themeFillShade="D8"/>
            <w:vAlign w:val="center"/>
          </w:tcPr>
          <w:p>
            <w:pPr>
              <w:pStyle w:val="33"/>
              <w:rPr>
                <w:sz w:val="18"/>
                <w:szCs w:val="18"/>
              </w:rPr>
            </w:pPr>
            <w:r>
              <w:rPr>
                <w:rFonts w:hint="eastAsia"/>
                <w:sz w:val="18"/>
                <w:szCs w:val="18"/>
              </w:rPr>
              <w:t>4</w:t>
            </w:r>
          </w:p>
        </w:tc>
        <w:tc>
          <w:tcPr>
            <w:tcW w:w="465" w:type="pct"/>
            <w:shd w:val="clear" w:color="auto" w:fill="D7D7D7" w:themeFill="background1" w:themeFillShade="D8"/>
            <w:vAlign w:val="center"/>
          </w:tcPr>
          <w:p>
            <w:pPr>
              <w:pStyle w:val="33"/>
              <w:rPr>
                <w:sz w:val="18"/>
                <w:szCs w:val="18"/>
              </w:rPr>
            </w:pPr>
            <w:r>
              <w:rPr>
                <w:rFonts w:hint="eastAsia"/>
                <w:sz w:val="18"/>
                <w:szCs w:val="18"/>
              </w:rPr>
              <w:t>4.9</w:t>
            </w:r>
          </w:p>
        </w:tc>
        <w:tc>
          <w:tcPr>
            <w:tcW w:w="465" w:type="pct"/>
            <w:shd w:val="clear" w:color="auto" w:fill="D7D7D7" w:themeFill="background1" w:themeFillShade="D8"/>
            <w:vAlign w:val="center"/>
          </w:tcPr>
          <w:p>
            <w:pPr>
              <w:pStyle w:val="33"/>
              <w:rPr>
                <w:sz w:val="18"/>
                <w:szCs w:val="18"/>
              </w:rPr>
            </w:pPr>
            <w:r>
              <w:rPr>
                <w:sz w:val="18"/>
                <w:szCs w:val="18"/>
              </w:rPr>
              <w:t>1.225</w:t>
            </w:r>
          </w:p>
        </w:tc>
        <w:tc>
          <w:tcPr>
            <w:tcW w:w="465" w:type="pct"/>
            <w:shd w:val="clear" w:color="auto" w:fill="D7D7D7" w:themeFill="background1" w:themeFillShade="D8"/>
            <w:vAlign w:val="center"/>
          </w:tcPr>
          <w:p>
            <w:pPr>
              <w:pStyle w:val="33"/>
              <w:rPr>
                <w:sz w:val="18"/>
                <w:szCs w:val="18"/>
              </w:rPr>
            </w:pPr>
            <w:r>
              <w:rPr>
                <w:rFonts w:hint="eastAsia"/>
                <w:sz w:val="18"/>
                <w:szCs w:val="18"/>
              </w:rPr>
              <w:t>0.225</w:t>
            </w:r>
          </w:p>
        </w:tc>
        <w:tc>
          <w:tcPr>
            <w:tcW w:w="465" w:type="pct"/>
            <w:shd w:val="clear" w:color="auto" w:fill="D7D7D7" w:themeFill="background1" w:themeFillShade="D8"/>
            <w:vAlign w:val="center"/>
          </w:tcPr>
          <w:p>
            <w:pPr>
              <w:pStyle w:val="33"/>
              <w:rPr>
                <w:sz w:val="18"/>
                <w:szCs w:val="18"/>
              </w:rPr>
            </w:pPr>
            <w:r>
              <w:rPr>
                <w:rFonts w:hint="eastAsia"/>
                <w:sz w:val="18"/>
                <w:szCs w:val="18"/>
              </w:rPr>
              <w:t>超标</w:t>
            </w:r>
          </w:p>
        </w:tc>
        <w:tc>
          <w:tcPr>
            <w:tcW w:w="465" w:type="pct"/>
            <w:shd w:val="clear" w:color="auto" w:fill="D7D7D7" w:themeFill="background1" w:themeFillShade="D8"/>
            <w:vAlign w:val="center"/>
          </w:tcPr>
          <w:p>
            <w:pPr>
              <w:pStyle w:val="33"/>
              <w:rPr>
                <w:sz w:val="18"/>
                <w:szCs w:val="18"/>
              </w:rPr>
            </w:pPr>
            <w:r>
              <w:rPr>
                <w:rFonts w:hint="eastAsia"/>
                <w:sz w:val="18"/>
                <w:szCs w:val="18"/>
              </w:rPr>
              <w:t>5.7</w:t>
            </w:r>
          </w:p>
        </w:tc>
        <w:tc>
          <w:tcPr>
            <w:tcW w:w="465" w:type="pct"/>
            <w:shd w:val="clear" w:color="auto" w:fill="D7D7D7" w:themeFill="background1" w:themeFillShade="D8"/>
            <w:vAlign w:val="center"/>
          </w:tcPr>
          <w:p>
            <w:pPr>
              <w:pStyle w:val="33"/>
              <w:rPr>
                <w:sz w:val="18"/>
                <w:szCs w:val="18"/>
              </w:rPr>
            </w:pPr>
            <w:r>
              <w:rPr>
                <w:sz w:val="18"/>
                <w:szCs w:val="18"/>
              </w:rPr>
              <w:t>1.425</w:t>
            </w:r>
          </w:p>
        </w:tc>
        <w:tc>
          <w:tcPr>
            <w:tcW w:w="465" w:type="pct"/>
            <w:shd w:val="clear" w:color="auto" w:fill="D7D7D7" w:themeFill="background1" w:themeFillShade="D8"/>
            <w:vAlign w:val="center"/>
          </w:tcPr>
          <w:p>
            <w:pPr>
              <w:pStyle w:val="33"/>
              <w:rPr>
                <w:sz w:val="18"/>
                <w:szCs w:val="18"/>
              </w:rPr>
            </w:pPr>
            <w:r>
              <w:rPr>
                <w:rFonts w:hint="eastAsia"/>
                <w:sz w:val="18"/>
                <w:szCs w:val="18"/>
              </w:rPr>
              <w:t>0.425</w:t>
            </w:r>
          </w:p>
        </w:tc>
        <w:tc>
          <w:tcPr>
            <w:tcW w:w="467" w:type="pct"/>
            <w:shd w:val="clear" w:color="auto" w:fill="D7D7D7" w:themeFill="background1" w:themeFillShade="D8"/>
            <w:vAlign w:val="center"/>
          </w:tcPr>
          <w:p>
            <w:pPr>
              <w:pStyle w:val="33"/>
              <w:rPr>
                <w:sz w:val="18"/>
                <w:szCs w:val="18"/>
              </w:rPr>
            </w:pPr>
            <w:r>
              <w:rPr>
                <w:rFonts w:hint="eastAsia"/>
                <w:sz w:val="18"/>
                <w:szCs w:val="18"/>
              </w:rPr>
              <w:t>超标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石油类</w:t>
            </w:r>
          </w:p>
        </w:tc>
        <w:tc>
          <w:tcPr>
            <w:tcW w:w="511" w:type="pct"/>
            <w:vAlign w:val="center"/>
          </w:tcPr>
          <w:p>
            <w:pPr>
              <w:pStyle w:val="33"/>
              <w:rPr>
                <w:sz w:val="18"/>
                <w:szCs w:val="18"/>
              </w:rPr>
            </w:pPr>
            <w:r>
              <w:rPr>
                <w:rFonts w:hint="eastAsia"/>
                <w:sz w:val="18"/>
                <w:szCs w:val="18"/>
              </w:rPr>
              <w:t>0.05</w:t>
            </w:r>
          </w:p>
        </w:tc>
        <w:tc>
          <w:tcPr>
            <w:tcW w:w="465" w:type="pct"/>
            <w:vAlign w:val="center"/>
          </w:tcPr>
          <w:p>
            <w:pPr>
              <w:pStyle w:val="33"/>
              <w:rPr>
                <w:sz w:val="18"/>
                <w:szCs w:val="18"/>
              </w:rPr>
            </w:pPr>
            <w:r>
              <w:rPr>
                <w:rFonts w:hint="eastAsia"/>
                <w:sz w:val="18"/>
                <w:szCs w:val="18"/>
              </w:rPr>
              <w:t>0.01</w:t>
            </w:r>
          </w:p>
        </w:tc>
        <w:tc>
          <w:tcPr>
            <w:tcW w:w="465" w:type="pct"/>
            <w:vAlign w:val="center"/>
          </w:tcPr>
          <w:p>
            <w:pPr>
              <w:pStyle w:val="33"/>
              <w:rPr>
                <w:sz w:val="18"/>
                <w:szCs w:val="18"/>
              </w:rPr>
            </w:pPr>
            <w:r>
              <w:rPr>
                <w:sz w:val="18"/>
                <w:szCs w:val="18"/>
              </w:rPr>
              <w:t>0.2</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达标</w:t>
            </w:r>
          </w:p>
        </w:tc>
        <w:tc>
          <w:tcPr>
            <w:tcW w:w="465" w:type="pct"/>
            <w:noWrap/>
            <w:vAlign w:val="center"/>
          </w:tcPr>
          <w:p>
            <w:pPr>
              <w:pStyle w:val="33"/>
              <w:rPr>
                <w:sz w:val="18"/>
                <w:szCs w:val="18"/>
              </w:rPr>
            </w:pPr>
            <w:r>
              <w:rPr>
                <w:rFonts w:hint="eastAsia"/>
                <w:sz w:val="18"/>
                <w:szCs w:val="18"/>
              </w:rPr>
              <w:t>0.02</w:t>
            </w:r>
          </w:p>
        </w:tc>
        <w:tc>
          <w:tcPr>
            <w:tcW w:w="465" w:type="pct"/>
            <w:noWrap/>
            <w:vAlign w:val="center"/>
          </w:tcPr>
          <w:p>
            <w:pPr>
              <w:pStyle w:val="33"/>
              <w:rPr>
                <w:sz w:val="18"/>
                <w:szCs w:val="18"/>
              </w:rPr>
            </w:pPr>
            <w:r>
              <w:rPr>
                <w:sz w:val="18"/>
                <w:szCs w:val="18"/>
              </w:rPr>
              <w:t>0.4</w:t>
            </w:r>
          </w:p>
        </w:tc>
        <w:tc>
          <w:tcPr>
            <w:tcW w:w="465" w:type="pct"/>
            <w:noWrap/>
            <w:vAlign w:val="center"/>
          </w:tcPr>
          <w:p>
            <w:pPr>
              <w:pStyle w:val="33"/>
              <w:rPr>
                <w:sz w:val="18"/>
                <w:szCs w:val="18"/>
              </w:rPr>
            </w:pPr>
            <w:r>
              <w:rPr>
                <w:rFonts w:hint="eastAsia"/>
                <w:sz w:val="18"/>
                <w:szCs w:val="18"/>
              </w:rPr>
              <w:t>/</w:t>
            </w:r>
          </w:p>
        </w:tc>
        <w:tc>
          <w:tcPr>
            <w:tcW w:w="467" w:type="pct"/>
            <w:noWrap/>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汞</w:t>
            </w:r>
            <w:r>
              <w:rPr>
                <w:rFonts w:hint="eastAsia"/>
                <w:sz w:val="18"/>
                <w:szCs w:val="18"/>
              </w:rPr>
              <w:t>（</w:t>
            </w:r>
            <w:r>
              <w:rPr>
                <w:sz w:val="18"/>
                <w:szCs w:val="18"/>
              </w:rPr>
              <w:t>µg/L</w:t>
            </w:r>
            <w:r>
              <w:rPr>
                <w:rFonts w:hint="eastAsia"/>
                <w:sz w:val="18"/>
                <w:szCs w:val="18"/>
              </w:rPr>
              <w:t>）</w:t>
            </w:r>
          </w:p>
        </w:tc>
        <w:tc>
          <w:tcPr>
            <w:tcW w:w="511" w:type="pct"/>
            <w:noWrap/>
            <w:vAlign w:val="center"/>
          </w:tcPr>
          <w:p>
            <w:pPr>
              <w:pStyle w:val="33"/>
              <w:rPr>
                <w:sz w:val="18"/>
                <w:szCs w:val="18"/>
              </w:rPr>
            </w:pPr>
            <w:r>
              <w:rPr>
                <w:rFonts w:hint="eastAsia"/>
                <w:sz w:val="18"/>
                <w:szCs w:val="18"/>
              </w:rPr>
              <w:t>0.05</w:t>
            </w:r>
          </w:p>
        </w:tc>
        <w:tc>
          <w:tcPr>
            <w:tcW w:w="465" w:type="pct"/>
            <w:noWrap/>
            <w:vAlign w:val="center"/>
          </w:tcPr>
          <w:p>
            <w:pPr>
              <w:pStyle w:val="33"/>
              <w:rPr>
                <w:sz w:val="18"/>
                <w:szCs w:val="18"/>
              </w:rPr>
            </w:pPr>
            <w:r>
              <w:rPr>
                <w:rFonts w:hint="eastAsia"/>
                <w:sz w:val="18"/>
                <w:szCs w:val="18"/>
              </w:rPr>
              <w:t>0.04L</w:t>
            </w:r>
          </w:p>
        </w:tc>
        <w:tc>
          <w:tcPr>
            <w:tcW w:w="465" w:type="pct"/>
            <w:noWrap/>
            <w:vAlign w:val="center"/>
          </w:tcPr>
          <w:p>
            <w:pPr>
              <w:pStyle w:val="33"/>
              <w:rPr>
                <w:sz w:val="18"/>
                <w:szCs w:val="18"/>
              </w:rPr>
            </w:pPr>
            <w:r>
              <w:rPr>
                <w:sz w:val="18"/>
                <w:szCs w:val="18"/>
              </w:rPr>
              <w:t>0.8</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0.04L</w:t>
            </w:r>
          </w:p>
        </w:tc>
        <w:tc>
          <w:tcPr>
            <w:tcW w:w="465" w:type="pct"/>
            <w:vAlign w:val="center"/>
          </w:tcPr>
          <w:p>
            <w:pPr>
              <w:pStyle w:val="33"/>
              <w:rPr>
                <w:sz w:val="18"/>
                <w:szCs w:val="18"/>
              </w:rPr>
            </w:pPr>
            <w:r>
              <w:rPr>
                <w:sz w:val="18"/>
                <w:szCs w:val="18"/>
              </w:rPr>
              <w:t>0.8</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氰化物</w:t>
            </w:r>
          </w:p>
        </w:tc>
        <w:tc>
          <w:tcPr>
            <w:tcW w:w="511" w:type="pct"/>
            <w:noWrap/>
            <w:vAlign w:val="center"/>
          </w:tcPr>
          <w:p>
            <w:pPr>
              <w:pStyle w:val="33"/>
              <w:rPr>
                <w:sz w:val="18"/>
                <w:szCs w:val="18"/>
              </w:rPr>
            </w:pPr>
            <w:r>
              <w:rPr>
                <w:rFonts w:hint="eastAsia"/>
                <w:sz w:val="18"/>
                <w:szCs w:val="18"/>
              </w:rPr>
              <w:t>0.05</w:t>
            </w:r>
          </w:p>
        </w:tc>
        <w:tc>
          <w:tcPr>
            <w:tcW w:w="465" w:type="pct"/>
            <w:noWrap/>
            <w:vAlign w:val="center"/>
          </w:tcPr>
          <w:p>
            <w:pPr>
              <w:pStyle w:val="33"/>
              <w:rPr>
                <w:sz w:val="18"/>
                <w:szCs w:val="18"/>
              </w:rPr>
            </w:pPr>
            <w:r>
              <w:rPr>
                <w:rFonts w:hint="eastAsia"/>
                <w:sz w:val="18"/>
                <w:szCs w:val="18"/>
              </w:rPr>
              <w:t>0.004L</w:t>
            </w:r>
          </w:p>
        </w:tc>
        <w:tc>
          <w:tcPr>
            <w:tcW w:w="465" w:type="pct"/>
            <w:noWrap/>
            <w:vAlign w:val="center"/>
          </w:tcPr>
          <w:p>
            <w:pPr>
              <w:pStyle w:val="33"/>
              <w:rPr>
                <w:sz w:val="18"/>
                <w:szCs w:val="18"/>
              </w:rPr>
            </w:pPr>
            <w:r>
              <w:rPr>
                <w:sz w:val="18"/>
                <w:szCs w:val="18"/>
              </w:rPr>
              <w:t>0.08</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0.004L</w:t>
            </w:r>
          </w:p>
        </w:tc>
        <w:tc>
          <w:tcPr>
            <w:tcW w:w="465" w:type="pct"/>
            <w:vAlign w:val="center"/>
          </w:tcPr>
          <w:p>
            <w:pPr>
              <w:pStyle w:val="33"/>
              <w:rPr>
                <w:sz w:val="18"/>
                <w:szCs w:val="18"/>
              </w:rPr>
            </w:pPr>
            <w:r>
              <w:rPr>
                <w:sz w:val="18"/>
                <w:szCs w:val="18"/>
              </w:rPr>
              <w:t>0.08</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挥发酚</w:t>
            </w:r>
          </w:p>
        </w:tc>
        <w:tc>
          <w:tcPr>
            <w:tcW w:w="511" w:type="pct"/>
            <w:noWrap/>
            <w:vAlign w:val="center"/>
          </w:tcPr>
          <w:p>
            <w:pPr>
              <w:pStyle w:val="33"/>
              <w:rPr>
                <w:sz w:val="18"/>
                <w:szCs w:val="18"/>
              </w:rPr>
            </w:pPr>
            <w:r>
              <w:rPr>
                <w:rFonts w:hint="eastAsia"/>
                <w:sz w:val="18"/>
                <w:szCs w:val="18"/>
              </w:rPr>
              <w:t>0.002</w:t>
            </w:r>
          </w:p>
        </w:tc>
        <w:tc>
          <w:tcPr>
            <w:tcW w:w="465" w:type="pct"/>
            <w:noWrap/>
            <w:vAlign w:val="center"/>
          </w:tcPr>
          <w:p>
            <w:pPr>
              <w:pStyle w:val="33"/>
              <w:rPr>
                <w:sz w:val="18"/>
                <w:szCs w:val="18"/>
              </w:rPr>
            </w:pPr>
            <w:r>
              <w:rPr>
                <w:rFonts w:hint="eastAsia"/>
                <w:sz w:val="18"/>
                <w:szCs w:val="18"/>
              </w:rPr>
              <w:t>0.0003L</w:t>
            </w:r>
          </w:p>
        </w:tc>
        <w:tc>
          <w:tcPr>
            <w:tcW w:w="465" w:type="pct"/>
            <w:noWrap/>
            <w:vAlign w:val="center"/>
          </w:tcPr>
          <w:p>
            <w:pPr>
              <w:pStyle w:val="33"/>
              <w:rPr>
                <w:sz w:val="18"/>
                <w:szCs w:val="18"/>
              </w:rPr>
            </w:pPr>
            <w:r>
              <w:rPr>
                <w:sz w:val="18"/>
                <w:szCs w:val="18"/>
              </w:rPr>
              <w:t>0.15</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0.0009</w:t>
            </w:r>
          </w:p>
        </w:tc>
        <w:tc>
          <w:tcPr>
            <w:tcW w:w="465" w:type="pct"/>
            <w:vAlign w:val="center"/>
          </w:tcPr>
          <w:p>
            <w:pPr>
              <w:pStyle w:val="33"/>
              <w:rPr>
                <w:sz w:val="18"/>
                <w:szCs w:val="18"/>
              </w:rPr>
            </w:pPr>
            <w:r>
              <w:rPr>
                <w:sz w:val="18"/>
                <w:szCs w:val="18"/>
              </w:rPr>
              <w:t>0.45</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0" w:hRule="atLeast"/>
        </w:trPr>
        <w:tc>
          <w:tcPr>
            <w:tcW w:w="760" w:type="pct"/>
            <w:vAlign w:val="center"/>
          </w:tcPr>
          <w:p>
            <w:pPr>
              <w:pStyle w:val="33"/>
              <w:rPr>
                <w:sz w:val="18"/>
                <w:szCs w:val="18"/>
              </w:rPr>
            </w:pPr>
            <w:r>
              <w:rPr>
                <w:sz w:val="18"/>
                <w:szCs w:val="18"/>
              </w:rPr>
              <w:t>粪大肠菌群</w:t>
            </w:r>
          </w:p>
        </w:tc>
        <w:tc>
          <w:tcPr>
            <w:tcW w:w="511" w:type="pct"/>
            <w:noWrap/>
            <w:vAlign w:val="center"/>
          </w:tcPr>
          <w:p>
            <w:pPr>
              <w:pStyle w:val="33"/>
              <w:rPr>
                <w:sz w:val="18"/>
                <w:szCs w:val="18"/>
              </w:rPr>
            </w:pPr>
            <w:r>
              <w:rPr>
                <w:rFonts w:hint="eastAsia"/>
                <w:sz w:val="18"/>
                <w:szCs w:val="18"/>
              </w:rPr>
              <w:t>2000</w:t>
            </w:r>
          </w:p>
        </w:tc>
        <w:tc>
          <w:tcPr>
            <w:tcW w:w="465" w:type="pct"/>
            <w:noWrap/>
            <w:vAlign w:val="center"/>
          </w:tcPr>
          <w:p>
            <w:pPr>
              <w:pStyle w:val="33"/>
              <w:rPr>
                <w:sz w:val="18"/>
                <w:szCs w:val="18"/>
              </w:rPr>
            </w:pPr>
            <w:r>
              <w:rPr>
                <w:rFonts w:hint="eastAsia"/>
                <w:sz w:val="18"/>
                <w:szCs w:val="18"/>
              </w:rPr>
              <w:t>140</w:t>
            </w:r>
          </w:p>
        </w:tc>
        <w:tc>
          <w:tcPr>
            <w:tcW w:w="465" w:type="pct"/>
            <w:noWrap/>
            <w:vAlign w:val="center"/>
          </w:tcPr>
          <w:p>
            <w:pPr>
              <w:pStyle w:val="33"/>
              <w:rPr>
                <w:sz w:val="18"/>
                <w:szCs w:val="18"/>
              </w:rPr>
            </w:pPr>
            <w:r>
              <w:rPr>
                <w:sz w:val="18"/>
                <w:szCs w:val="18"/>
              </w:rPr>
              <w:t>0.07</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340</w:t>
            </w:r>
          </w:p>
        </w:tc>
        <w:tc>
          <w:tcPr>
            <w:tcW w:w="465" w:type="pct"/>
            <w:vAlign w:val="center"/>
          </w:tcPr>
          <w:p>
            <w:pPr>
              <w:pStyle w:val="33"/>
              <w:rPr>
                <w:sz w:val="18"/>
                <w:szCs w:val="18"/>
              </w:rPr>
            </w:pPr>
            <w:r>
              <w:rPr>
                <w:sz w:val="18"/>
                <w:szCs w:val="18"/>
              </w:rPr>
              <w:t>0.17</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叶绿素a</w:t>
            </w:r>
          </w:p>
        </w:tc>
        <w:tc>
          <w:tcPr>
            <w:tcW w:w="511"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58</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93</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六价铬</w:t>
            </w:r>
          </w:p>
        </w:tc>
        <w:tc>
          <w:tcPr>
            <w:tcW w:w="511" w:type="pct"/>
            <w:noWrap/>
            <w:vAlign w:val="center"/>
          </w:tcPr>
          <w:p>
            <w:pPr>
              <w:pStyle w:val="33"/>
              <w:rPr>
                <w:sz w:val="18"/>
                <w:szCs w:val="18"/>
              </w:rPr>
            </w:pPr>
            <w:r>
              <w:rPr>
                <w:rFonts w:hint="eastAsia"/>
                <w:sz w:val="18"/>
                <w:szCs w:val="18"/>
              </w:rPr>
              <w:t>0.05</w:t>
            </w:r>
          </w:p>
        </w:tc>
        <w:tc>
          <w:tcPr>
            <w:tcW w:w="465" w:type="pct"/>
            <w:noWrap/>
            <w:vAlign w:val="center"/>
          </w:tcPr>
          <w:p>
            <w:pPr>
              <w:pStyle w:val="33"/>
              <w:rPr>
                <w:sz w:val="18"/>
                <w:szCs w:val="18"/>
              </w:rPr>
            </w:pPr>
            <w:r>
              <w:rPr>
                <w:rFonts w:hint="eastAsia"/>
                <w:sz w:val="18"/>
                <w:szCs w:val="18"/>
              </w:rPr>
              <w:t>0.004L</w:t>
            </w:r>
          </w:p>
        </w:tc>
        <w:tc>
          <w:tcPr>
            <w:tcW w:w="465" w:type="pct"/>
            <w:noWrap/>
            <w:vAlign w:val="center"/>
          </w:tcPr>
          <w:p>
            <w:pPr>
              <w:pStyle w:val="33"/>
              <w:rPr>
                <w:sz w:val="18"/>
                <w:szCs w:val="18"/>
              </w:rPr>
            </w:pPr>
            <w:r>
              <w:rPr>
                <w:sz w:val="18"/>
                <w:szCs w:val="18"/>
              </w:rPr>
              <w:t>0.08</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0.004L</w:t>
            </w:r>
          </w:p>
        </w:tc>
        <w:tc>
          <w:tcPr>
            <w:tcW w:w="465" w:type="pct"/>
            <w:vAlign w:val="center"/>
          </w:tcPr>
          <w:p>
            <w:pPr>
              <w:widowControl/>
              <w:jc w:val="center"/>
              <w:textAlignment w:val="center"/>
              <w:rPr>
                <w:sz w:val="18"/>
                <w:szCs w:val="18"/>
              </w:rPr>
            </w:pPr>
            <w:r>
              <w:rPr>
                <w:kern w:val="0"/>
                <w:sz w:val="18"/>
                <w:szCs w:val="18"/>
                <w:lang w:bidi="ar"/>
              </w:rPr>
              <w:t>0.08</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硫化物</w:t>
            </w:r>
          </w:p>
        </w:tc>
        <w:tc>
          <w:tcPr>
            <w:tcW w:w="511" w:type="pct"/>
            <w:noWrap/>
            <w:vAlign w:val="center"/>
          </w:tcPr>
          <w:p>
            <w:pPr>
              <w:pStyle w:val="33"/>
              <w:rPr>
                <w:sz w:val="18"/>
                <w:szCs w:val="18"/>
              </w:rPr>
            </w:pPr>
            <w:r>
              <w:rPr>
                <w:rFonts w:hint="eastAsia"/>
                <w:sz w:val="18"/>
                <w:szCs w:val="18"/>
              </w:rPr>
              <w:t>0.1</w:t>
            </w:r>
          </w:p>
        </w:tc>
        <w:tc>
          <w:tcPr>
            <w:tcW w:w="465" w:type="pct"/>
            <w:noWrap/>
            <w:vAlign w:val="center"/>
          </w:tcPr>
          <w:p>
            <w:pPr>
              <w:pStyle w:val="33"/>
              <w:rPr>
                <w:sz w:val="18"/>
                <w:szCs w:val="18"/>
              </w:rPr>
            </w:pPr>
            <w:r>
              <w:rPr>
                <w:rFonts w:hint="eastAsia"/>
                <w:sz w:val="18"/>
                <w:szCs w:val="18"/>
              </w:rPr>
              <w:t>0.007</w:t>
            </w:r>
          </w:p>
        </w:tc>
        <w:tc>
          <w:tcPr>
            <w:tcW w:w="465" w:type="pct"/>
            <w:noWrap/>
            <w:vAlign w:val="center"/>
          </w:tcPr>
          <w:p>
            <w:pPr>
              <w:pStyle w:val="33"/>
              <w:rPr>
                <w:sz w:val="18"/>
                <w:szCs w:val="18"/>
              </w:rPr>
            </w:pPr>
            <w:r>
              <w:rPr>
                <w:sz w:val="18"/>
                <w:szCs w:val="18"/>
              </w:rPr>
              <w:t>0.07</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0.008</w:t>
            </w:r>
          </w:p>
        </w:tc>
        <w:tc>
          <w:tcPr>
            <w:tcW w:w="465" w:type="pct"/>
            <w:vAlign w:val="center"/>
          </w:tcPr>
          <w:p>
            <w:pPr>
              <w:widowControl/>
              <w:jc w:val="center"/>
              <w:textAlignment w:val="center"/>
              <w:rPr>
                <w:sz w:val="18"/>
                <w:szCs w:val="18"/>
              </w:rPr>
            </w:pPr>
            <w:r>
              <w:rPr>
                <w:kern w:val="0"/>
                <w:sz w:val="18"/>
                <w:szCs w:val="18"/>
                <w:lang w:bidi="ar"/>
              </w:rPr>
              <w:t>0.08</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sz w:val="18"/>
                <w:szCs w:val="18"/>
              </w:rPr>
              <w:t>砷</w:t>
            </w:r>
            <w:r>
              <w:rPr>
                <w:rFonts w:hint="eastAsia"/>
                <w:sz w:val="18"/>
                <w:szCs w:val="18"/>
              </w:rPr>
              <w:t>（</w:t>
            </w:r>
            <w:r>
              <w:rPr>
                <w:sz w:val="18"/>
                <w:szCs w:val="18"/>
              </w:rPr>
              <w:t>µg/L</w:t>
            </w:r>
            <w:r>
              <w:rPr>
                <w:rFonts w:hint="eastAsia"/>
                <w:sz w:val="18"/>
                <w:szCs w:val="18"/>
              </w:rPr>
              <w:t>）</w:t>
            </w:r>
          </w:p>
        </w:tc>
        <w:tc>
          <w:tcPr>
            <w:tcW w:w="511" w:type="pct"/>
            <w:noWrap/>
            <w:vAlign w:val="center"/>
          </w:tcPr>
          <w:p>
            <w:pPr>
              <w:pStyle w:val="33"/>
              <w:rPr>
                <w:sz w:val="18"/>
                <w:szCs w:val="18"/>
              </w:rPr>
            </w:pPr>
            <w:r>
              <w:rPr>
                <w:rFonts w:hint="eastAsia"/>
                <w:sz w:val="18"/>
                <w:szCs w:val="18"/>
              </w:rPr>
              <w:t>50</w:t>
            </w:r>
          </w:p>
        </w:tc>
        <w:tc>
          <w:tcPr>
            <w:tcW w:w="465" w:type="pct"/>
            <w:noWrap/>
            <w:vAlign w:val="center"/>
          </w:tcPr>
          <w:p>
            <w:pPr>
              <w:pStyle w:val="33"/>
              <w:rPr>
                <w:sz w:val="18"/>
                <w:szCs w:val="18"/>
              </w:rPr>
            </w:pPr>
            <w:r>
              <w:rPr>
                <w:rFonts w:hint="eastAsia"/>
                <w:sz w:val="18"/>
                <w:szCs w:val="18"/>
              </w:rPr>
              <w:t>0.5</w:t>
            </w:r>
          </w:p>
        </w:tc>
        <w:tc>
          <w:tcPr>
            <w:tcW w:w="465" w:type="pct"/>
            <w:noWrap/>
            <w:vAlign w:val="center"/>
          </w:tcPr>
          <w:p>
            <w:pPr>
              <w:pStyle w:val="33"/>
              <w:rPr>
                <w:sz w:val="18"/>
                <w:szCs w:val="18"/>
              </w:rPr>
            </w:pPr>
            <w:r>
              <w:rPr>
                <w:sz w:val="18"/>
                <w:szCs w:val="18"/>
              </w:rPr>
              <w:t>0.01</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0.3L</w:t>
            </w:r>
          </w:p>
        </w:tc>
        <w:tc>
          <w:tcPr>
            <w:tcW w:w="465" w:type="pct"/>
            <w:vAlign w:val="center"/>
          </w:tcPr>
          <w:p>
            <w:pPr>
              <w:widowControl/>
              <w:jc w:val="center"/>
              <w:textAlignment w:val="center"/>
              <w:rPr>
                <w:sz w:val="18"/>
                <w:szCs w:val="18"/>
              </w:rPr>
            </w:pPr>
            <w:r>
              <w:rPr>
                <w:kern w:val="0"/>
                <w:sz w:val="18"/>
                <w:szCs w:val="18"/>
                <w:lang w:bidi="ar"/>
              </w:rPr>
              <w:t>0.006</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硒（</w:t>
            </w:r>
            <w:r>
              <w:rPr>
                <w:sz w:val="18"/>
                <w:szCs w:val="18"/>
              </w:rPr>
              <w:t>µg/L</w:t>
            </w:r>
            <w:r>
              <w:rPr>
                <w:rFonts w:hint="eastAsia"/>
                <w:sz w:val="18"/>
                <w:szCs w:val="18"/>
              </w:rPr>
              <w:t>）</w:t>
            </w:r>
          </w:p>
        </w:tc>
        <w:tc>
          <w:tcPr>
            <w:tcW w:w="511" w:type="pct"/>
            <w:noWrap/>
            <w:vAlign w:val="center"/>
          </w:tcPr>
          <w:p>
            <w:pPr>
              <w:pStyle w:val="33"/>
              <w:rPr>
                <w:sz w:val="18"/>
                <w:szCs w:val="18"/>
              </w:rPr>
            </w:pPr>
            <w:r>
              <w:rPr>
                <w:rFonts w:hint="eastAsia"/>
                <w:sz w:val="18"/>
                <w:szCs w:val="18"/>
              </w:rPr>
              <w:t>10</w:t>
            </w:r>
          </w:p>
        </w:tc>
        <w:tc>
          <w:tcPr>
            <w:tcW w:w="465" w:type="pct"/>
            <w:noWrap/>
            <w:vAlign w:val="center"/>
          </w:tcPr>
          <w:p>
            <w:pPr>
              <w:pStyle w:val="33"/>
              <w:rPr>
                <w:sz w:val="18"/>
                <w:szCs w:val="18"/>
              </w:rPr>
            </w:pPr>
            <w:r>
              <w:rPr>
                <w:rFonts w:hint="eastAsia"/>
                <w:sz w:val="18"/>
                <w:szCs w:val="18"/>
              </w:rPr>
              <w:t>1.1</w:t>
            </w:r>
          </w:p>
        </w:tc>
        <w:tc>
          <w:tcPr>
            <w:tcW w:w="465" w:type="pct"/>
            <w:noWrap/>
            <w:vAlign w:val="center"/>
          </w:tcPr>
          <w:p>
            <w:pPr>
              <w:pStyle w:val="33"/>
              <w:rPr>
                <w:sz w:val="18"/>
                <w:szCs w:val="18"/>
              </w:rPr>
            </w:pPr>
            <w:r>
              <w:rPr>
                <w:sz w:val="18"/>
                <w:szCs w:val="18"/>
              </w:rPr>
              <w:t>0.11</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0.8</w:t>
            </w:r>
          </w:p>
        </w:tc>
        <w:tc>
          <w:tcPr>
            <w:tcW w:w="465" w:type="pct"/>
            <w:vAlign w:val="center"/>
          </w:tcPr>
          <w:p>
            <w:pPr>
              <w:widowControl/>
              <w:jc w:val="center"/>
              <w:textAlignment w:val="center"/>
              <w:rPr>
                <w:sz w:val="18"/>
                <w:szCs w:val="18"/>
              </w:rPr>
            </w:pPr>
            <w:r>
              <w:rPr>
                <w:kern w:val="0"/>
                <w:sz w:val="18"/>
                <w:szCs w:val="18"/>
                <w:lang w:bidi="ar"/>
              </w:rPr>
              <w:t>0.08</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铜</w:t>
            </w:r>
          </w:p>
        </w:tc>
        <w:tc>
          <w:tcPr>
            <w:tcW w:w="511" w:type="pct"/>
            <w:noWrap/>
            <w:vAlign w:val="center"/>
          </w:tcPr>
          <w:p>
            <w:pPr>
              <w:pStyle w:val="33"/>
              <w:rPr>
                <w:sz w:val="18"/>
                <w:szCs w:val="18"/>
              </w:rPr>
            </w:pPr>
            <w:r>
              <w:rPr>
                <w:rFonts w:hint="eastAsia"/>
                <w:sz w:val="18"/>
                <w:szCs w:val="18"/>
              </w:rPr>
              <w:t>1.0</w:t>
            </w:r>
          </w:p>
        </w:tc>
        <w:tc>
          <w:tcPr>
            <w:tcW w:w="465" w:type="pct"/>
            <w:noWrap/>
            <w:vAlign w:val="center"/>
          </w:tcPr>
          <w:p>
            <w:pPr>
              <w:pStyle w:val="33"/>
              <w:rPr>
                <w:sz w:val="18"/>
                <w:szCs w:val="18"/>
              </w:rPr>
            </w:pPr>
            <w:r>
              <w:rPr>
                <w:rFonts w:hint="eastAsia"/>
                <w:sz w:val="18"/>
                <w:szCs w:val="18"/>
              </w:rPr>
              <w:t>0.001L</w:t>
            </w:r>
          </w:p>
        </w:tc>
        <w:tc>
          <w:tcPr>
            <w:tcW w:w="465" w:type="pct"/>
            <w:noWrap/>
            <w:vAlign w:val="center"/>
          </w:tcPr>
          <w:p>
            <w:pPr>
              <w:pStyle w:val="33"/>
              <w:rPr>
                <w:sz w:val="18"/>
                <w:szCs w:val="18"/>
              </w:rPr>
            </w:pPr>
            <w:r>
              <w:rPr>
                <w:sz w:val="18"/>
                <w:szCs w:val="18"/>
              </w:rPr>
              <w:t>0.001</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0.001L</w:t>
            </w:r>
          </w:p>
        </w:tc>
        <w:tc>
          <w:tcPr>
            <w:tcW w:w="465" w:type="pct"/>
            <w:vAlign w:val="center"/>
          </w:tcPr>
          <w:p>
            <w:pPr>
              <w:widowControl/>
              <w:jc w:val="center"/>
              <w:textAlignment w:val="center"/>
              <w:rPr>
                <w:sz w:val="18"/>
                <w:szCs w:val="18"/>
              </w:rPr>
            </w:pPr>
            <w:r>
              <w:rPr>
                <w:kern w:val="0"/>
                <w:sz w:val="18"/>
                <w:szCs w:val="18"/>
                <w:lang w:bidi="ar"/>
              </w:rPr>
              <w:t>0.001</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锌</w:t>
            </w:r>
          </w:p>
        </w:tc>
        <w:tc>
          <w:tcPr>
            <w:tcW w:w="511" w:type="pct"/>
            <w:noWrap/>
            <w:vAlign w:val="center"/>
          </w:tcPr>
          <w:p>
            <w:pPr>
              <w:pStyle w:val="33"/>
              <w:rPr>
                <w:sz w:val="18"/>
                <w:szCs w:val="18"/>
              </w:rPr>
            </w:pPr>
            <w:r>
              <w:rPr>
                <w:rFonts w:hint="eastAsia"/>
                <w:sz w:val="18"/>
                <w:szCs w:val="18"/>
              </w:rPr>
              <w:t>1.0</w:t>
            </w:r>
          </w:p>
        </w:tc>
        <w:tc>
          <w:tcPr>
            <w:tcW w:w="465" w:type="pct"/>
            <w:noWrap/>
            <w:vAlign w:val="center"/>
          </w:tcPr>
          <w:p>
            <w:pPr>
              <w:pStyle w:val="33"/>
              <w:rPr>
                <w:sz w:val="18"/>
                <w:szCs w:val="18"/>
              </w:rPr>
            </w:pPr>
            <w:r>
              <w:rPr>
                <w:rFonts w:hint="eastAsia"/>
                <w:sz w:val="18"/>
                <w:szCs w:val="18"/>
              </w:rPr>
              <w:t>0.05L</w:t>
            </w:r>
          </w:p>
        </w:tc>
        <w:tc>
          <w:tcPr>
            <w:tcW w:w="465" w:type="pct"/>
            <w:noWrap/>
            <w:vAlign w:val="center"/>
          </w:tcPr>
          <w:p>
            <w:pPr>
              <w:pStyle w:val="33"/>
              <w:rPr>
                <w:sz w:val="18"/>
                <w:szCs w:val="18"/>
              </w:rPr>
            </w:pPr>
            <w:r>
              <w:rPr>
                <w:sz w:val="18"/>
                <w:szCs w:val="18"/>
              </w:rPr>
              <w:t>0.05</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0.05L</w:t>
            </w:r>
          </w:p>
        </w:tc>
        <w:tc>
          <w:tcPr>
            <w:tcW w:w="465" w:type="pct"/>
            <w:vAlign w:val="center"/>
          </w:tcPr>
          <w:p>
            <w:pPr>
              <w:widowControl/>
              <w:jc w:val="center"/>
              <w:textAlignment w:val="center"/>
              <w:rPr>
                <w:sz w:val="18"/>
                <w:szCs w:val="18"/>
              </w:rPr>
            </w:pPr>
            <w:r>
              <w:rPr>
                <w:kern w:val="0"/>
                <w:sz w:val="18"/>
                <w:szCs w:val="18"/>
                <w:lang w:bidi="ar"/>
              </w:rPr>
              <w:t>0.05</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铅</w:t>
            </w:r>
          </w:p>
        </w:tc>
        <w:tc>
          <w:tcPr>
            <w:tcW w:w="511" w:type="pct"/>
            <w:noWrap/>
            <w:vAlign w:val="center"/>
          </w:tcPr>
          <w:p>
            <w:pPr>
              <w:pStyle w:val="33"/>
              <w:rPr>
                <w:sz w:val="18"/>
                <w:szCs w:val="18"/>
              </w:rPr>
            </w:pPr>
            <w:r>
              <w:rPr>
                <w:rFonts w:hint="eastAsia"/>
                <w:sz w:val="18"/>
                <w:szCs w:val="18"/>
              </w:rPr>
              <w:t>0.01</w:t>
            </w:r>
          </w:p>
        </w:tc>
        <w:tc>
          <w:tcPr>
            <w:tcW w:w="465" w:type="pct"/>
            <w:noWrap/>
            <w:vAlign w:val="center"/>
          </w:tcPr>
          <w:p>
            <w:pPr>
              <w:pStyle w:val="33"/>
              <w:rPr>
                <w:sz w:val="18"/>
                <w:szCs w:val="18"/>
              </w:rPr>
            </w:pPr>
            <w:r>
              <w:rPr>
                <w:rFonts w:hint="eastAsia"/>
                <w:sz w:val="18"/>
                <w:szCs w:val="18"/>
              </w:rPr>
              <w:t>0.01L</w:t>
            </w:r>
          </w:p>
        </w:tc>
        <w:tc>
          <w:tcPr>
            <w:tcW w:w="465" w:type="pct"/>
            <w:noWrap/>
            <w:vAlign w:val="center"/>
          </w:tcPr>
          <w:p>
            <w:pPr>
              <w:pStyle w:val="33"/>
              <w:rPr>
                <w:sz w:val="18"/>
                <w:szCs w:val="18"/>
              </w:rPr>
            </w:pPr>
            <w:r>
              <w:rPr>
                <w:sz w:val="18"/>
                <w:szCs w:val="18"/>
              </w:rPr>
              <w:t>1</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镉</w:t>
            </w:r>
          </w:p>
        </w:tc>
        <w:tc>
          <w:tcPr>
            <w:tcW w:w="511" w:type="pct"/>
            <w:noWrap/>
            <w:vAlign w:val="center"/>
          </w:tcPr>
          <w:p>
            <w:pPr>
              <w:pStyle w:val="33"/>
              <w:rPr>
                <w:sz w:val="18"/>
                <w:szCs w:val="18"/>
              </w:rPr>
            </w:pPr>
            <w:r>
              <w:rPr>
                <w:rFonts w:hint="eastAsia"/>
                <w:sz w:val="18"/>
                <w:szCs w:val="18"/>
              </w:rPr>
              <w:t>0.005</w:t>
            </w:r>
          </w:p>
        </w:tc>
        <w:tc>
          <w:tcPr>
            <w:tcW w:w="465" w:type="pct"/>
            <w:noWrap/>
            <w:vAlign w:val="center"/>
          </w:tcPr>
          <w:p>
            <w:pPr>
              <w:pStyle w:val="33"/>
              <w:rPr>
                <w:sz w:val="18"/>
                <w:szCs w:val="18"/>
              </w:rPr>
            </w:pPr>
            <w:r>
              <w:rPr>
                <w:rFonts w:hint="eastAsia"/>
                <w:sz w:val="18"/>
                <w:szCs w:val="18"/>
              </w:rPr>
              <w:t>0.001L</w:t>
            </w:r>
          </w:p>
        </w:tc>
        <w:tc>
          <w:tcPr>
            <w:tcW w:w="465" w:type="pct"/>
            <w:noWrap/>
            <w:vAlign w:val="center"/>
          </w:tcPr>
          <w:p>
            <w:pPr>
              <w:pStyle w:val="33"/>
              <w:rPr>
                <w:sz w:val="18"/>
                <w:szCs w:val="18"/>
              </w:rPr>
            </w:pPr>
            <w:r>
              <w:rPr>
                <w:sz w:val="18"/>
                <w:szCs w:val="18"/>
              </w:rPr>
              <w:t>0.2</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锰</w:t>
            </w:r>
          </w:p>
        </w:tc>
        <w:tc>
          <w:tcPr>
            <w:tcW w:w="511" w:type="pct"/>
            <w:noWrap/>
            <w:vAlign w:val="center"/>
          </w:tcPr>
          <w:p>
            <w:pPr>
              <w:pStyle w:val="33"/>
              <w:rPr>
                <w:sz w:val="18"/>
                <w:szCs w:val="18"/>
              </w:rPr>
            </w:pPr>
            <w:r>
              <w:rPr>
                <w:rFonts w:hint="eastAsia"/>
                <w:sz w:val="18"/>
                <w:szCs w:val="18"/>
              </w:rPr>
              <w:t>0.1</w:t>
            </w:r>
          </w:p>
        </w:tc>
        <w:tc>
          <w:tcPr>
            <w:tcW w:w="465" w:type="pct"/>
            <w:noWrap/>
            <w:vAlign w:val="center"/>
          </w:tcPr>
          <w:p>
            <w:pPr>
              <w:pStyle w:val="33"/>
              <w:rPr>
                <w:sz w:val="18"/>
                <w:szCs w:val="18"/>
              </w:rPr>
            </w:pPr>
            <w:r>
              <w:rPr>
                <w:rFonts w:hint="eastAsia"/>
                <w:sz w:val="18"/>
                <w:szCs w:val="18"/>
              </w:rPr>
              <w:t>0.01L</w:t>
            </w:r>
          </w:p>
        </w:tc>
        <w:tc>
          <w:tcPr>
            <w:tcW w:w="465" w:type="pct"/>
            <w:noWrap/>
            <w:vAlign w:val="center"/>
          </w:tcPr>
          <w:p>
            <w:pPr>
              <w:pStyle w:val="33"/>
              <w:rPr>
                <w:sz w:val="18"/>
                <w:szCs w:val="18"/>
              </w:rPr>
            </w:pPr>
            <w:r>
              <w:rPr>
                <w:sz w:val="18"/>
                <w:szCs w:val="18"/>
              </w:rPr>
              <w:t>0.1</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0.05</w:t>
            </w:r>
          </w:p>
        </w:tc>
        <w:tc>
          <w:tcPr>
            <w:tcW w:w="465" w:type="pct"/>
            <w:vAlign w:val="center"/>
          </w:tcPr>
          <w:p>
            <w:pPr>
              <w:widowControl/>
              <w:jc w:val="center"/>
              <w:textAlignment w:val="center"/>
              <w:rPr>
                <w:sz w:val="18"/>
                <w:szCs w:val="18"/>
              </w:rPr>
            </w:pPr>
            <w:r>
              <w:rPr>
                <w:kern w:val="0"/>
                <w:sz w:val="18"/>
                <w:szCs w:val="18"/>
                <w:lang w:bidi="ar"/>
              </w:rPr>
              <w:t>0.5</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760" w:type="pct"/>
            <w:vAlign w:val="center"/>
          </w:tcPr>
          <w:p>
            <w:pPr>
              <w:pStyle w:val="33"/>
              <w:rPr>
                <w:sz w:val="18"/>
                <w:szCs w:val="18"/>
              </w:rPr>
            </w:pPr>
            <w:r>
              <w:rPr>
                <w:rFonts w:hint="eastAsia"/>
                <w:sz w:val="18"/>
                <w:szCs w:val="18"/>
              </w:rPr>
              <w:t>铁</w:t>
            </w:r>
          </w:p>
        </w:tc>
        <w:tc>
          <w:tcPr>
            <w:tcW w:w="511" w:type="pct"/>
            <w:noWrap/>
            <w:vAlign w:val="center"/>
          </w:tcPr>
          <w:p>
            <w:pPr>
              <w:pStyle w:val="33"/>
              <w:rPr>
                <w:sz w:val="18"/>
                <w:szCs w:val="18"/>
              </w:rPr>
            </w:pPr>
            <w:r>
              <w:rPr>
                <w:rFonts w:hint="eastAsia"/>
                <w:sz w:val="18"/>
                <w:szCs w:val="18"/>
              </w:rPr>
              <w:t>0.3</w:t>
            </w:r>
          </w:p>
        </w:tc>
        <w:tc>
          <w:tcPr>
            <w:tcW w:w="465" w:type="pct"/>
            <w:noWrap/>
            <w:vAlign w:val="center"/>
          </w:tcPr>
          <w:p>
            <w:pPr>
              <w:pStyle w:val="33"/>
              <w:rPr>
                <w:sz w:val="18"/>
                <w:szCs w:val="18"/>
              </w:rPr>
            </w:pPr>
            <w:r>
              <w:rPr>
                <w:rFonts w:hint="eastAsia"/>
                <w:sz w:val="18"/>
                <w:szCs w:val="18"/>
              </w:rPr>
              <w:t>0.03L</w:t>
            </w:r>
          </w:p>
        </w:tc>
        <w:tc>
          <w:tcPr>
            <w:tcW w:w="465" w:type="pct"/>
            <w:noWrap/>
            <w:vAlign w:val="center"/>
          </w:tcPr>
          <w:p>
            <w:pPr>
              <w:pStyle w:val="33"/>
              <w:rPr>
                <w:sz w:val="18"/>
                <w:szCs w:val="18"/>
              </w:rPr>
            </w:pPr>
            <w:r>
              <w:rPr>
                <w:sz w:val="18"/>
                <w:szCs w:val="18"/>
              </w:rPr>
              <w:t>0.1</w:t>
            </w:r>
          </w:p>
        </w:tc>
        <w:tc>
          <w:tcPr>
            <w:tcW w:w="465" w:type="pct"/>
            <w:noWrap/>
            <w:vAlign w:val="center"/>
          </w:tcPr>
          <w:p>
            <w:pPr>
              <w:pStyle w:val="33"/>
              <w:rPr>
                <w:sz w:val="18"/>
                <w:szCs w:val="18"/>
              </w:rPr>
            </w:pPr>
            <w:r>
              <w:rPr>
                <w:rFonts w:hint="eastAsia"/>
                <w:sz w:val="18"/>
                <w:szCs w:val="18"/>
              </w:rPr>
              <w:t>/</w:t>
            </w:r>
          </w:p>
        </w:tc>
        <w:tc>
          <w:tcPr>
            <w:tcW w:w="465" w:type="pct"/>
            <w:noWrap/>
            <w:vAlign w:val="center"/>
          </w:tcPr>
          <w:p>
            <w:pPr>
              <w:pStyle w:val="33"/>
              <w:rPr>
                <w:sz w:val="18"/>
                <w:szCs w:val="18"/>
              </w:rPr>
            </w:pPr>
            <w:r>
              <w:rPr>
                <w:rFonts w:hint="eastAsia"/>
                <w:sz w:val="18"/>
                <w:szCs w:val="18"/>
              </w:rPr>
              <w:t>达标</w:t>
            </w:r>
          </w:p>
        </w:tc>
        <w:tc>
          <w:tcPr>
            <w:tcW w:w="465" w:type="pct"/>
            <w:vAlign w:val="center"/>
          </w:tcPr>
          <w:p>
            <w:pPr>
              <w:pStyle w:val="33"/>
              <w:rPr>
                <w:sz w:val="18"/>
                <w:szCs w:val="18"/>
              </w:rPr>
            </w:pPr>
            <w:r>
              <w:rPr>
                <w:rFonts w:hint="eastAsia"/>
                <w:sz w:val="18"/>
                <w:szCs w:val="18"/>
              </w:rPr>
              <w:t>0.2</w:t>
            </w:r>
          </w:p>
        </w:tc>
        <w:tc>
          <w:tcPr>
            <w:tcW w:w="465" w:type="pct"/>
            <w:vAlign w:val="center"/>
          </w:tcPr>
          <w:p>
            <w:pPr>
              <w:widowControl/>
              <w:jc w:val="center"/>
              <w:textAlignment w:val="center"/>
              <w:rPr>
                <w:sz w:val="18"/>
                <w:szCs w:val="18"/>
              </w:rPr>
            </w:pPr>
            <w:r>
              <w:rPr>
                <w:kern w:val="0"/>
                <w:sz w:val="18"/>
                <w:szCs w:val="18"/>
                <w:lang w:bidi="ar"/>
              </w:rPr>
              <w:t>0.667</w:t>
            </w:r>
          </w:p>
        </w:tc>
        <w:tc>
          <w:tcPr>
            <w:tcW w:w="465" w:type="pct"/>
            <w:vAlign w:val="center"/>
          </w:tcPr>
          <w:p>
            <w:pPr>
              <w:pStyle w:val="33"/>
              <w:rPr>
                <w:sz w:val="18"/>
                <w:szCs w:val="18"/>
              </w:rPr>
            </w:pPr>
            <w:r>
              <w:rPr>
                <w:rFonts w:hint="eastAsia"/>
                <w:sz w:val="18"/>
                <w:szCs w:val="18"/>
              </w:rPr>
              <w:t>/</w:t>
            </w:r>
          </w:p>
        </w:tc>
        <w:tc>
          <w:tcPr>
            <w:tcW w:w="467" w:type="pct"/>
            <w:vAlign w:val="center"/>
          </w:tcPr>
          <w:p>
            <w:pPr>
              <w:pStyle w:val="33"/>
              <w:rPr>
                <w:sz w:val="18"/>
                <w:szCs w:val="18"/>
              </w:rPr>
            </w:pPr>
            <w:r>
              <w:rPr>
                <w:rFonts w:hint="eastAsia"/>
                <w:sz w:val="18"/>
                <w:szCs w:val="18"/>
              </w:rPr>
              <w:t>达标</w:t>
            </w:r>
          </w:p>
        </w:tc>
      </w:tr>
      <w:tr>
        <w:tblPrEx>
          <w:tblBorders>
            <w:top w:val="single" w:color="auto" w:sz="4"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5000" w:type="pct"/>
            <w:gridSpan w:val="10"/>
            <w:vAlign w:val="center"/>
          </w:tcPr>
          <w:p>
            <w:pPr>
              <w:pStyle w:val="33"/>
              <w:rPr>
                <w:sz w:val="18"/>
                <w:szCs w:val="18"/>
              </w:rPr>
            </w:pPr>
            <w:r>
              <w:rPr>
                <w:sz w:val="18"/>
                <w:szCs w:val="18"/>
              </w:rPr>
              <w:t>备注</w:t>
            </w:r>
            <w:r>
              <w:rPr>
                <w:rFonts w:hint="eastAsia"/>
                <w:sz w:val="18"/>
                <w:szCs w:val="18"/>
                <w:lang w:eastAsia="zh-CN"/>
              </w:rPr>
              <w:t>：</w:t>
            </w:r>
            <w:r>
              <w:rPr>
                <w:sz w:val="18"/>
                <w:szCs w:val="18"/>
              </w:rPr>
              <w:t xml:space="preserve"> pH为无量纲</w:t>
            </w:r>
            <w:r>
              <w:rPr>
                <w:rFonts w:hint="eastAsia"/>
                <w:sz w:val="18"/>
                <w:szCs w:val="18"/>
                <w:lang w:eastAsia="zh-CN"/>
              </w:rPr>
              <w:t>，</w:t>
            </w:r>
            <w:r>
              <w:rPr>
                <w:sz w:val="18"/>
                <w:szCs w:val="18"/>
              </w:rPr>
              <w:t>水温单位为℃，叶绿素-a</w:t>
            </w:r>
            <w:r>
              <w:rPr>
                <w:rFonts w:hint="eastAsia"/>
                <w:sz w:val="18"/>
                <w:szCs w:val="18"/>
              </w:rPr>
              <w:t>、砷、汞、硒</w:t>
            </w:r>
            <w:r>
              <w:rPr>
                <w:sz w:val="18"/>
                <w:szCs w:val="18"/>
              </w:rPr>
              <w:t>单位为µg/L，其余单位为mg/L, “检出限L”表示监测结果低于方法检出限。评价标准采用《地表水环境质量标准》（GB3838-2002）进行评价。</w:t>
            </w:r>
          </w:p>
        </w:tc>
      </w:tr>
    </w:tbl>
    <w:p>
      <w:pPr>
        <w:widowControl/>
        <w:adjustRightInd w:val="0"/>
        <w:snapToGrid w:val="0"/>
        <w:spacing w:line="360" w:lineRule="auto"/>
        <w:jc w:val="left"/>
        <w:rPr>
          <w:bCs/>
        </w:rPr>
      </w:pPr>
    </w:p>
    <w:p>
      <w:pPr>
        <w:widowControl/>
        <w:adjustRightInd w:val="0"/>
        <w:snapToGrid w:val="0"/>
        <w:spacing w:line="360" w:lineRule="auto"/>
        <w:ind w:firstLine="480" w:firstLineChars="200"/>
        <w:jc w:val="left"/>
        <w:rPr>
          <w:bCs/>
        </w:rPr>
        <w:sectPr>
          <w:pgSz w:w="16838" w:h="11906" w:orient="landscape"/>
          <w:pgMar w:top="1418" w:right="1418" w:bottom="1418" w:left="1418" w:header="850" w:footer="992" w:gutter="0"/>
          <w:cols w:space="720" w:num="1"/>
          <w:docGrid w:linePitch="391" w:charSpace="0"/>
        </w:sectPr>
      </w:pPr>
    </w:p>
    <w:p>
      <w:pPr>
        <w:spacing w:line="360" w:lineRule="auto"/>
        <w:ind w:firstLine="482" w:firstLineChars="200"/>
        <w:rPr>
          <w:b/>
        </w:rPr>
      </w:pPr>
      <w:r>
        <w:rPr>
          <w:rFonts w:hint="eastAsia"/>
          <w:b/>
        </w:rPr>
        <w:t>2、</w:t>
      </w:r>
      <w:r>
        <w:rPr>
          <w:b/>
        </w:rPr>
        <w:t>公革河</w:t>
      </w:r>
    </w:p>
    <w:p>
      <w:pPr>
        <w:pStyle w:val="7"/>
        <w:ind w:firstLine="480"/>
        <w:rPr>
          <w:szCs w:val="28"/>
        </w:rPr>
      </w:pPr>
      <w:r>
        <w:rPr>
          <w:rFonts w:hint="eastAsia"/>
        </w:rPr>
        <w:t>《云南宏泰新型材料有限公司年产203万吨电解铝建设项目环境影响报告书》中由</w:t>
      </w:r>
      <w:r>
        <w:t>云南升环检测技术有限公司于2019年11月29</w:t>
      </w:r>
      <w:r>
        <w:rPr>
          <w:rFonts w:hint="eastAsia"/>
        </w:rPr>
        <w:t>~</w:t>
      </w:r>
      <w:r>
        <w:t>30日对本项目所处区域地表水公革河</w:t>
      </w:r>
      <w:r>
        <w:rPr>
          <w:rFonts w:hint="eastAsia"/>
        </w:rPr>
        <w:t>-</w:t>
      </w:r>
      <w:r>
        <w:t>听湖村断面水环境质量现状进行了一期监测。</w:t>
      </w:r>
      <w:r>
        <w:rPr>
          <w:szCs w:val="28"/>
        </w:rPr>
        <w:t>监测结果见表</w:t>
      </w:r>
      <w:r>
        <w:rPr>
          <w:rFonts w:hint="eastAsia"/>
          <w:szCs w:val="28"/>
        </w:rPr>
        <w:t>5</w:t>
      </w:r>
      <w:r>
        <w:rPr>
          <w:szCs w:val="28"/>
        </w:rPr>
        <w:t>.3-</w:t>
      </w:r>
      <w:r>
        <w:rPr>
          <w:rFonts w:hint="eastAsia"/>
          <w:szCs w:val="28"/>
        </w:rPr>
        <w:t>1</w:t>
      </w:r>
      <w:r>
        <w:rPr>
          <w:rFonts w:hint="eastAsia"/>
          <w:szCs w:val="28"/>
          <w:lang w:val="en-US" w:eastAsia="zh-CN"/>
        </w:rPr>
        <w:t>3</w:t>
      </w:r>
      <w:r>
        <w:rPr>
          <w:szCs w:val="28"/>
        </w:rPr>
        <w:t>。</w:t>
      </w:r>
    </w:p>
    <w:p>
      <w:pPr>
        <w:pStyle w:val="31"/>
      </w:pPr>
      <w:r>
        <w:t>表</w:t>
      </w:r>
      <w:r>
        <w:rPr>
          <w:rFonts w:hint="eastAsia"/>
        </w:rPr>
        <w:t>5</w:t>
      </w:r>
      <w:r>
        <w:t>.3-</w:t>
      </w:r>
      <w:r>
        <w:rPr>
          <w:rFonts w:hint="eastAsia"/>
        </w:rPr>
        <w:t>1</w:t>
      </w:r>
      <w:r>
        <w:rPr>
          <w:rFonts w:hint="eastAsia"/>
          <w:lang w:val="en-US" w:eastAsia="zh-CN"/>
        </w:rPr>
        <w:t>3</w:t>
      </w:r>
      <w:r>
        <w:t xml:space="preserve">  公革河水质监测状况  </w:t>
      </w:r>
      <w:r>
        <w:rPr>
          <w:rFonts w:hint="eastAsia"/>
        </w:rPr>
        <w:t xml:space="preserve"> </w:t>
      </w:r>
      <w:r>
        <w:t xml:space="preserve"> 单位：mg/L</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325"/>
        <w:gridCol w:w="1323"/>
        <w:gridCol w:w="1392"/>
        <w:gridCol w:w="1265"/>
        <w:gridCol w:w="1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l2br w:val="single" w:color="auto" w:sz="4" w:space="0"/>
            </w:tcBorders>
            <w:vAlign w:val="center"/>
          </w:tcPr>
          <w:p>
            <w:pPr>
              <w:ind w:firstLine="840" w:firstLineChars="400"/>
              <w:jc w:val="center"/>
              <w:rPr>
                <w:sz w:val="21"/>
                <w:szCs w:val="21"/>
              </w:rPr>
            </w:pPr>
            <w:r>
              <w:rPr>
                <w:sz w:val="21"/>
                <w:szCs w:val="21"/>
              </w:rPr>
              <w:t>监测断面</w:t>
            </w:r>
          </w:p>
          <w:p>
            <w:pPr>
              <w:rPr>
                <w:sz w:val="21"/>
                <w:szCs w:val="21"/>
              </w:rPr>
            </w:pPr>
            <w:r>
              <w:rPr>
                <w:sz w:val="21"/>
                <w:szCs w:val="21"/>
              </w:rPr>
              <w:t>项目</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bCs/>
                <w:sz w:val="21"/>
                <w:szCs w:val="21"/>
              </w:rPr>
            </w:pPr>
            <w:r>
              <w:rPr>
                <w:sz w:val="21"/>
                <w:szCs w:val="21"/>
              </w:rPr>
              <w:t>公革河—听湖村断面</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bCs/>
                <w:sz w:val="21"/>
                <w:szCs w:val="21"/>
              </w:rPr>
            </w:pPr>
            <w:r>
              <w:rPr>
                <w:sz w:val="21"/>
                <w:szCs w:val="21"/>
              </w:rPr>
              <w:t>公革河—听湖村断面</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标准值</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达标情况</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超标倍数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pH（无量纲）</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7.59</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7.65</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6-9</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溶解氧</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6.61</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6.83</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w:t>
            </w:r>
            <w:r>
              <w:rPr>
                <w:rFonts w:hint="eastAsia"/>
                <w:kern w:val="0"/>
                <w:sz w:val="21"/>
                <w:szCs w:val="21"/>
              </w:rPr>
              <w:t>6</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COD</w:t>
            </w:r>
          </w:p>
        </w:tc>
        <w:tc>
          <w:tcPr>
            <w:tcW w:w="777" w:type="pct"/>
            <w:tcBorders>
              <w:top w:val="single" w:color="auto" w:sz="2" w:space="0"/>
              <w:left w:val="single" w:color="auto" w:sz="2" w:space="0"/>
              <w:bottom w:val="single" w:color="auto" w:sz="2" w:space="0"/>
              <w:right w:val="single" w:color="auto" w:sz="2" w:space="0"/>
            </w:tcBorders>
            <w:shd w:val="clear" w:color="auto" w:fill="D7D7D7" w:themeFill="background1" w:themeFillShade="D8"/>
            <w:vAlign w:val="center"/>
          </w:tcPr>
          <w:p>
            <w:pPr>
              <w:jc w:val="center"/>
              <w:rPr>
                <w:sz w:val="21"/>
                <w:szCs w:val="21"/>
              </w:rPr>
            </w:pPr>
            <w:r>
              <w:rPr>
                <w:sz w:val="21"/>
                <w:szCs w:val="21"/>
              </w:rPr>
              <w:t>19</w:t>
            </w:r>
          </w:p>
        </w:tc>
        <w:tc>
          <w:tcPr>
            <w:tcW w:w="776" w:type="pct"/>
            <w:tcBorders>
              <w:top w:val="single" w:color="auto" w:sz="2" w:space="0"/>
              <w:left w:val="single" w:color="auto" w:sz="2" w:space="0"/>
              <w:bottom w:val="single" w:color="auto" w:sz="2" w:space="0"/>
              <w:right w:val="single" w:color="auto" w:sz="2" w:space="0"/>
            </w:tcBorders>
            <w:shd w:val="clear" w:color="auto" w:fill="D7D7D7" w:themeFill="background1" w:themeFillShade="D8"/>
            <w:vAlign w:val="center"/>
          </w:tcPr>
          <w:p>
            <w:pPr>
              <w:jc w:val="center"/>
              <w:rPr>
                <w:sz w:val="21"/>
                <w:szCs w:val="21"/>
              </w:rPr>
            </w:pPr>
            <w:r>
              <w:rPr>
                <w:sz w:val="21"/>
                <w:szCs w:val="21"/>
              </w:rPr>
              <w:t>17</w:t>
            </w:r>
          </w:p>
        </w:tc>
        <w:tc>
          <w:tcPr>
            <w:tcW w:w="816" w:type="pct"/>
            <w:tcBorders>
              <w:top w:val="single" w:color="auto" w:sz="2" w:space="0"/>
              <w:left w:val="single" w:color="auto" w:sz="2" w:space="0"/>
              <w:bottom w:val="single" w:color="auto" w:sz="2" w:space="0"/>
              <w:right w:val="single" w:color="auto" w:sz="2" w:space="0"/>
            </w:tcBorders>
            <w:shd w:val="clear" w:color="auto" w:fill="D7D7D7" w:themeFill="background1" w:themeFillShade="D8"/>
            <w:vAlign w:val="center"/>
          </w:tcPr>
          <w:p>
            <w:pPr>
              <w:jc w:val="center"/>
              <w:rPr>
                <w:sz w:val="21"/>
                <w:szCs w:val="21"/>
              </w:rPr>
            </w:pPr>
            <w:r>
              <w:rPr>
                <w:kern w:val="0"/>
                <w:sz w:val="21"/>
                <w:szCs w:val="21"/>
              </w:rPr>
              <w:t>≤</w:t>
            </w:r>
            <w:r>
              <w:rPr>
                <w:rFonts w:hint="eastAsia"/>
                <w:kern w:val="0"/>
                <w:sz w:val="21"/>
                <w:szCs w:val="21"/>
              </w:rPr>
              <w:t>15</w:t>
            </w:r>
          </w:p>
        </w:tc>
        <w:tc>
          <w:tcPr>
            <w:tcW w:w="742" w:type="pct"/>
            <w:tcBorders>
              <w:top w:val="single" w:color="auto" w:sz="2" w:space="0"/>
              <w:left w:val="single" w:color="auto" w:sz="2" w:space="0"/>
              <w:bottom w:val="single" w:color="auto" w:sz="2" w:space="0"/>
              <w:right w:val="single" w:color="auto" w:sz="8" w:space="0"/>
            </w:tcBorders>
            <w:shd w:val="clear" w:color="auto" w:fill="D7D7D7" w:themeFill="background1" w:themeFillShade="D8"/>
            <w:vAlign w:val="center"/>
          </w:tcPr>
          <w:p>
            <w:pPr>
              <w:jc w:val="center"/>
              <w:rPr>
                <w:sz w:val="21"/>
                <w:szCs w:val="21"/>
              </w:rPr>
            </w:pPr>
            <w:r>
              <w:rPr>
                <w:rFonts w:hint="eastAsia"/>
                <w:sz w:val="21"/>
                <w:szCs w:val="21"/>
              </w:rPr>
              <w:t>超标</w:t>
            </w:r>
          </w:p>
        </w:tc>
        <w:tc>
          <w:tcPr>
            <w:tcW w:w="742" w:type="pct"/>
            <w:tcBorders>
              <w:top w:val="single" w:color="auto" w:sz="2" w:space="0"/>
              <w:left w:val="single" w:color="auto" w:sz="2" w:space="0"/>
              <w:bottom w:val="single" w:color="auto" w:sz="2" w:space="0"/>
              <w:right w:val="single" w:color="auto" w:sz="8" w:space="0"/>
            </w:tcBorders>
            <w:shd w:val="clear" w:color="auto" w:fill="D7D7D7" w:themeFill="background1" w:themeFillShade="D8"/>
            <w:vAlign w:val="center"/>
          </w:tcPr>
          <w:p>
            <w:pPr>
              <w:jc w:val="center"/>
              <w:rPr>
                <w:sz w:val="21"/>
                <w:szCs w:val="21"/>
              </w:rPr>
            </w:pPr>
            <w:r>
              <w:rPr>
                <w:rFonts w:hint="eastAsia"/>
                <w:sz w:val="21"/>
                <w:szCs w:val="21"/>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BOD</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2.7</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2.4</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w:t>
            </w:r>
            <w:r>
              <w:rPr>
                <w:rFonts w:hint="eastAsia"/>
                <w:kern w:val="0"/>
                <w:sz w:val="21"/>
                <w:szCs w:val="21"/>
              </w:rPr>
              <w:t>3</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氨氮</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0.218</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0.312</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w:t>
            </w:r>
            <w:r>
              <w:rPr>
                <w:rFonts w:hint="eastAsia"/>
                <w:kern w:val="0"/>
                <w:sz w:val="21"/>
                <w:szCs w:val="21"/>
              </w:rPr>
              <w:t>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氰化物</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0.004L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0.004L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w:t>
            </w:r>
            <w:r>
              <w:rPr>
                <w:rFonts w:hint="eastAsia"/>
                <w:kern w:val="0"/>
                <w:sz w:val="21"/>
                <w:szCs w:val="21"/>
              </w:rPr>
              <w:t>0.05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挥发酚</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0.0003L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0.0003L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≤0.00</w:t>
            </w:r>
            <w:r>
              <w:rPr>
                <w:rFonts w:hint="eastAsia"/>
                <w:kern w:val="0"/>
                <w:sz w:val="21"/>
                <w:szCs w:val="21"/>
              </w:rPr>
              <w:t>2</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悬浮物</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10</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15</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氟化物</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0.24</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0.21</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≤1.0</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硫化物</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0.014</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0.015</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w:t>
            </w:r>
            <w:r>
              <w:rPr>
                <w:rFonts w:hint="eastAsia"/>
                <w:kern w:val="0"/>
                <w:sz w:val="21"/>
                <w:szCs w:val="21"/>
              </w:rPr>
              <w:t>1</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阴离子表面活性剂</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0.05L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0.05L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≤0.2</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石油类</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0.04</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0.04</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六价铬</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0.004L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0.004L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铜</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0.001L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0.001L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≤1.0</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锌</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0.05L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0.05L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≤1.0</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铅</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0.010L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0.010L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≤0.0</w:t>
            </w:r>
            <w:r>
              <w:rPr>
                <w:rFonts w:hint="eastAsia"/>
                <w:kern w:val="0"/>
                <w:sz w:val="21"/>
                <w:szCs w:val="21"/>
              </w:rPr>
              <w:t>1</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镉</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0.001L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0.001L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≤0.005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铁</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0.003L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0.003L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≤0.3</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锰</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0.01L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0.01L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≤0.1</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铝</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0.009L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0.009L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砷</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0.007L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0.007L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2" w:space="0"/>
              <w:right w:val="single" w:color="auto" w:sz="2" w:space="0"/>
            </w:tcBorders>
            <w:vAlign w:val="center"/>
          </w:tcPr>
          <w:p>
            <w:pPr>
              <w:ind w:right="420"/>
              <w:jc w:val="center"/>
              <w:rPr>
                <w:sz w:val="21"/>
                <w:szCs w:val="21"/>
              </w:rPr>
            </w:pPr>
            <w:r>
              <w:rPr>
                <w:sz w:val="21"/>
                <w:szCs w:val="21"/>
              </w:rPr>
              <w:t>汞（</w:t>
            </w:r>
            <w:r>
              <w:rPr>
                <w:bCs/>
                <w:sz w:val="21"/>
                <w:szCs w:val="21"/>
              </w:rPr>
              <w:t>µg/L</w:t>
            </w:r>
            <w:r>
              <w:rPr>
                <w:sz w:val="21"/>
                <w:szCs w:val="21"/>
              </w:rPr>
              <w:t>）</w:t>
            </w:r>
          </w:p>
        </w:tc>
        <w:tc>
          <w:tcPr>
            <w:tcW w:w="777"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0.02L</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sz w:val="21"/>
                <w:szCs w:val="21"/>
              </w:rPr>
              <w:t>0.02L</w:t>
            </w:r>
          </w:p>
        </w:tc>
        <w:tc>
          <w:tcPr>
            <w:tcW w:w="816" w:type="pct"/>
            <w:tcBorders>
              <w:top w:val="single" w:color="auto" w:sz="2" w:space="0"/>
              <w:left w:val="single" w:color="auto" w:sz="2" w:space="0"/>
              <w:bottom w:val="single" w:color="auto" w:sz="2" w:space="0"/>
              <w:right w:val="single" w:color="auto" w:sz="2" w:space="0"/>
            </w:tcBorders>
            <w:vAlign w:val="center"/>
          </w:tcPr>
          <w:p>
            <w:pPr>
              <w:jc w:val="center"/>
              <w:rPr>
                <w:sz w:val="21"/>
                <w:szCs w:val="21"/>
              </w:rPr>
            </w:pPr>
            <w:r>
              <w:rPr>
                <w:kern w:val="0"/>
                <w:sz w:val="21"/>
                <w:szCs w:val="21"/>
              </w:rPr>
              <w:t>≤0.</w:t>
            </w:r>
            <w:r>
              <w:rPr>
                <w:rFonts w:hint="eastAsia"/>
                <w:kern w:val="0"/>
                <w:sz w:val="21"/>
                <w:szCs w:val="21"/>
              </w:rPr>
              <w:t>05</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sz w:val="21"/>
                <w:szCs w:val="21"/>
              </w:rPr>
              <w:t>达标</w:t>
            </w:r>
          </w:p>
        </w:tc>
        <w:tc>
          <w:tcPr>
            <w:tcW w:w="742" w:type="pct"/>
            <w:tcBorders>
              <w:top w:val="single" w:color="auto" w:sz="2" w:space="0"/>
              <w:left w:val="single" w:color="auto" w:sz="2" w:space="0"/>
              <w:bottom w:val="single" w:color="auto" w:sz="2" w:space="0"/>
              <w:right w:val="single" w:color="auto" w:sz="8" w:space="0"/>
            </w:tcBorders>
            <w:vAlign w:val="center"/>
          </w:tcPr>
          <w:p>
            <w:pPr>
              <w:jc w:val="center"/>
              <w:rPr>
                <w:sz w:val="21"/>
                <w:szCs w:val="21"/>
              </w:rPr>
            </w:pP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4" w:type="pct"/>
            <w:tcBorders>
              <w:top w:val="single" w:color="auto" w:sz="2" w:space="0"/>
              <w:left w:val="single" w:color="auto" w:sz="2" w:space="0"/>
              <w:bottom w:val="single" w:color="auto" w:sz="8" w:space="0"/>
              <w:right w:val="single" w:color="auto" w:sz="2" w:space="0"/>
            </w:tcBorders>
            <w:vAlign w:val="center"/>
          </w:tcPr>
          <w:p>
            <w:pPr>
              <w:jc w:val="center"/>
              <w:rPr>
                <w:sz w:val="21"/>
                <w:szCs w:val="21"/>
              </w:rPr>
            </w:pPr>
            <w:r>
              <w:rPr>
                <w:sz w:val="21"/>
                <w:szCs w:val="21"/>
              </w:rPr>
              <w:t>粪大肠菌群（</w:t>
            </w:r>
            <w:r>
              <w:rPr>
                <w:bCs/>
                <w:sz w:val="21"/>
                <w:szCs w:val="21"/>
              </w:rPr>
              <w:t>个/L</w:t>
            </w:r>
            <w:r>
              <w:rPr>
                <w:sz w:val="21"/>
                <w:szCs w:val="21"/>
              </w:rPr>
              <w:t>）</w:t>
            </w:r>
          </w:p>
        </w:tc>
        <w:tc>
          <w:tcPr>
            <w:tcW w:w="777" w:type="pct"/>
            <w:tcBorders>
              <w:top w:val="single" w:color="auto" w:sz="2" w:space="0"/>
              <w:left w:val="single" w:color="auto" w:sz="2" w:space="0"/>
              <w:bottom w:val="single" w:color="auto" w:sz="8" w:space="0"/>
              <w:right w:val="single" w:color="auto" w:sz="2" w:space="0"/>
            </w:tcBorders>
            <w:shd w:val="clear" w:color="auto" w:fill="D7D7D7" w:themeFill="background1" w:themeFillShade="D8"/>
            <w:vAlign w:val="center"/>
          </w:tcPr>
          <w:p>
            <w:pPr>
              <w:jc w:val="center"/>
              <w:rPr>
                <w:sz w:val="21"/>
                <w:szCs w:val="21"/>
              </w:rPr>
            </w:pPr>
            <w:r>
              <w:rPr>
                <w:sz w:val="21"/>
                <w:szCs w:val="21"/>
              </w:rPr>
              <w:t>2300</w:t>
            </w:r>
          </w:p>
        </w:tc>
        <w:tc>
          <w:tcPr>
            <w:tcW w:w="776" w:type="pct"/>
            <w:tcBorders>
              <w:top w:val="single" w:color="auto" w:sz="2" w:space="0"/>
              <w:left w:val="single" w:color="auto" w:sz="2" w:space="0"/>
              <w:bottom w:val="single" w:color="auto" w:sz="8" w:space="0"/>
              <w:right w:val="single" w:color="auto" w:sz="2" w:space="0"/>
            </w:tcBorders>
            <w:shd w:val="clear" w:color="auto" w:fill="D7D7D7" w:themeFill="background1" w:themeFillShade="D8"/>
            <w:vAlign w:val="center"/>
          </w:tcPr>
          <w:p>
            <w:pPr>
              <w:jc w:val="center"/>
              <w:rPr>
                <w:sz w:val="21"/>
                <w:szCs w:val="21"/>
              </w:rPr>
            </w:pPr>
            <w:r>
              <w:rPr>
                <w:sz w:val="21"/>
                <w:szCs w:val="21"/>
              </w:rPr>
              <w:t>2700</w:t>
            </w:r>
          </w:p>
        </w:tc>
        <w:tc>
          <w:tcPr>
            <w:tcW w:w="816" w:type="pct"/>
            <w:tcBorders>
              <w:top w:val="single" w:color="auto" w:sz="2" w:space="0"/>
              <w:left w:val="single" w:color="auto" w:sz="2" w:space="0"/>
              <w:bottom w:val="single" w:color="auto" w:sz="8" w:space="0"/>
              <w:right w:val="single" w:color="auto" w:sz="2" w:space="0"/>
            </w:tcBorders>
            <w:shd w:val="clear" w:color="auto" w:fill="D7D7D7" w:themeFill="background1" w:themeFillShade="D8"/>
            <w:vAlign w:val="center"/>
          </w:tcPr>
          <w:p>
            <w:pPr>
              <w:jc w:val="center"/>
              <w:rPr>
                <w:sz w:val="21"/>
                <w:szCs w:val="21"/>
              </w:rPr>
            </w:pPr>
            <w:r>
              <w:rPr>
                <w:kern w:val="0"/>
                <w:sz w:val="21"/>
                <w:szCs w:val="21"/>
              </w:rPr>
              <w:t>≤</w:t>
            </w:r>
            <w:r>
              <w:rPr>
                <w:rFonts w:hint="eastAsia"/>
                <w:kern w:val="0"/>
                <w:sz w:val="21"/>
                <w:szCs w:val="21"/>
              </w:rPr>
              <w:t>2000</w:t>
            </w:r>
          </w:p>
        </w:tc>
        <w:tc>
          <w:tcPr>
            <w:tcW w:w="742" w:type="pct"/>
            <w:tcBorders>
              <w:top w:val="single" w:color="auto" w:sz="2" w:space="0"/>
              <w:left w:val="single" w:color="auto" w:sz="2" w:space="0"/>
              <w:bottom w:val="single" w:color="auto" w:sz="8" w:space="0"/>
              <w:right w:val="single" w:color="auto" w:sz="8" w:space="0"/>
            </w:tcBorders>
            <w:shd w:val="clear" w:color="auto" w:fill="D7D7D7" w:themeFill="background1" w:themeFillShade="D8"/>
            <w:vAlign w:val="center"/>
          </w:tcPr>
          <w:p>
            <w:pPr>
              <w:jc w:val="center"/>
              <w:rPr>
                <w:sz w:val="21"/>
                <w:szCs w:val="21"/>
              </w:rPr>
            </w:pPr>
            <w:r>
              <w:rPr>
                <w:rFonts w:hint="eastAsia"/>
                <w:sz w:val="21"/>
                <w:szCs w:val="21"/>
              </w:rPr>
              <w:t>超标</w:t>
            </w:r>
          </w:p>
        </w:tc>
        <w:tc>
          <w:tcPr>
            <w:tcW w:w="742" w:type="pct"/>
            <w:tcBorders>
              <w:top w:val="single" w:color="auto" w:sz="2" w:space="0"/>
              <w:left w:val="single" w:color="auto" w:sz="2" w:space="0"/>
              <w:bottom w:val="single" w:color="auto" w:sz="8" w:space="0"/>
              <w:right w:val="single" w:color="auto" w:sz="8" w:space="0"/>
            </w:tcBorders>
            <w:shd w:val="clear" w:color="auto" w:fill="D7D7D7" w:themeFill="background1" w:themeFillShade="D8"/>
            <w:vAlign w:val="center"/>
          </w:tcPr>
          <w:p>
            <w:pPr>
              <w:jc w:val="center"/>
              <w:rPr>
                <w:sz w:val="21"/>
                <w:szCs w:val="21"/>
              </w:rPr>
            </w:pPr>
            <w:r>
              <w:rPr>
                <w:rFonts w:hint="eastAsia"/>
                <w:sz w:val="21"/>
                <w:szCs w:val="21"/>
              </w:rPr>
              <w:t>0.35</w:t>
            </w:r>
          </w:p>
        </w:tc>
      </w:tr>
    </w:tbl>
    <w:p>
      <w:pPr>
        <w:pStyle w:val="44"/>
        <w:jc w:val="both"/>
      </w:pPr>
      <w:r>
        <w:t>备注：“检出限+L”表示检测结果低于方法检出限</w:t>
      </w:r>
    </w:p>
    <w:p>
      <w:pPr>
        <w:pStyle w:val="7"/>
        <w:ind w:firstLine="480"/>
      </w:pPr>
      <w:r>
        <w:t>从上表中可看出公革河水质</w:t>
      </w:r>
      <w:r>
        <w:rPr>
          <w:rFonts w:hint="eastAsia"/>
        </w:rPr>
        <w:t>为III类，不能达到《地表水环境质量标准》（GB3838-2002）II类水质标准，主要影响因子为COD、粪大肠菌群，其超标原因可能是</w:t>
      </w:r>
      <w:r>
        <w:t>公革河</w:t>
      </w:r>
      <w:r>
        <w:rPr>
          <w:rFonts w:hint="eastAsia"/>
        </w:rPr>
        <w:t>周围污水管网不完善，周围居民生活污水进入</w:t>
      </w:r>
      <w:r>
        <w:t>公革河</w:t>
      </w:r>
      <w:r>
        <w:rPr>
          <w:rFonts w:hint="eastAsia"/>
        </w:rPr>
        <w:t>。</w:t>
      </w:r>
    </w:p>
    <w:p>
      <w:pPr>
        <w:pStyle w:val="8"/>
      </w:pPr>
      <w:bookmarkStart w:id="98" w:name="_Toc523976751"/>
      <w:bookmarkStart w:id="99" w:name="_Toc528888029"/>
      <w:bookmarkStart w:id="100" w:name="_Toc517187644"/>
      <w:r>
        <w:rPr>
          <w:rFonts w:hint="eastAsia"/>
        </w:rPr>
        <w:t>5</w:t>
      </w:r>
      <w:r>
        <w:t>.3.3地下水环境质量现状评价</w:t>
      </w:r>
      <w:bookmarkEnd w:id="98"/>
      <w:bookmarkEnd w:id="99"/>
      <w:bookmarkEnd w:id="100"/>
    </w:p>
    <w:p>
      <w:pPr>
        <w:pStyle w:val="9"/>
      </w:pPr>
      <w:r>
        <w:rPr>
          <w:rFonts w:hint="eastAsia"/>
        </w:rPr>
        <w:t>5</w:t>
      </w:r>
      <w:r>
        <w:t>.3.3.1地下水水位现状监测</w:t>
      </w:r>
    </w:p>
    <w:p>
      <w:pPr>
        <w:pStyle w:val="7"/>
        <w:ind w:firstLine="480"/>
      </w:pPr>
      <w:r>
        <w:rPr>
          <w:rFonts w:hint="eastAsia"/>
        </w:rPr>
        <w:t>根据《云南宏泰新型材料有限公司年产203万吨电解铝建设项目环境影响报告书》中由</w:t>
      </w:r>
      <w:r>
        <w:t>云南浩辰环保科技有限公司于2019年11月8日对项目所处区域地下水环境质量现状进行了一期监测。</w:t>
      </w:r>
      <w:bookmarkStart w:id="101" w:name="_Toc4082512"/>
    </w:p>
    <w:p>
      <w:pPr>
        <w:widowControl/>
        <w:adjustRightInd w:val="0"/>
        <w:snapToGrid w:val="0"/>
        <w:spacing w:line="360" w:lineRule="auto"/>
        <w:ind w:firstLine="482" w:firstLineChars="200"/>
        <w:jc w:val="left"/>
        <w:rPr>
          <w:b/>
          <w:bCs/>
        </w:rPr>
      </w:pPr>
      <w:r>
        <w:rPr>
          <w:rFonts w:hint="eastAsia"/>
          <w:b/>
          <w:bCs/>
          <w:szCs w:val="28"/>
        </w:rPr>
        <w:t>1、</w:t>
      </w:r>
      <w:r>
        <w:rPr>
          <w:b/>
          <w:bCs/>
          <w:szCs w:val="28"/>
        </w:rPr>
        <w:t>地下水水位监测点分布</w:t>
      </w:r>
      <w:bookmarkEnd w:id="101"/>
    </w:p>
    <w:p>
      <w:pPr>
        <w:widowControl/>
        <w:adjustRightInd w:val="0"/>
        <w:snapToGrid w:val="0"/>
        <w:spacing w:line="360" w:lineRule="auto"/>
        <w:ind w:firstLine="480" w:firstLineChars="200"/>
        <w:jc w:val="left"/>
        <w:rPr>
          <w:bCs/>
        </w:rPr>
      </w:pPr>
      <w:r>
        <w:rPr>
          <w:szCs w:val="28"/>
        </w:rPr>
        <w:t>依据《环境影响评价技术导则—地下水环境》（HJ610-2016）对水位监测点的要求，对评价区范围内不同层位含水层通过龙潭泉点（2个）及民井（6个）进行了现状监测，共布设了8个监测点。具体位置详见表</w:t>
      </w:r>
      <w:r>
        <w:rPr>
          <w:rFonts w:hint="eastAsia"/>
          <w:szCs w:val="28"/>
        </w:rPr>
        <w:t>5</w:t>
      </w:r>
      <w:r>
        <w:rPr>
          <w:szCs w:val="28"/>
        </w:rPr>
        <w:t>.3-1</w:t>
      </w:r>
      <w:r>
        <w:rPr>
          <w:rFonts w:hint="eastAsia"/>
          <w:szCs w:val="28"/>
          <w:lang w:val="en-US" w:eastAsia="zh-CN"/>
        </w:rPr>
        <w:t>4</w:t>
      </w:r>
      <w:r>
        <w:rPr>
          <w:szCs w:val="28"/>
        </w:rPr>
        <w:t>。</w:t>
      </w:r>
    </w:p>
    <w:p>
      <w:pPr>
        <w:pStyle w:val="31"/>
      </w:pPr>
      <w:r>
        <w:t>表</w:t>
      </w:r>
      <w:r>
        <w:rPr>
          <w:rFonts w:hint="eastAsia"/>
        </w:rPr>
        <w:t>5.3-1</w:t>
      </w:r>
      <w:r>
        <w:rPr>
          <w:rFonts w:hint="eastAsia"/>
          <w:lang w:val="en-US" w:eastAsia="zh-CN"/>
        </w:rPr>
        <w:t xml:space="preserve">4 </w:t>
      </w:r>
      <w:r>
        <w:t xml:space="preserve"> 地下水监测井布设情况一览表</w:t>
      </w:r>
    </w:p>
    <w:tbl>
      <w:tblPr>
        <w:tblStyle w:val="2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31"/>
        <w:gridCol w:w="1953"/>
        <w:gridCol w:w="1650"/>
        <w:gridCol w:w="1514"/>
        <w:gridCol w:w="27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tblHeader/>
          <w:jc w:val="center"/>
        </w:trPr>
        <w:tc>
          <w:tcPr>
            <w:tcW w:w="370" w:type="pct"/>
            <w:vAlign w:val="center"/>
          </w:tcPr>
          <w:p>
            <w:pPr>
              <w:pStyle w:val="32"/>
            </w:pPr>
            <w:r>
              <w:t>序号</w:t>
            </w:r>
          </w:p>
        </w:tc>
        <w:tc>
          <w:tcPr>
            <w:tcW w:w="1146" w:type="pct"/>
            <w:vAlign w:val="center"/>
          </w:tcPr>
          <w:p>
            <w:pPr>
              <w:pStyle w:val="32"/>
            </w:pPr>
            <w:r>
              <w:t>水井名称</w:t>
            </w:r>
          </w:p>
        </w:tc>
        <w:tc>
          <w:tcPr>
            <w:tcW w:w="968" w:type="pct"/>
            <w:vAlign w:val="center"/>
          </w:tcPr>
          <w:p>
            <w:pPr>
              <w:pStyle w:val="32"/>
            </w:pPr>
            <w:r>
              <w:t>纬度</w:t>
            </w:r>
          </w:p>
        </w:tc>
        <w:tc>
          <w:tcPr>
            <w:tcW w:w="888" w:type="pct"/>
            <w:vAlign w:val="center"/>
          </w:tcPr>
          <w:p>
            <w:pPr>
              <w:pStyle w:val="32"/>
            </w:pPr>
            <w:r>
              <w:t>经度</w:t>
            </w:r>
          </w:p>
        </w:tc>
        <w:tc>
          <w:tcPr>
            <w:tcW w:w="1628" w:type="pct"/>
            <w:vAlign w:val="center"/>
          </w:tcPr>
          <w:p>
            <w:pPr>
              <w:pStyle w:val="32"/>
            </w:pPr>
            <w:r>
              <w:t>功能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7" w:hRule="atLeast"/>
          <w:jc w:val="center"/>
        </w:trPr>
        <w:tc>
          <w:tcPr>
            <w:tcW w:w="370" w:type="pct"/>
            <w:vAlign w:val="center"/>
          </w:tcPr>
          <w:p>
            <w:pPr>
              <w:pStyle w:val="32"/>
            </w:pPr>
            <w:r>
              <w:t>1#</w:t>
            </w:r>
          </w:p>
        </w:tc>
        <w:tc>
          <w:tcPr>
            <w:tcW w:w="1146" w:type="pct"/>
            <w:vAlign w:val="center"/>
          </w:tcPr>
          <w:p>
            <w:pPr>
              <w:pStyle w:val="32"/>
            </w:pPr>
            <w:r>
              <w:t>GW1(小听湖民井)</w:t>
            </w:r>
          </w:p>
        </w:tc>
        <w:tc>
          <w:tcPr>
            <w:tcW w:w="968" w:type="pct"/>
            <w:vAlign w:val="center"/>
          </w:tcPr>
          <w:p>
            <w:pPr>
              <w:pStyle w:val="32"/>
            </w:pPr>
            <w:r>
              <w:t>104°23'27"</w:t>
            </w:r>
          </w:p>
        </w:tc>
        <w:tc>
          <w:tcPr>
            <w:tcW w:w="888" w:type="pct"/>
            <w:vAlign w:val="center"/>
          </w:tcPr>
          <w:p>
            <w:pPr>
              <w:pStyle w:val="32"/>
            </w:pPr>
            <w:r>
              <w:t>23°40'41"</w:t>
            </w:r>
          </w:p>
        </w:tc>
        <w:tc>
          <w:tcPr>
            <w:tcW w:w="1628" w:type="pct"/>
            <w:vAlign w:val="center"/>
          </w:tcPr>
          <w:p>
            <w:pPr>
              <w:pStyle w:val="32"/>
              <w:rPr>
                <w:rFonts w:hint="default" w:eastAsia="宋体"/>
                <w:lang w:val="en-US" w:eastAsia="zh-CN"/>
              </w:rPr>
            </w:pPr>
            <w:r>
              <w:t>生活用水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370" w:type="pct"/>
            <w:vAlign w:val="center"/>
          </w:tcPr>
          <w:p>
            <w:pPr>
              <w:pStyle w:val="32"/>
            </w:pPr>
            <w:r>
              <w:t>2#</w:t>
            </w:r>
          </w:p>
        </w:tc>
        <w:tc>
          <w:tcPr>
            <w:tcW w:w="1146" w:type="pct"/>
            <w:vAlign w:val="center"/>
          </w:tcPr>
          <w:p>
            <w:pPr>
              <w:pStyle w:val="32"/>
            </w:pPr>
            <w:r>
              <w:t>GW2(小听湖龙潭)</w:t>
            </w:r>
          </w:p>
        </w:tc>
        <w:tc>
          <w:tcPr>
            <w:tcW w:w="968" w:type="pct"/>
            <w:vAlign w:val="center"/>
          </w:tcPr>
          <w:p>
            <w:pPr>
              <w:pStyle w:val="32"/>
            </w:pPr>
            <w:r>
              <w:t>104°23'17"</w:t>
            </w:r>
          </w:p>
        </w:tc>
        <w:tc>
          <w:tcPr>
            <w:tcW w:w="888" w:type="pct"/>
            <w:vAlign w:val="center"/>
          </w:tcPr>
          <w:p>
            <w:pPr>
              <w:pStyle w:val="32"/>
            </w:pPr>
            <w:r>
              <w:t>23°40'33"</w:t>
            </w:r>
          </w:p>
        </w:tc>
        <w:tc>
          <w:tcPr>
            <w:tcW w:w="1628" w:type="pct"/>
            <w:vAlign w:val="center"/>
          </w:tcPr>
          <w:p>
            <w:pPr>
              <w:pStyle w:val="32"/>
            </w:pPr>
            <w:r>
              <w:t>生活用水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370" w:type="pct"/>
            <w:vAlign w:val="center"/>
          </w:tcPr>
          <w:p>
            <w:pPr>
              <w:pStyle w:val="32"/>
            </w:pPr>
            <w:r>
              <w:t>3#</w:t>
            </w:r>
          </w:p>
        </w:tc>
        <w:tc>
          <w:tcPr>
            <w:tcW w:w="1146" w:type="pct"/>
            <w:vAlign w:val="center"/>
          </w:tcPr>
          <w:p>
            <w:pPr>
              <w:pStyle w:val="32"/>
            </w:pPr>
            <w:r>
              <w:t>GW3(马鞍山水井)</w:t>
            </w:r>
          </w:p>
        </w:tc>
        <w:tc>
          <w:tcPr>
            <w:tcW w:w="968" w:type="pct"/>
            <w:vAlign w:val="center"/>
          </w:tcPr>
          <w:p>
            <w:pPr>
              <w:pStyle w:val="32"/>
            </w:pPr>
            <w:r>
              <w:t>104°22'51"</w:t>
            </w:r>
          </w:p>
        </w:tc>
        <w:tc>
          <w:tcPr>
            <w:tcW w:w="888" w:type="pct"/>
            <w:vAlign w:val="center"/>
          </w:tcPr>
          <w:p>
            <w:pPr>
              <w:pStyle w:val="32"/>
            </w:pPr>
            <w:r>
              <w:t>23°41'45"</w:t>
            </w:r>
          </w:p>
        </w:tc>
        <w:tc>
          <w:tcPr>
            <w:tcW w:w="1628" w:type="pct"/>
            <w:vAlign w:val="center"/>
          </w:tcPr>
          <w:p>
            <w:pPr>
              <w:pStyle w:val="32"/>
            </w:pPr>
            <w:r>
              <w:t>200米深井，马鞍山集中水源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370" w:type="pct"/>
            <w:vAlign w:val="center"/>
          </w:tcPr>
          <w:p>
            <w:pPr>
              <w:pStyle w:val="32"/>
            </w:pPr>
            <w:r>
              <w:t>4#</w:t>
            </w:r>
          </w:p>
        </w:tc>
        <w:tc>
          <w:tcPr>
            <w:tcW w:w="1146" w:type="pct"/>
            <w:vAlign w:val="center"/>
          </w:tcPr>
          <w:p>
            <w:pPr>
              <w:pStyle w:val="32"/>
            </w:pPr>
            <w:r>
              <w:t>GW4(三家寨民井)</w:t>
            </w:r>
          </w:p>
        </w:tc>
        <w:tc>
          <w:tcPr>
            <w:tcW w:w="968" w:type="pct"/>
            <w:vAlign w:val="center"/>
          </w:tcPr>
          <w:p>
            <w:pPr>
              <w:pStyle w:val="32"/>
            </w:pPr>
            <w:r>
              <w:t>104°21'28"</w:t>
            </w:r>
          </w:p>
        </w:tc>
        <w:tc>
          <w:tcPr>
            <w:tcW w:w="888" w:type="pct"/>
            <w:vAlign w:val="center"/>
          </w:tcPr>
          <w:p>
            <w:pPr>
              <w:pStyle w:val="32"/>
            </w:pPr>
            <w:r>
              <w:t>23°41'35"</w:t>
            </w:r>
          </w:p>
        </w:tc>
        <w:tc>
          <w:tcPr>
            <w:tcW w:w="1628" w:type="pct"/>
            <w:vAlign w:val="center"/>
          </w:tcPr>
          <w:p>
            <w:pPr>
              <w:pStyle w:val="32"/>
            </w:pPr>
            <w:r>
              <w:t>生活用水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370" w:type="pct"/>
            <w:vAlign w:val="center"/>
          </w:tcPr>
          <w:p>
            <w:pPr>
              <w:pStyle w:val="32"/>
            </w:pPr>
            <w:r>
              <w:t>5#</w:t>
            </w:r>
          </w:p>
        </w:tc>
        <w:tc>
          <w:tcPr>
            <w:tcW w:w="1146" w:type="pct"/>
            <w:vAlign w:val="center"/>
          </w:tcPr>
          <w:p>
            <w:pPr>
              <w:pStyle w:val="32"/>
            </w:pPr>
            <w:r>
              <w:t>GW5(碧云村民井)</w:t>
            </w:r>
          </w:p>
        </w:tc>
        <w:tc>
          <w:tcPr>
            <w:tcW w:w="968" w:type="pct"/>
            <w:vAlign w:val="center"/>
          </w:tcPr>
          <w:p>
            <w:pPr>
              <w:pStyle w:val="32"/>
            </w:pPr>
            <w:r>
              <w:t>104°21'30"</w:t>
            </w:r>
          </w:p>
        </w:tc>
        <w:tc>
          <w:tcPr>
            <w:tcW w:w="888" w:type="pct"/>
            <w:vAlign w:val="center"/>
          </w:tcPr>
          <w:p>
            <w:pPr>
              <w:pStyle w:val="32"/>
            </w:pPr>
            <w:r>
              <w:t>23°41'22"</w:t>
            </w:r>
          </w:p>
        </w:tc>
        <w:tc>
          <w:tcPr>
            <w:tcW w:w="1628" w:type="pct"/>
            <w:vAlign w:val="center"/>
          </w:tcPr>
          <w:p>
            <w:pPr>
              <w:pStyle w:val="32"/>
            </w:pPr>
            <w:r>
              <w:t>生活用水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370" w:type="pct"/>
            <w:vAlign w:val="center"/>
          </w:tcPr>
          <w:p>
            <w:pPr>
              <w:pStyle w:val="32"/>
            </w:pPr>
            <w:r>
              <w:t>6#</w:t>
            </w:r>
          </w:p>
        </w:tc>
        <w:tc>
          <w:tcPr>
            <w:tcW w:w="1146" w:type="pct"/>
            <w:vAlign w:val="center"/>
          </w:tcPr>
          <w:p>
            <w:pPr>
              <w:pStyle w:val="32"/>
            </w:pPr>
            <w:r>
              <w:t>GW6(布标民井)</w:t>
            </w:r>
          </w:p>
        </w:tc>
        <w:tc>
          <w:tcPr>
            <w:tcW w:w="968" w:type="pct"/>
            <w:vAlign w:val="center"/>
          </w:tcPr>
          <w:p>
            <w:pPr>
              <w:pStyle w:val="32"/>
            </w:pPr>
            <w:r>
              <w:t>104°21'46"</w:t>
            </w:r>
          </w:p>
        </w:tc>
        <w:tc>
          <w:tcPr>
            <w:tcW w:w="888" w:type="pct"/>
            <w:vAlign w:val="center"/>
          </w:tcPr>
          <w:p>
            <w:pPr>
              <w:pStyle w:val="32"/>
            </w:pPr>
            <w:r>
              <w:t>23°40'16"</w:t>
            </w:r>
          </w:p>
        </w:tc>
        <w:tc>
          <w:tcPr>
            <w:tcW w:w="1628" w:type="pct"/>
            <w:vAlign w:val="center"/>
          </w:tcPr>
          <w:p>
            <w:pPr>
              <w:pStyle w:val="32"/>
            </w:pPr>
            <w:r>
              <w:t>生活用水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370" w:type="pct"/>
            <w:vAlign w:val="center"/>
          </w:tcPr>
          <w:p>
            <w:pPr>
              <w:pStyle w:val="32"/>
            </w:pPr>
            <w:r>
              <w:t>7#</w:t>
            </w:r>
          </w:p>
        </w:tc>
        <w:tc>
          <w:tcPr>
            <w:tcW w:w="1146" w:type="pct"/>
            <w:vAlign w:val="center"/>
          </w:tcPr>
          <w:p>
            <w:pPr>
              <w:pStyle w:val="32"/>
            </w:pPr>
            <w:r>
              <w:t>GW7(柏布榔民井)</w:t>
            </w:r>
          </w:p>
        </w:tc>
        <w:tc>
          <w:tcPr>
            <w:tcW w:w="968" w:type="pct"/>
            <w:vAlign w:val="center"/>
          </w:tcPr>
          <w:p>
            <w:pPr>
              <w:pStyle w:val="32"/>
            </w:pPr>
            <w:r>
              <w:t>104°22'38"</w:t>
            </w:r>
          </w:p>
        </w:tc>
        <w:tc>
          <w:tcPr>
            <w:tcW w:w="888" w:type="pct"/>
            <w:vAlign w:val="center"/>
          </w:tcPr>
          <w:p>
            <w:pPr>
              <w:pStyle w:val="32"/>
            </w:pPr>
            <w:r>
              <w:t>23°39'57"</w:t>
            </w:r>
          </w:p>
        </w:tc>
        <w:tc>
          <w:tcPr>
            <w:tcW w:w="1628" w:type="pct"/>
            <w:vAlign w:val="center"/>
          </w:tcPr>
          <w:p>
            <w:pPr>
              <w:pStyle w:val="32"/>
            </w:pPr>
            <w:r>
              <w:t>生活用水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6" w:hRule="atLeast"/>
          <w:jc w:val="center"/>
        </w:trPr>
        <w:tc>
          <w:tcPr>
            <w:tcW w:w="370" w:type="pct"/>
            <w:vAlign w:val="center"/>
          </w:tcPr>
          <w:p>
            <w:pPr>
              <w:pStyle w:val="32"/>
            </w:pPr>
            <w:r>
              <w:t>8#</w:t>
            </w:r>
          </w:p>
        </w:tc>
        <w:tc>
          <w:tcPr>
            <w:tcW w:w="1146" w:type="pct"/>
            <w:vAlign w:val="center"/>
          </w:tcPr>
          <w:p>
            <w:pPr>
              <w:pStyle w:val="32"/>
            </w:pPr>
            <w:r>
              <w:t>GW8(听湖村龙潭)</w:t>
            </w:r>
          </w:p>
        </w:tc>
        <w:tc>
          <w:tcPr>
            <w:tcW w:w="968" w:type="pct"/>
            <w:vAlign w:val="center"/>
          </w:tcPr>
          <w:p>
            <w:pPr>
              <w:pStyle w:val="32"/>
            </w:pPr>
            <w:r>
              <w:t>104°23'31"</w:t>
            </w:r>
          </w:p>
        </w:tc>
        <w:tc>
          <w:tcPr>
            <w:tcW w:w="888" w:type="pct"/>
            <w:vAlign w:val="center"/>
          </w:tcPr>
          <w:p>
            <w:pPr>
              <w:pStyle w:val="32"/>
            </w:pPr>
            <w:r>
              <w:t>23°40'13"</w:t>
            </w:r>
          </w:p>
        </w:tc>
        <w:tc>
          <w:tcPr>
            <w:tcW w:w="1628" w:type="pct"/>
            <w:vAlign w:val="center"/>
          </w:tcPr>
          <w:p>
            <w:pPr>
              <w:pStyle w:val="32"/>
            </w:pPr>
            <w:r>
              <w:t>听湖村自来水来源</w:t>
            </w:r>
          </w:p>
        </w:tc>
      </w:tr>
    </w:tbl>
    <w:p>
      <w:pPr>
        <w:pStyle w:val="7"/>
        <w:ind w:firstLine="480"/>
        <w:rPr>
          <w:b/>
          <w:bCs/>
        </w:rPr>
      </w:pPr>
      <w:r>
        <w:rPr>
          <w:b/>
          <w:bCs/>
        </w:rPr>
        <w:t>2</w:t>
      </w:r>
      <w:r>
        <w:rPr>
          <w:rFonts w:hint="eastAsia"/>
          <w:b/>
          <w:bCs/>
        </w:rPr>
        <w:t>、</w:t>
      </w:r>
      <w:r>
        <w:rPr>
          <w:b/>
          <w:bCs/>
        </w:rPr>
        <w:t>水位</w:t>
      </w:r>
    </w:p>
    <w:p>
      <w:pPr>
        <w:pStyle w:val="7"/>
        <w:ind w:firstLine="480"/>
      </w:pPr>
      <w:r>
        <w:t>依据《环境影响评价技术导则——地下水环境》（HJ610-2016）对水位监测点的要求，对评价区范围内不同层位含水层通过2个龙潭泉点、6个民井进行了现状监测，详见表</w:t>
      </w:r>
      <w:r>
        <w:rPr>
          <w:rFonts w:hint="eastAsia"/>
        </w:rPr>
        <w:t>5.3-1</w:t>
      </w:r>
      <w:r>
        <w:rPr>
          <w:rFonts w:hint="eastAsia"/>
          <w:lang w:val="en-US" w:eastAsia="zh-CN"/>
        </w:rPr>
        <w:t>5</w:t>
      </w:r>
      <w:r>
        <w:t>。</w:t>
      </w:r>
    </w:p>
    <w:p>
      <w:pPr>
        <w:pStyle w:val="31"/>
      </w:pPr>
      <w:r>
        <w:t>表</w:t>
      </w:r>
      <w:r>
        <w:rPr>
          <w:rFonts w:hint="eastAsia"/>
        </w:rPr>
        <w:t>5.3-1</w:t>
      </w:r>
      <w:r>
        <w:rPr>
          <w:rFonts w:hint="eastAsia"/>
          <w:lang w:val="en-US" w:eastAsia="zh-CN"/>
        </w:rPr>
        <w:t>5</w:t>
      </w:r>
      <w:r>
        <w:t xml:space="preserve">  地下水水位情况一览表</w:t>
      </w:r>
    </w:p>
    <w:tbl>
      <w:tblPr>
        <w:tblStyle w:val="27"/>
        <w:tblW w:w="5142" w:type="pct"/>
        <w:tblInd w:w="0"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autofit"/>
        <w:tblCellMar>
          <w:top w:w="0" w:type="dxa"/>
          <w:left w:w="28" w:type="dxa"/>
          <w:bottom w:w="0" w:type="dxa"/>
          <w:right w:w="28" w:type="dxa"/>
        </w:tblCellMar>
      </w:tblPr>
      <w:tblGrid>
        <w:gridCol w:w="523"/>
        <w:gridCol w:w="1832"/>
        <w:gridCol w:w="1305"/>
        <w:gridCol w:w="1254"/>
        <w:gridCol w:w="860"/>
        <w:gridCol w:w="855"/>
        <w:gridCol w:w="887"/>
        <w:gridCol w:w="1083"/>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193" w:hRule="atLeast"/>
          <w:tblHeader/>
        </w:trPr>
        <w:tc>
          <w:tcPr>
            <w:tcW w:w="304" w:type="pct"/>
            <w:vMerge w:val="restart"/>
            <w:vAlign w:val="center"/>
          </w:tcPr>
          <w:p>
            <w:pPr>
              <w:pStyle w:val="33"/>
            </w:pPr>
            <w:r>
              <w:t>序号</w:t>
            </w:r>
          </w:p>
        </w:tc>
        <w:tc>
          <w:tcPr>
            <w:tcW w:w="1065" w:type="pct"/>
            <w:vMerge w:val="restart"/>
            <w:vAlign w:val="center"/>
          </w:tcPr>
          <w:p>
            <w:pPr>
              <w:pStyle w:val="33"/>
            </w:pPr>
            <w:r>
              <w:t>点位名称</w:t>
            </w:r>
          </w:p>
        </w:tc>
        <w:tc>
          <w:tcPr>
            <w:tcW w:w="1488" w:type="pct"/>
            <w:gridSpan w:val="2"/>
            <w:vAlign w:val="center"/>
          </w:tcPr>
          <w:p>
            <w:pPr>
              <w:pStyle w:val="33"/>
            </w:pPr>
            <w:r>
              <w:t>地理坐标</w:t>
            </w:r>
          </w:p>
        </w:tc>
        <w:tc>
          <w:tcPr>
            <w:tcW w:w="500" w:type="pct"/>
            <w:vMerge w:val="restart"/>
            <w:vAlign w:val="center"/>
          </w:tcPr>
          <w:p>
            <w:pPr>
              <w:pStyle w:val="33"/>
            </w:pPr>
            <w:r>
              <w:t>地面</w:t>
            </w:r>
          </w:p>
          <w:p>
            <w:pPr>
              <w:pStyle w:val="33"/>
            </w:pPr>
            <w:r>
              <w:t>标高</w:t>
            </w:r>
          </w:p>
        </w:tc>
        <w:tc>
          <w:tcPr>
            <w:tcW w:w="497" w:type="pct"/>
            <w:vMerge w:val="restart"/>
            <w:vAlign w:val="center"/>
          </w:tcPr>
          <w:p>
            <w:pPr>
              <w:pStyle w:val="33"/>
            </w:pPr>
            <w:r>
              <w:t>水位</w:t>
            </w:r>
          </w:p>
          <w:p>
            <w:pPr>
              <w:pStyle w:val="33"/>
            </w:pPr>
            <w:r>
              <w:t>埋深</w:t>
            </w:r>
          </w:p>
        </w:tc>
        <w:tc>
          <w:tcPr>
            <w:tcW w:w="516" w:type="pct"/>
            <w:vMerge w:val="restart"/>
            <w:vAlign w:val="center"/>
          </w:tcPr>
          <w:p>
            <w:pPr>
              <w:pStyle w:val="33"/>
            </w:pPr>
            <w:r>
              <w:t>水位</w:t>
            </w:r>
          </w:p>
          <w:p>
            <w:pPr>
              <w:pStyle w:val="33"/>
            </w:pPr>
            <w:r>
              <w:t>标高</w:t>
            </w:r>
          </w:p>
        </w:tc>
        <w:tc>
          <w:tcPr>
            <w:tcW w:w="630" w:type="pct"/>
            <w:vMerge w:val="restart"/>
            <w:vAlign w:val="center"/>
          </w:tcPr>
          <w:p>
            <w:pPr>
              <w:pStyle w:val="33"/>
            </w:pPr>
            <w:r>
              <w:t>含水层</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193" w:hRule="atLeast"/>
          <w:tblHeader/>
        </w:trPr>
        <w:tc>
          <w:tcPr>
            <w:tcW w:w="304" w:type="pct"/>
            <w:vMerge w:val="continue"/>
            <w:vAlign w:val="center"/>
          </w:tcPr>
          <w:p>
            <w:pPr>
              <w:pStyle w:val="33"/>
            </w:pPr>
          </w:p>
        </w:tc>
        <w:tc>
          <w:tcPr>
            <w:tcW w:w="1065" w:type="pct"/>
            <w:vMerge w:val="continue"/>
            <w:vAlign w:val="center"/>
          </w:tcPr>
          <w:p>
            <w:pPr>
              <w:pStyle w:val="33"/>
            </w:pPr>
          </w:p>
        </w:tc>
        <w:tc>
          <w:tcPr>
            <w:tcW w:w="759" w:type="pct"/>
            <w:vAlign w:val="center"/>
          </w:tcPr>
          <w:p>
            <w:pPr>
              <w:pStyle w:val="33"/>
            </w:pPr>
            <w:r>
              <w:t>经度</w:t>
            </w:r>
          </w:p>
        </w:tc>
        <w:tc>
          <w:tcPr>
            <w:tcW w:w="729" w:type="pct"/>
            <w:vAlign w:val="center"/>
          </w:tcPr>
          <w:p>
            <w:pPr>
              <w:pStyle w:val="33"/>
            </w:pPr>
            <w:r>
              <w:t>纬度</w:t>
            </w:r>
          </w:p>
        </w:tc>
        <w:tc>
          <w:tcPr>
            <w:tcW w:w="500" w:type="pct"/>
            <w:vMerge w:val="continue"/>
            <w:vAlign w:val="center"/>
          </w:tcPr>
          <w:p>
            <w:pPr>
              <w:pStyle w:val="33"/>
            </w:pPr>
          </w:p>
        </w:tc>
        <w:tc>
          <w:tcPr>
            <w:tcW w:w="497" w:type="pct"/>
            <w:vMerge w:val="continue"/>
            <w:vAlign w:val="center"/>
          </w:tcPr>
          <w:p>
            <w:pPr>
              <w:pStyle w:val="33"/>
            </w:pPr>
          </w:p>
        </w:tc>
        <w:tc>
          <w:tcPr>
            <w:tcW w:w="516" w:type="pct"/>
            <w:vMerge w:val="continue"/>
            <w:vAlign w:val="center"/>
          </w:tcPr>
          <w:p>
            <w:pPr>
              <w:pStyle w:val="33"/>
            </w:pPr>
          </w:p>
        </w:tc>
        <w:tc>
          <w:tcPr>
            <w:tcW w:w="630" w:type="pct"/>
            <w:vMerge w:val="continue"/>
            <w:vAlign w:val="center"/>
          </w:tcPr>
          <w:p>
            <w:pPr>
              <w:pStyle w:val="33"/>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1#</w:t>
            </w:r>
          </w:p>
        </w:tc>
        <w:tc>
          <w:tcPr>
            <w:tcW w:w="1065" w:type="pct"/>
            <w:vAlign w:val="center"/>
          </w:tcPr>
          <w:p>
            <w:pPr>
              <w:pStyle w:val="33"/>
            </w:pPr>
            <w:r>
              <w:t>GW1(小听湖民井)</w:t>
            </w:r>
          </w:p>
        </w:tc>
        <w:tc>
          <w:tcPr>
            <w:tcW w:w="759" w:type="pct"/>
            <w:vAlign w:val="center"/>
          </w:tcPr>
          <w:p>
            <w:pPr>
              <w:pStyle w:val="33"/>
            </w:pPr>
            <w:r>
              <w:t>104°23'27"</w:t>
            </w:r>
          </w:p>
        </w:tc>
        <w:tc>
          <w:tcPr>
            <w:tcW w:w="729" w:type="pct"/>
            <w:vAlign w:val="center"/>
          </w:tcPr>
          <w:p>
            <w:pPr>
              <w:pStyle w:val="33"/>
            </w:pPr>
            <w:r>
              <w:t>23°40'41"</w:t>
            </w:r>
          </w:p>
        </w:tc>
        <w:tc>
          <w:tcPr>
            <w:tcW w:w="500" w:type="pct"/>
            <w:vAlign w:val="center"/>
          </w:tcPr>
          <w:p>
            <w:pPr>
              <w:pStyle w:val="33"/>
            </w:pPr>
            <w:r>
              <w:t>1540.24</w:t>
            </w:r>
          </w:p>
        </w:tc>
        <w:tc>
          <w:tcPr>
            <w:tcW w:w="497" w:type="pct"/>
            <w:vAlign w:val="center"/>
          </w:tcPr>
          <w:p>
            <w:pPr>
              <w:pStyle w:val="33"/>
            </w:pPr>
            <w:r>
              <w:t>3.00</w:t>
            </w:r>
          </w:p>
        </w:tc>
        <w:tc>
          <w:tcPr>
            <w:tcW w:w="516" w:type="pct"/>
            <w:vAlign w:val="center"/>
          </w:tcPr>
          <w:p>
            <w:pPr>
              <w:pStyle w:val="33"/>
            </w:pPr>
            <w:r>
              <w:t>1537.24</w:t>
            </w:r>
          </w:p>
        </w:tc>
        <w:tc>
          <w:tcPr>
            <w:tcW w:w="630" w:type="pct"/>
            <w:vAlign w:val="center"/>
          </w:tcPr>
          <w:p>
            <w:pPr>
              <w:pStyle w:val="33"/>
            </w:pPr>
            <w:r>
              <w:t>Ey/P</w:t>
            </w:r>
            <w:r>
              <w:rPr>
                <w:vertAlign w:val="subscript"/>
              </w:rPr>
              <w:t>2</w:t>
            </w:r>
            <w:r>
              <w:t>w</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2#</w:t>
            </w:r>
          </w:p>
        </w:tc>
        <w:tc>
          <w:tcPr>
            <w:tcW w:w="1065" w:type="pct"/>
            <w:vAlign w:val="center"/>
          </w:tcPr>
          <w:p>
            <w:pPr>
              <w:pStyle w:val="33"/>
            </w:pPr>
            <w:r>
              <w:t>GW2(小听湖龙潭)</w:t>
            </w:r>
          </w:p>
        </w:tc>
        <w:tc>
          <w:tcPr>
            <w:tcW w:w="759" w:type="pct"/>
            <w:vAlign w:val="center"/>
          </w:tcPr>
          <w:p>
            <w:pPr>
              <w:pStyle w:val="33"/>
            </w:pPr>
            <w:r>
              <w:t>104°23'17"</w:t>
            </w:r>
          </w:p>
        </w:tc>
        <w:tc>
          <w:tcPr>
            <w:tcW w:w="729" w:type="pct"/>
            <w:vAlign w:val="center"/>
          </w:tcPr>
          <w:p>
            <w:pPr>
              <w:pStyle w:val="33"/>
            </w:pPr>
            <w:r>
              <w:t>23°40'33"</w:t>
            </w:r>
          </w:p>
        </w:tc>
        <w:tc>
          <w:tcPr>
            <w:tcW w:w="500" w:type="pct"/>
            <w:vAlign w:val="center"/>
          </w:tcPr>
          <w:p>
            <w:pPr>
              <w:pStyle w:val="33"/>
            </w:pPr>
            <w:r>
              <w:t>1537.66</w:t>
            </w:r>
          </w:p>
        </w:tc>
        <w:tc>
          <w:tcPr>
            <w:tcW w:w="497" w:type="pct"/>
            <w:vAlign w:val="center"/>
          </w:tcPr>
          <w:p>
            <w:pPr>
              <w:pStyle w:val="33"/>
            </w:pPr>
            <w:r>
              <w:t>2.00</w:t>
            </w:r>
          </w:p>
        </w:tc>
        <w:tc>
          <w:tcPr>
            <w:tcW w:w="516" w:type="pct"/>
            <w:vAlign w:val="center"/>
          </w:tcPr>
          <w:p>
            <w:pPr>
              <w:pStyle w:val="33"/>
            </w:pPr>
            <w:r>
              <w:t>1535.66</w:t>
            </w:r>
          </w:p>
        </w:tc>
        <w:tc>
          <w:tcPr>
            <w:tcW w:w="630" w:type="pct"/>
            <w:vAlign w:val="center"/>
          </w:tcPr>
          <w:p>
            <w:pPr>
              <w:pStyle w:val="33"/>
            </w:pPr>
            <w:r>
              <w:t>Ey/P</w:t>
            </w:r>
            <w:r>
              <w:rPr>
                <w:vertAlign w:val="subscript"/>
              </w:rPr>
              <w:t>2</w:t>
            </w:r>
            <w:r>
              <w:t>w</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3#</w:t>
            </w:r>
          </w:p>
        </w:tc>
        <w:tc>
          <w:tcPr>
            <w:tcW w:w="1065" w:type="pct"/>
            <w:vAlign w:val="center"/>
          </w:tcPr>
          <w:p>
            <w:pPr>
              <w:pStyle w:val="33"/>
            </w:pPr>
            <w:r>
              <w:t>GW3(马鞍山水井)</w:t>
            </w:r>
          </w:p>
        </w:tc>
        <w:tc>
          <w:tcPr>
            <w:tcW w:w="759" w:type="pct"/>
            <w:vAlign w:val="center"/>
          </w:tcPr>
          <w:p>
            <w:pPr>
              <w:pStyle w:val="33"/>
            </w:pPr>
            <w:r>
              <w:t>104°22'51"</w:t>
            </w:r>
          </w:p>
        </w:tc>
        <w:tc>
          <w:tcPr>
            <w:tcW w:w="729" w:type="pct"/>
            <w:vAlign w:val="center"/>
          </w:tcPr>
          <w:p>
            <w:pPr>
              <w:pStyle w:val="33"/>
            </w:pPr>
            <w:r>
              <w:t>23°41'45"</w:t>
            </w:r>
          </w:p>
        </w:tc>
        <w:tc>
          <w:tcPr>
            <w:tcW w:w="500" w:type="pct"/>
            <w:vAlign w:val="center"/>
          </w:tcPr>
          <w:p>
            <w:pPr>
              <w:pStyle w:val="33"/>
            </w:pPr>
            <w:r>
              <w:t>1520.12</w:t>
            </w:r>
          </w:p>
        </w:tc>
        <w:tc>
          <w:tcPr>
            <w:tcW w:w="497" w:type="pct"/>
            <w:vAlign w:val="center"/>
          </w:tcPr>
          <w:p>
            <w:pPr>
              <w:pStyle w:val="33"/>
            </w:pPr>
            <w:r>
              <w:t>200</w:t>
            </w:r>
          </w:p>
        </w:tc>
        <w:tc>
          <w:tcPr>
            <w:tcW w:w="516" w:type="pct"/>
            <w:vAlign w:val="center"/>
          </w:tcPr>
          <w:p>
            <w:pPr>
              <w:pStyle w:val="33"/>
            </w:pPr>
            <w:r>
              <w:t>-</w:t>
            </w:r>
          </w:p>
        </w:tc>
        <w:tc>
          <w:tcPr>
            <w:tcW w:w="630" w:type="pct"/>
            <w:vAlign w:val="center"/>
          </w:tcPr>
          <w:p>
            <w:pPr>
              <w:pStyle w:val="33"/>
            </w:pPr>
            <w:r>
              <w:t>C</w:t>
            </w:r>
            <w:r>
              <w:rPr>
                <w:vertAlign w:val="subscript"/>
              </w:rPr>
              <w:t>1</w:t>
            </w:r>
            <w:r>
              <w:t>d</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4#</w:t>
            </w:r>
          </w:p>
        </w:tc>
        <w:tc>
          <w:tcPr>
            <w:tcW w:w="1065" w:type="pct"/>
            <w:vAlign w:val="center"/>
          </w:tcPr>
          <w:p>
            <w:pPr>
              <w:pStyle w:val="33"/>
            </w:pPr>
            <w:r>
              <w:t>GW4(三家寨民井)</w:t>
            </w:r>
          </w:p>
        </w:tc>
        <w:tc>
          <w:tcPr>
            <w:tcW w:w="759" w:type="pct"/>
            <w:vAlign w:val="center"/>
          </w:tcPr>
          <w:p>
            <w:pPr>
              <w:pStyle w:val="33"/>
            </w:pPr>
            <w:r>
              <w:t>104°21'28"</w:t>
            </w:r>
          </w:p>
        </w:tc>
        <w:tc>
          <w:tcPr>
            <w:tcW w:w="729" w:type="pct"/>
            <w:vAlign w:val="center"/>
          </w:tcPr>
          <w:p>
            <w:pPr>
              <w:pStyle w:val="33"/>
            </w:pPr>
            <w:r>
              <w:t>23°41'35"</w:t>
            </w:r>
          </w:p>
        </w:tc>
        <w:tc>
          <w:tcPr>
            <w:tcW w:w="500" w:type="pct"/>
            <w:vAlign w:val="center"/>
          </w:tcPr>
          <w:p>
            <w:pPr>
              <w:pStyle w:val="33"/>
            </w:pPr>
            <w:r>
              <w:t>1543.77</w:t>
            </w:r>
          </w:p>
        </w:tc>
        <w:tc>
          <w:tcPr>
            <w:tcW w:w="497" w:type="pct"/>
            <w:vAlign w:val="center"/>
          </w:tcPr>
          <w:p>
            <w:pPr>
              <w:pStyle w:val="33"/>
            </w:pPr>
            <w:r>
              <w:t>3.00</w:t>
            </w:r>
          </w:p>
        </w:tc>
        <w:tc>
          <w:tcPr>
            <w:tcW w:w="516" w:type="pct"/>
            <w:vAlign w:val="center"/>
          </w:tcPr>
          <w:p>
            <w:pPr>
              <w:pStyle w:val="33"/>
            </w:pPr>
            <w:r>
              <w:t>1540.77</w:t>
            </w:r>
          </w:p>
        </w:tc>
        <w:tc>
          <w:tcPr>
            <w:tcW w:w="630" w:type="pct"/>
            <w:vAlign w:val="center"/>
          </w:tcPr>
          <w:p>
            <w:pPr>
              <w:pStyle w:val="33"/>
            </w:pPr>
            <w:r>
              <w:t>D</w:t>
            </w:r>
            <w:r>
              <w:rPr>
                <w:vertAlign w:val="subscript"/>
              </w:rPr>
              <w:softHyphen/>
            </w:r>
            <w:r>
              <w:rPr>
                <w:vertAlign w:val="subscript"/>
              </w:rPr>
              <w:t>2</w:t>
            </w:r>
            <w:r>
              <w:t>g</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5#</w:t>
            </w:r>
          </w:p>
        </w:tc>
        <w:tc>
          <w:tcPr>
            <w:tcW w:w="1065" w:type="pct"/>
            <w:vAlign w:val="center"/>
          </w:tcPr>
          <w:p>
            <w:pPr>
              <w:pStyle w:val="33"/>
            </w:pPr>
            <w:r>
              <w:t>GW5(碧云村民井)</w:t>
            </w:r>
          </w:p>
        </w:tc>
        <w:tc>
          <w:tcPr>
            <w:tcW w:w="759" w:type="pct"/>
            <w:vAlign w:val="center"/>
          </w:tcPr>
          <w:p>
            <w:pPr>
              <w:pStyle w:val="33"/>
            </w:pPr>
            <w:r>
              <w:t>104°21'30"</w:t>
            </w:r>
          </w:p>
        </w:tc>
        <w:tc>
          <w:tcPr>
            <w:tcW w:w="729" w:type="pct"/>
            <w:vAlign w:val="center"/>
          </w:tcPr>
          <w:p>
            <w:pPr>
              <w:pStyle w:val="33"/>
            </w:pPr>
            <w:r>
              <w:t>23°41'22"</w:t>
            </w:r>
          </w:p>
        </w:tc>
        <w:tc>
          <w:tcPr>
            <w:tcW w:w="500" w:type="pct"/>
            <w:vAlign w:val="center"/>
          </w:tcPr>
          <w:p>
            <w:pPr>
              <w:pStyle w:val="33"/>
            </w:pPr>
            <w:r>
              <w:t>1552.30</w:t>
            </w:r>
          </w:p>
        </w:tc>
        <w:tc>
          <w:tcPr>
            <w:tcW w:w="497" w:type="pct"/>
            <w:vAlign w:val="center"/>
          </w:tcPr>
          <w:p>
            <w:pPr>
              <w:pStyle w:val="33"/>
            </w:pPr>
            <w:r>
              <w:t>4.00</w:t>
            </w:r>
          </w:p>
        </w:tc>
        <w:tc>
          <w:tcPr>
            <w:tcW w:w="516" w:type="pct"/>
            <w:vAlign w:val="center"/>
          </w:tcPr>
          <w:p>
            <w:pPr>
              <w:pStyle w:val="33"/>
            </w:pPr>
            <w:r>
              <w:t>1548.30</w:t>
            </w:r>
          </w:p>
        </w:tc>
        <w:tc>
          <w:tcPr>
            <w:tcW w:w="630" w:type="pct"/>
            <w:vAlign w:val="center"/>
          </w:tcPr>
          <w:p>
            <w:pPr>
              <w:pStyle w:val="33"/>
            </w:pPr>
            <w:r>
              <w:t>D</w:t>
            </w:r>
            <w:r>
              <w:rPr>
                <w:vertAlign w:val="subscript"/>
              </w:rPr>
              <w:softHyphen/>
            </w:r>
            <w:r>
              <w:rPr>
                <w:vertAlign w:val="subscript"/>
              </w:rPr>
              <w:t>2</w:t>
            </w:r>
            <w:r>
              <w:t>g</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6#</w:t>
            </w:r>
          </w:p>
        </w:tc>
        <w:tc>
          <w:tcPr>
            <w:tcW w:w="1065" w:type="pct"/>
            <w:vAlign w:val="center"/>
          </w:tcPr>
          <w:p>
            <w:pPr>
              <w:pStyle w:val="33"/>
            </w:pPr>
            <w:r>
              <w:t>GW6(布标民井)</w:t>
            </w:r>
          </w:p>
        </w:tc>
        <w:tc>
          <w:tcPr>
            <w:tcW w:w="759" w:type="pct"/>
            <w:vAlign w:val="center"/>
          </w:tcPr>
          <w:p>
            <w:pPr>
              <w:pStyle w:val="33"/>
            </w:pPr>
            <w:r>
              <w:t>104°21'46"</w:t>
            </w:r>
          </w:p>
        </w:tc>
        <w:tc>
          <w:tcPr>
            <w:tcW w:w="729" w:type="pct"/>
            <w:vAlign w:val="center"/>
          </w:tcPr>
          <w:p>
            <w:pPr>
              <w:pStyle w:val="33"/>
            </w:pPr>
            <w:r>
              <w:t>23°40'16"</w:t>
            </w:r>
          </w:p>
        </w:tc>
        <w:tc>
          <w:tcPr>
            <w:tcW w:w="500" w:type="pct"/>
            <w:vAlign w:val="center"/>
          </w:tcPr>
          <w:p>
            <w:pPr>
              <w:pStyle w:val="33"/>
            </w:pPr>
            <w:r>
              <w:t>1558.25</w:t>
            </w:r>
          </w:p>
        </w:tc>
        <w:tc>
          <w:tcPr>
            <w:tcW w:w="497" w:type="pct"/>
            <w:vAlign w:val="center"/>
          </w:tcPr>
          <w:p>
            <w:pPr>
              <w:pStyle w:val="33"/>
            </w:pPr>
            <w:r>
              <w:t>15.00</w:t>
            </w:r>
          </w:p>
        </w:tc>
        <w:tc>
          <w:tcPr>
            <w:tcW w:w="516" w:type="pct"/>
            <w:vAlign w:val="center"/>
          </w:tcPr>
          <w:p>
            <w:pPr>
              <w:pStyle w:val="33"/>
            </w:pPr>
            <w:r>
              <w:t>1543.25</w:t>
            </w:r>
          </w:p>
        </w:tc>
        <w:tc>
          <w:tcPr>
            <w:tcW w:w="630" w:type="pct"/>
            <w:vAlign w:val="center"/>
          </w:tcPr>
          <w:p>
            <w:pPr>
              <w:pStyle w:val="33"/>
            </w:pPr>
            <w:r>
              <w:t>∈</w:t>
            </w:r>
            <w:r>
              <w:rPr>
                <w:vertAlign w:val="subscript"/>
              </w:rPr>
              <w:t>3</w:t>
            </w:r>
            <w:r>
              <w:t>x</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7#</w:t>
            </w:r>
          </w:p>
        </w:tc>
        <w:tc>
          <w:tcPr>
            <w:tcW w:w="1065" w:type="pct"/>
            <w:vAlign w:val="center"/>
          </w:tcPr>
          <w:p>
            <w:pPr>
              <w:pStyle w:val="33"/>
            </w:pPr>
            <w:r>
              <w:t>GW7(柏布榔民井)</w:t>
            </w:r>
          </w:p>
        </w:tc>
        <w:tc>
          <w:tcPr>
            <w:tcW w:w="759" w:type="pct"/>
            <w:vAlign w:val="center"/>
          </w:tcPr>
          <w:p>
            <w:pPr>
              <w:pStyle w:val="33"/>
            </w:pPr>
            <w:r>
              <w:t>104°22'38"</w:t>
            </w:r>
          </w:p>
        </w:tc>
        <w:tc>
          <w:tcPr>
            <w:tcW w:w="729" w:type="pct"/>
            <w:vAlign w:val="center"/>
          </w:tcPr>
          <w:p>
            <w:pPr>
              <w:pStyle w:val="33"/>
            </w:pPr>
            <w:r>
              <w:t>23°39'57"</w:t>
            </w:r>
          </w:p>
        </w:tc>
        <w:tc>
          <w:tcPr>
            <w:tcW w:w="500" w:type="pct"/>
            <w:vAlign w:val="center"/>
          </w:tcPr>
          <w:p>
            <w:pPr>
              <w:pStyle w:val="33"/>
            </w:pPr>
            <w:r>
              <w:t>1538.57</w:t>
            </w:r>
          </w:p>
        </w:tc>
        <w:tc>
          <w:tcPr>
            <w:tcW w:w="497" w:type="pct"/>
            <w:vAlign w:val="center"/>
          </w:tcPr>
          <w:p>
            <w:pPr>
              <w:pStyle w:val="33"/>
            </w:pPr>
            <w:r>
              <w:t>5.50</w:t>
            </w:r>
          </w:p>
        </w:tc>
        <w:tc>
          <w:tcPr>
            <w:tcW w:w="516" w:type="pct"/>
            <w:vAlign w:val="center"/>
          </w:tcPr>
          <w:p>
            <w:pPr>
              <w:pStyle w:val="33"/>
            </w:pPr>
            <w:r>
              <w:t>1533.07</w:t>
            </w:r>
          </w:p>
        </w:tc>
        <w:tc>
          <w:tcPr>
            <w:tcW w:w="630" w:type="pct"/>
          </w:tcPr>
          <w:p>
            <w:pPr>
              <w:pStyle w:val="33"/>
            </w:pPr>
            <w:r>
              <w:t>Ey/P</w:t>
            </w:r>
            <w:r>
              <w:rPr>
                <w:vertAlign w:val="subscript"/>
              </w:rPr>
              <w:t>2</w:t>
            </w:r>
            <w:r>
              <w:t>w</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28" w:type="dxa"/>
            <w:bottom w:w="0" w:type="dxa"/>
            <w:right w:w="28" w:type="dxa"/>
          </w:tblCellMar>
        </w:tblPrEx>
        <w:trPr>
          <w:trHeight w:val="387" w:hRule="atLeast"/>
        </w:trPr>
        <w:tc>
          <w:tcPr>
            <w:tcW w:w="304" w:type="pct"/>
            <w:vAlign w:val="center"/>
          </w:tcPr>
          <w:p>
            <w:pPr>
              <w:pStyle w:val="33"/>
            </w:pPr>
            <w:r>
              <w:t>8#</w:t>
            </w:r>
          </w:p>
        </w:tc>
        <w:tc>
          <w:tcPr>
            <w:tcW w:w="1065" w:type="pct"/>
            <w:vAlign w:val="center"/>
          </w:tcPr>
          <w:p>
            <w:pPr>
              <w:pStyle w:val="33"/>
            </w:pPr>
            <w:r>
              <w:t>GW8(听湖村龙潭)</w:t>
            </w:r>
          </w:p>
        </w:tc>
        <w:tc>
          <w:tcPr>
            <w:tcW w:w="759" w:type="pct"/>
            <w:vAlign w:val="center"/>
          </w:tcPr>
          <w:p>
            <w:pPr>
              <w:pStyle w:val="33"/>
            </w:pPr>
            <w:r>
              <w:t>104°23'31"</w:t>
            </w:r>
          </w:p>
        </w:tc>
        <w:tc>
          <w:tcPr>
            <w:tcW w:w="729" w:type="pct"/>
            <w:vAlign w:val="center"/>
          </w:tcPr>
          <w:p>
            <w:pPr>
              <w:pStyle w:val="33"/>
            </w:pPr>
            <w:r>
              <w:t>23°40'13"</w:t>
            </w:r>
          </w:p>
        </w:tc>
        <w:tc>
          <w:tcPr>
            <w:tcW w:w="500" w:type="pct"/>
            <w:vAlign w:val="center"/>
          </w:tcPr>
          <w:p>
            <w:pPr>
              <w:pStyle w:val="33"/>
            </w:pPr>
            <w:r>
              <w:t>1532.30</w:t>
            </w:r>
          </w:p>
        </w:tc>
        <w:tc>
          <w:tcPr>
            <w:tcW w:w="497" w:type="pct"/>
            <w:vAlign w:val="center"/>
          </w:tcPr>
          <w:p>
            <w:pPr>
              <w:pStyle w:val="33"/>
            </w:pPr>
            <w:r>
              <w:t>0.00</w:t>
            </w:r>
          </w:p>
        </w:tc>
        <w:tc>
          <w:tcPr>
            <w:tcW w:w="516" w:type="pct"/>
            <w:vAlign w:val="center"/>
          </w:tcPr>
          <w:p>
            <w:pPr>
              <w:pStyle w:val="33"/>
            </w:pPr>
            <w:r>
              <w:t>1532.30</w:t>
            </w:r>
          </w:p>
        </w:tc>
        <w:tc>
          <w:tcPr>
            <w:tcW w:w="630" w:type="pct"/>
          </w:tcPr>
          <w:p>
            <w:pPr>
              <w:pStyle w:val="33"/>
            </w:pPr>
            <w:r>
              <w:t>Ey/P</w:t>
            </w:r>
            <w:r>
              <w:rPr>
                <w:vertAlign w:val="subscript"/>
              </w:rPr>
              <w:t>2</w:t>
            </w:r>
            <w:r>
              <w:t>w</w:t>
            </w:r>
          </w:p>
        </w:tc>
      </w:tr>
    </w:tbl>
    <w:p>
      <w:pPr>
        <w:pStyle w:val="7"/>
        <w:ind w:firstLine="480"/>
        <w:rPr>
          <w:b/>
          <w:bCs/>
        </w:rPr>
      </w:pPr>
      <w:r>
        <w:rPr>
          <w:b/>
          <w:bCs/>
        </w:rPr>
        <w:t>3</w:t>
      </w:r>
      <w:r>
        <w:rPr>
          <w:rFonts w:hint="eastAsia"/>
          <w:b/>
          <w:bCs/>
        </w:rPr>
        <w:t>、</w:t>
      </w:r>
      <w:r>
        <w:rPr>
          <w:b/>
          <w:bCs/>
        </w:rPr>
        <w:t>水质</w:t>
      </w:r>
    </w:p>
    <w:p>
      <w:pPr>
        <w:pStyle w:val="7"/>
        <w:ind w:firstLine="480"/>
      </w:pPr>
      <w:r>
        <w:t>（1）监测因子：pH、总硬度、溶解性总固体、硫酸盐、氯化物、挥发性酚类、阴离子表面活性剂、耗氧量、氨氮、硫化物、亚硝酸盐、硝酸盐、氰化物、氟化物、铁、锰、铜、锌、汞、砷、镉、六价铬、铅、镍、铝、总大肠菌群、菌落总数。</w:t>
      </w:r>
    </w:p>
    <w:p>
      <w:pPr>
        <w:pStyle w:val="7"/>
        <w:ind w:firstLine="480"/>
      </w:pPr>
      <w:r>
        <w:t>（2）监测时间及频率：地下水采样时间2019年11月8日，1次采样。</w:t>
      </w:r>
    </w:p>
    <w:p>
      <w:pPr>
        <w:pStyle w:val="7"/>
        <w:ind w:firstLine="480"/>
      </w:pPr>
      <w:r>
        <w:t>（3）监测方法：水样的采集、保存及分析按《地下水环境监测技术规范》（HJ/T164-2004）和《地下水质量标准》（GB/T14848-2017）等要求的方法进行。</w:t>
      </w:r>
    </w:p>
    <w:p>
      <w:pPr>
        <w:pStyle w:val="7"/>
        <w:ind w:firstLine="480"/>
        <w:rPr>
          <w:b/>
          <w:bCs/>
        </w:rPr>
      </w:pPr>
      <w:bookmarkStart w:id="102" w:name="_Toc474763660"/>
      <w:bookmarkStart w:id="103" w:name="_Toc500497294"/>
      <w:bookmarkStart w:id="104" w:name="_Toc469995401"/>
      <w:bookmarkStart w:id="105" w:name="_Toc470597832"/>
      <w:r>
        <w:rPr>
          <w:b/>
          <w:bCs/>
        </w:rPr>
        <w:t>4</w:t>
      </w:r>
      <w:r>
        <w:rPr>
          <w:rFonts w:hint="eastAsia"/>
          <w:b/>
          <w:bCs/>
        </w:rPr>
        <w:t>、</w:t>
      </w:r>
      <w:r>
        <w:rPr>
          <w:b/>
          <w:bCs/>
        </w:rPr>
        <w:t>地下水环境质量现状监测</w:t>
      </w:r>
      <w:bookmarkEnd w:id="102"/>
      <w:bookmarkEnd w:id="103"/>
      <w:bookmarkEnd w:id="104"/>
      <w:bookmarkEnd w:id="105"/>
    </w:p>
    <w:p>
      <w:pPr>
        <w:pStyle w:val="31"/>
      </w:pPr>
      <w:r>
        <w:t>表</w:t>
      </w:r>
      <w:r>
        <w:rPr>
          <w:rFonts w:hint="eastAsia"/>
        </w:rPr>
        <w:t>5.3-1</w:t>
      </w:r>
      <w:r>
        <w:rPr>
          <w:rFonts w:hint="eastAsia"/>
          <w:lang w:val="en-US" w:eastAsia="zh-CN"/>
        </w:rPr>
        <w:t>6</w:t>
      </w:r>
      <w:r>
        <w:t xml:space="preserve"> </w:t>
      </w:r>
      <w:r>
        <w:rPr>
          <w:rFonts w:hint="eastAsia"/>
        </w:rPr>
        <w:t xml:space="preserve"> </w:t>
      </w:r>
      <w:r>
        <w:t>地下水检测结果一览表  （单位：mg/L、pH无量纲）</w:t>
      </w:r>
    </w:p>
    <w:tbl>
      <w:tblPr>
        <w:tblStyle w:val="27"/>
        <w:tblW w:w="505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92"/>
        <w:gridCol w:w="1579"/>
        <w:gridCol w:w="1783"/>
        <w:gridCol w:w="1869"/>
        <w:gridCol w:w="668"/>
        <w:gridCol w:w="83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项目</w:t>
            </w:r>
          </w:p>
        </w:tc>
        <w:tc>
          <w:tcPr>
            <w:tcW w:w="926" w:type="pct"/>
            <w:vAlign w:val="center"/>
          </w:tcPr>
          <w:p>
            <w:pPr>
              <w:pStyle w:val="33"/>
            </w:pPr>
            <w:r>
              <w:t>GW1小听湖民井（DX01）</w:t>
            </w:r>
          </w:p>
        </w:tc>
        <w:tc>
          <w:tcPr>
            <w:tcW w:w="1046" w:type="pct"/>
            <w:vAlign w:val="center"/>
          </w:tcPr>
          <w:p>
            <w:pPr>
              <w:pStyle w:val="33"/>
            </w:pPr>
            <w:r>
              <w:t>GW2小听湖龙潭（DX02）</w:t>
            </w:r>
          </w:p>
        </w:tc>
        <w:tc>
          <w:tcPr>
            <w:tcW w:w="1096" w:type="pct"/>
            <w:vAlign w:val="center"/>
          </w:tcPr>
          <w:p>
            <w:pPr>
              <w:pStyle w:val="33"/>
            </w:pPr>
            <w:r>
              <w:t>GW3马鞍山水井（DX03）</w:t>
            </w:r>
          </w:p>
        </w:tc>
        <w:tc>
          <w:tcPr>
            <w:tcW w:w="392" w:type="pct"/>
            <w:tcBorders>
              <w:right w:val="single" w:color="auto" w:sz="4" w:space="0"/>
            </w:tcBorders>
            <w:tcMar>
              <w:top w:w="15" w:type="dxa"/>
              <w:left w:w="15" w:type="dxa"/>
              <w:bottom w:w="15" w:type="dxa"/>
              <w:right w:w="15" w:type="dxa"/>
            </w:tcMar>
            <w:vAlign w:val="center"/>
          </w:tcPr>
          <w:p>
            <w:pPr>
              <w:pStyle w:val="33"/>
            </w:pPr>
            <w:r>
              <w:t>标准值</w:t>
            </w:r>
          </w:p>
        </w:tc>
        <w:tc>
          <w:tcPr>
            <w:tcW w:w="487" w:type="pct"/>
            <w:tcBorders>
              <w:left w:val="single" w:color="auto" w:sz="4" w:space="0"/>
            </w:tcBorders>
            <w:vAlign w:val="center"/>
          </w:tcPr>
          <w:p>
            <w:pPr>
              <w:pStyle w:val="33"/>
            </w:pPr>
            <w:r>
              <w:t>达标情况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氨氮</w:t>
            </w:r>
          </w:p>
        </w:tc>
        <w:tc>
          <w:tcPr>
            <w:tcW w:w="926" w:type="pct"/>
            <w:vAlign w:val="center"/>
          </w:tcPr>
          <w:p>
            <w:pPr>
              <w:pStyle w:val="33"/>
            </w:pPr>
            <w:r>
              <w:t>0.035</w:t>
            </w:r>
          </w:p>
        </w:tc>
        <w:tc>
          <w:tcPr>
            <w:tcW w:w="1046" w:type="pct"/>
            <w:vAlign w:val="center"/>
          </w:tcPr>
          <w:p>
            <w:pPr>
              <w:pStyle w:val="33"/>
            </w:pPr>
            <w:r>
              <w:t>0.057</w:t>
            </w:r>
          </w:p>
        </w:tc>
        <w:tc>
          <w:tcPr>
            <w:tcW w:w="1096" w:type="pct"/>
            <w:vAlign w:val="center"/>
          </w:tcPr>
          <w:p>
            <w:pPr>
              <w:pStyle w:val="33"/>
            </w:pPr>
            <w:r>
              <w:t>0.168</w:t>
            </w:r>
          </w:p>
        </w:tc>
        <w:tc>
          <w:tcPr>
            <w:tcW w:w="392" w:type="pct"/>
            <w:tcBorders>
              <w:right w:val="single" w:color="auto" w:sz="4" w:space="0"/>
            </w:tcBorders>
            <w:tcMar>
              <w:top w:w="15" w:type="dxa"/>
              <w:left w:w="15" w:type="dxa"/>
              <w:bottom w:w="15" w:type="dxa"/>
              <w:right w:w="15" w:type="dxa"/>
            </w:tcMar>
            <w:vAlign w:val="center"/>
          </w:tcPr>
          <w:p>
            <w:pPr>
              <w:pStyle w:val="33"/>
            </w:pPr>
            <w:r>
              <w:t>≤0.50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砷</w:t>
            </w:r>
          </w:p>
        </w:tc>
        <w:tc>
          <w:tcPr>
            <w:tcW w:w="926" w:type="pct"/>
            <w:vAlign w:val="center"/>
          </w:tcPr>
          <w:p>
            <w:pPr>
              <w:pStyle w:val="33"/>
            </w:pPr>
            <w:r>
              <w:t>0.0003L</w:t>
            </w:r>
          </w:p>
        </w:tc>
        <w:tc>
          <w:tcPr>
            <w:tcW w:w="1046" w:type="pct"/>
            <w:vAlign w:val="center"/>
          </w:tcPr>
          <w:p>
            <w:pPr>
              <w:pStyle w:val="33"/>
            </w:pPr>
            <w:r>
              <w:t>0.0003L</w:t>
            </w:r>
          </w:p>
        </w:tc>
        <w:tc>
          <w:tcPr>
            <w:tcW w:w="1096" w:type="pct"/>
            <w:vAlign w:val="center"/>
          </w:tcPr>
          <w:p>
            <w:pPr>
              <w:pStyle w:val="33"/>
            </w:pPr>
            <w:r>
              <w:t>0.0003</w:t>
            </w:r>
          </w:p>
        </w:tc>
        <w:tc>
          <w:tcPr>
            <w:tcW w:w="392" w:type="pct"/>
            <w:tcBorders>
              <w:right w:val="single" w:color="auto" w:sz="4" w:space="0"/>
            </w:tcBorders>
            <w:tcMar>
              <w:top w:w="15" w:type="dxa"/>
              <w:left w:w="15" w:type="dxa"/>
              <w:bottom w:w="15" w:type="dxa"/>
              <w:right w:w="15" w:type="dxa"/>
            </w:tcMar>
            <w:vAlign w:val="center"/>
          </w:tcPr>
          <w:p>
            <w:pPr>
              <w:pStyle w:val="33"/>
            </w:pPr>
            <w:r>
              <w:t>≤0.05</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汞</w:t>
            </w:r>
          </w:p>
        </w:tc>
        <w:tc>
          <w:tcPr>
            <w:tcW w:w="926" w:type="pct"/>
            <w:vAlign w:val="center"/>
          </w:tcPr>
          <w:p>
            <w:pPr>
              <w:pStyle w:val="33"/>
            </w:pPr>
            <w:r>
              <w:t>0.00019</w:t>
            </w:r>
          </w:p>
        </w:tc>
        <w:tc>
          <w:tcPr>
            <w:tcW w:w="1046" w:type="pct"/>
            <w:vAlign w:val="center"/>
          </w:tcPr>
          <w:p>
            <w:pPr>
              <w:pStyle w:val="33"/>
            </w:pPr>
            <w:r>
              <w:t>0.00004L</w:t>
            </w:r>
          </w:p>
        </w:tc>
        <w:tc>
          <w:tcPr>
            <w:tcW w:w="1096" w:type="pct"/>
            <w:vAlign w:val="center"/>
          </w:tcPr>
          <w:p>
            <w:pPr>
              <w:pStyle w:val="33"/>
            </w:pPr>
            <w:r>
              <w:t>0.00004L</w:t>
            </w:r>
          </w:p>
        </w:tc>
        <w:tc>
          <w:tcPr>
            <w:tcW w:w="392" w:type="pct"/>
            <w:tcBorders>
              <w:right w:val="single" w:color="auto" w:sz="4" w:space="0"/>
            </w:tcBorders>
            <w:tcMar>
              <w:top w:w="15" w:type="dxa"/>
              <w:left w:w="15" w:type="dxa"/>
              <w:bottom w:w="15" w:type="dxa"/>
              <w:right w:w="15" w:type="dxa"/>
            </w:tcMar>
            <w:vAlign w:val="center"/>
          </w:tcPr>
          <w:p>
            <w:pPr>
              <w:pStyle w:val="33"/>
            </w:pPr>
            <w:r>
              <w:t>≤0.01</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pH</w:t>
            </w:r>
          </w:p>
        </w:tc>
        <w:tc>
          <w:tcPr>
            <w:tcW w:w="926" w:type="pct"/>
            <w:vAlign w:val="center"/>
          </w:tcPr>
          <w:p>
            <w:pPr>
              <w:pStyle w:val="33"/>
            </w:pPr>
            <w:r>
              <w:t>7.09</w:t>
            </w:r>
          </w:p>
        </w:tc>
        <w:tc>
          <w:tcPr>
            <w:tcW w:w="1046" w:type="pct"/>
            <w:vAlign w:val="center"/>
          </w:tcPr>
          <w:p>
            <w:pPr>
              <w:pStyle w:val="33"/>
            </w:pPr>
            <w:r>
              <w:t>7.51</w:t>
            </w:r>
          </w:p>
        </w:tc>
        <w:tc>
          <w:tcPr>
            <w:tcW w:w="1096" w:type="pct"/>
            <w:vAlign w:val="center"/>
          </w:tcPr>
          <w:p>
            <w:pPr>
              <w:pStyle w:val="33"/>
            </w:pPr>
            <w:r>
              <w:t>7.87</w:t>
            </w:r>
          </w:p>
        </w:tc>
        <w:tc>
          <w:tcPr>
            <w:tcW w:w="392" w:type="pct"/>
            <w:tcBorders>
              <w:right w:val="single" w:color="auto" w:sz="4" w:space="0"/>
            </w:tcBorders>
            <w:tcMar>
              <w:top w:w="15" w:type="dxa"/>
              <w:left w:w="15" w:type="dxa"/>
              <w:bottom w:w="15" w:type="dxa"/>
              <w:right w:w="15" w:type="dxa"/>
            </w:tcMar>
            <w:vAlign w:val="center"/>
          </w:tcPr>
          <w:p>
            <w:pPr>
              <w:pStyle w:val="33"/>
            </w:pPr>
            <w:r>
              <w:t>6-9</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氟化物</w:t>
            </w:r>
          </w:p>
        </w:tc>
        <w:tc>
          <w:tcPr>
            <w:tcW w:w="926" w:type="pct"/>
            <w:vAlign w:val="center"/>
          </w:tcPr>
          <w:p>
            <w:pPr>
              <w:pStyle w:val="33"/>
            </w:pPr>
            <w:r>
              <w:t>0.36</w:t>
            </w:r>
          </w:p>
        </w:tc>
        <w:tc>
          <w:tcPr>
            <w:tcW w:w="1046" w:type="pct"/>
            <w:vAlign w:val="center"/>
          </w:tcPr>
          <w:p>
            <w:pPr>
              <w:pStyle w:val="33"/>
            </w:pPr>
            <w:r>
              <w:t>0.07</w:t>
            </w:r>
          </w:p>
        </w:tc>
        <w:tc>
          <w:tcPr>
            <w:tcW w:w="1096" w:type="pct"/>
            <w:vAlign w:val="center"/>
          </w:tcPr>
          <w:p>
            <w:pPr>
              <w:pStyle w:val="33"/>
            </w:pPr>
            <w:r>
              <w:t>0.23</w:t>
            </w:r>
          </w:p>
        </w:tc>
        <w:tc>
          <w:tcPr>
            <w:tcW w:w="392" w:type="pct"/>
            <w:tcBorders>
              <w:right w:val="single" w:color="auto" w:sz="4" w:space="0"/>
            </w:tcBorders>
            <w:tcMar>
              <w:top w:w="15" w:type="dxa"/>
              <w:left w:w="15" w:type="dxa"/>
              <w:bottom w:w="15" w:type="dxa"/>
              <w:right w:w="15" w:type="dxa"/>
            </w:tcMar>
            <w:vAlign w:val="center"/>
          </w:tcPr>
          <w:p>
            <w:pPr>
              <w:pStyle w:val="33"/>
            </w:pPr>
            <w:r>
              <w:t>≤1.0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六价铬</w:t>
            </w:r>
          </w:p>
        </w:tc>
        <w:tc>
          <w:tcPr>
            <w:tcW w:w="926" w:type="pct"/>
            <w:vAlign w:val="center"/>
          </w:tcPr>
          <w:p>
            <w:pPr>
              <w:pStyle w:val="33"/>
            </w:pPr>
            <w:r>
              <w:t>0.004L</w:t>
            </w:r>
          </w:p>
        </w:tc>
        <w:tc>
          <w:tcPr>
            <w:tcW w:w="1046" w:type="pct"/>
            <w:vAlign w:val="center"/>
          </w:tcPr>
          <w:p>
            <w:pPr>
              <w:pStyle w:val="33"/>
            </w:pPr>
            <w:r>
              <w:t>0.005</w:t>
            </w:r>
          </w:p>
        </w:tc>
        <w:tc>
          <w:tcPr>
            <w:tcW w:w="1096" w:type="pct"/>
            <w:vAlign w:val="center"/>
          </w:tcPr>
          <w:p>
            <w:pPr>
              <w:pStyle w:val="33"/>
            </w:pPr>
            <w:r>
              <w:t>0.004L</w:t>
            </w:r>
          </w:p>
        </w:tc>
        <w:tc>
          <w:tcPr>
            <w:tcW w:w="392" w:type="pct"/>
            <w:tcBorders>
              <w:right w:val="single" w:color="auto" w:sz="4" w:space="0"/>
            </w:tcBorders>
            <w:tcMar>
              <w:top w:w="15" w:type="dxa"/>
              <w:left w:w="15" w:type="dxa"/>
              <w:bottom w:w="15" w:type="dxa"/>
              <w:right w:w="15" w:type="dxa"/>
            </w:tcMar>
            <w:vAlign w:val="center"/>
          </w:tcPr>
          <w:p>
            <w:pPr>
              <w:pStyle w:val="33"/>
            </w:pPr>
            <w:r>
              <w:t>≤0.05</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阴离子表面活性剂</w:t>
            </w:r>
          </w:p>
        </w:tc>
        <w:tc>
          <w:tcPr>
            <w:tcW w:w="926" w:type="pct"/>
            <w:vAlign w:val="center"/>
          </w:tcPr>
          <w:p>
            <w:pPr>
              <w:pStyle w:val="33"/>
            </w:pPr>
            <w:r>
              <w:t>0.11</w:t>
            </w:r>
          </w:p>
        </w:tc>
        <w:tc>
          <w:tcPr>
            <w:tcW w:w="1046" w:type="pct"/>
            <w:vAlign w:val="center"/>
          </w:tcPr>
          <w:p>
            <w:pPr>
              <w:pStyle w:val="33"/>
            </w:pPr>
            <w:r>
              <w:t>0.05L</w:t>
            </w:r>
          </w:p>
        </w:tc>
        <w:tc>
          <w:tcPr>
            <w:tcW w:w="1096" w:type="pct"/>
            <w:vAlign w:val="center"/>
          </w:tcPr>
          <w:p>
            <w:pPr>
              <w:pStyle w:val="33"/>
            </w:pPr>
            <w:r>
              <w:t>0.06</w:t>
            </w:r>
          </w:p>
        </w:tc>
        <w:tc>
          <w:tcPr>
            <w:tcW w:w="392" w:type="pct"/>
            <w:tcBorders>
              <w:right w:val="single" w:color="auto" w:sz="4" w:space="0"/>
            </w:tcBorders>
            <w:tcMar>
              <w:top w:w="15" w:type="dxa"/>
              <w:left w:w="15" w:type="dxa"/>
              <w:bottom w:w="15" w:type="dxa"/>
              <w:right w:w="15" w:type="dxa"/>
            </w:tcMar>
            <w:vAlign w:val="center"/>
          </w:tcPr>
          <w:p>
            <w:pPr>
              <w:pStyle w:val="33"/>
            </w:pPr>
            <w:r>
              <w:t>≤0.30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氯化物</w:t>
            </w:r>
          </w:p>
        </w:tc>
        <w:tc>
          <w:tcPr>
            <w:tcW w:w="926" w:type="pct"/>
            <w:vAlign w:val="center"/>
          </w:tcPr>
          <w:p>
            <w:pPr>
              <w:pStyle w:val="33"/>
            </w:pPr>
            <w:r>
              <w:t>30.2</w:t>
            </w:r>
          </w:p>
        </w:tc>
        <w:tc>
          <w:tcPr>
            <w:tcW w:w="1046" w:type="pct"/>
            <w:vAlign w:val="center"/>
          </w:tcPr>
          <w:p>
            <w:pPr>
              <w:pStyle w:val="33"/>
            </w:pPr>
            <w:r>
              <w:t>0.6</w:t>
            </w:r>
          </w:p>
        </w:tc>
        <w:tc>
          <w:tcPr>
            <w:tcW w:w="1096" w:type="pct"/>
            <w:vAlign w:val="center"/>
          </w:tcPr>
          <w:p>
            <w:pPr>
              <w:pStyle w:val="33"/>
            </w:pPr>
            <w:r>
              <w:t>19.9</w:t>
            </w:r>
          </w:p>
        </w:tc>
        <w:tc>
          <w:tcPr>
            <w:tcW w:w="392" w:type="pct"/>
            <w:tcBorders>
              <w:right w:val="single" w:color="auto" w:sz="4" w:space="0"/>
            </w:tcBorders>
            <w:tcMar>
              <w:top w:w="15" w:type="dxa"/>
              <w:left w:w="15" w:type="dxa"/>
              <w:bottom w:w="15" w:type="dxa"/>
              <w:right w:w="15" w:type="dxa"/>
            </w:tcMar>
            <w:vAlign w:val="center"/>
          </w:tcPr>
          <w:p>
            <w:pPr>
              <w:pStyle w:val="33"/>
            </w:pPr>
            <w:r>
              <w:t>≤250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铜</w:t>
            </w:r>
          </w:p>
        </w:tc>
        <w:tc>
          <w:tcPr>
            <w:tcW w:w="926" w:type="pct"/>
            <w:vAlign w:val="center"/>
          </w:tcPr>
          <w:p>
            <w:pPr>
              <w:pStyle w:val="33"/>
            </w:pPr>
            <w:r>
              <w:t>0.05L</w:t>
            </w:r>
          </w:p>
        </w:tc>
        <w:tc>
          <w:tcPr>
            <w:tcW w:w="1046" w:type="pct"/>
            <w:vAlign w:val="center"/>
          </w:tcPr>
          <w:p>
            <w:pPr>
              <w:pStyle w:val="33"/>
            </w:pPr>
            <w:r>
              <w:t>0.05L</w:t>
            </w:r>
          </w:p>
        </w:tc>
        <w:tc>
          <w:tcPr>
            <w:tcW w:w="1096" w:type="pct"/>
            <w:vAlign w:val="center"/>
          </w:tcPr>
          <w:p>
            <w:pPr>
              <w:pStyle w:val="33"/>
            </w:pPr>
            <w:r>
              <w:t>0.05L</w:t>
            </w:r>
          </w:p>
        </w:tc>
        <w:tc>
          <w:tcPr>
            <w:tcW w:w="392" w:type="pct"/>
            <w:tcBorders>
              <w:right w:val="single" w:color="auto" w:sz="4" w:space="0"/>
            </w:tcBorders>
            <w:tcMar>
              <w:top w:w="15" w:type="dxa"/>
              <w:left w:w="15" w:type="dxa"/>
              <w:bottom w:w="15" w:type="dxa"/>
              <w:right w:w="15" w:type="dxa"/>
            </w:tcMar>
            <w:vAlign w:val="center"/>
          </w:tcPr>
          <w:p>
            <w:pPr>
              <w:pStyle w:val="33"/>
            </w:pPr>
            <w:r>
              <w:t>≤1.0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锌</w:t>
            </w:r>
          </w:p>
        </w:tc>
        <w:tc>
          <w:tcPr>
            <w:tcW w:w="926" w:type="pct"/>
            <w:vAlign w:val="center"/>
          </w:tcPr>
          <w:p>
            <w:pPr>
              <w:pStyle w:val="33"/>
            </w:pPr>
            <w:r>
              <w:t>0.05L</w:t>
            </w:r>
          </w:p>
        </w:tc>
        <w:tc>
          <w:tcPr>
            <w:tcW w:w="1046" w:type="pct"/>
            <w:vAlign w:val="center"/>
          </w:tcPr>
          <w:p>
            <w:pPr>
              <w:pStyle w:val="33"/>
            </w:pPr>
            <w:r>
              <w:t>0.05L</w:t>
            </w:r>
          </w:p>
        </w:tc>
        <w:tc>
          <w:tcPr>
            <w:tcW w:w="1096" w:type="pct"/>
            <w:vAlign w:val="center"/>
          </w:tcPr>
          <w:p>
            <w:pPr>
              <w:pStyle w:val="33"/>
            </w:pPr>
            <w:r>
              <w:t>0.05L</w:t>
            </w:r>
          </w:p>
        </w:tc>
        <w:tc>
          <w:tcPr>
            <w:tcW w:w="392" w:type="pct"/>
            <w:tcBorders>
              <w:right w:val="single" w:color="auto" w:sz="4" w:space="0"/>
            </w:tcBorders>
            <w:tcMar>
              <w:top w:w="15" w:type="dxa"/>
              <w:left w:w="15" w:type="dxa"/>
              <w:bottom w:w="15" w:type="dxa"/>
              <w:right w:w="15" w:type="dxa"/>
            </w:tcMar>
            <w:vAlign w:val="center"/>
          </w:tcPr>
          <w:p>
            <w:pPr>
              <w:pStyle w:val="33"/>
            </w:pPr>
            <w:r>
              <w:t>≤1.0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Mar>
              <w:top w:w="15" w:type="dxa"/>
              <w:left w:w="15" w:type="dxa"/>
              <w:bottom w:w="15" w:type="dxa"/>
              <w:right w:w="15" w:type="dxa"/>
            </w:tcMar>
            <w:vAlign w:val="center"/>
          </w:tcPr>
          <w:p>
            <w:pPr>
              <w:pStyle w:val="33"/>
            </w:pPr>
            <w:r>
              <w:t>铁</w:t>
            </w:r>
          </w:p>
        </w:tc>
        <w:tc>
          <w:tcPr>
            <w:tcW w:w="926" w:type="pct"/>
            <w:vAlign w:val="center"/>
          </w:tcPr>
          <w:p>
            <w:pPr>
              <w:pStyle w:val="33"/>
            </w:pPr>
            <w:r>
              <w:t>0.03L</w:t>
            </w:r>
          </w:p>
        </w:tc>
        <w:tc>
          <w:tcPr>
            <w:tcW w:w="1046" w:type="pct"/>
            <w:vAlign w:val="center"/>
          </w:tcPr>
          <w:p>
            <w:pPr>
              <w:pStyle w:val="33"/>
            </w:pPr>
            <w:r>
              <w:t>0.03L</w:t>
            </w:r>
          </w:p>
        </w:tc>
        <w:tc>
          <w:tcPr>
            <w:tcW w:w="1096" w:type="pct"/>
            <w:vAlign w:val="center"/>
          </w:tcPr>
          <w:p>
            <w:pPr>
              <w:pStyle w:val="33"/>
            </w:pPr>
            <w:r>
              <w:t>0.03L</w:t>
            </w:r>
          </w:p>
        </w:tc>
        <w:tc>
          <w:tcPr>
            <w:tcW w:w="392" w:type="pct"/>
            <w:tcBorders>
              <w:right w:val="single" w:color="auto" w:sz="4" w:space="0"/>
            </w:tcBorders>
            <w:tcMar>
              <w:top w:w="15" w:type="dxa"/>
              <w:left w:w="15" w:type="dxa"/>
              <w:bottom w:w="15" w:type="dxa"/>
              <w:right w:w="15" w:type="dxa"/>
            </w:tcMar>
            <w:vAlign w:val="center"/>
          </w:tcPr>
          <w:p>
            <w:pPr>
              <w:pStyle w:val="33"/>
            </w:pPr>
            <w:r>
              <w:t>≤0.30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锰</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≤0.10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镍</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≤0.02</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铅</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0.001L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0.001L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0.008</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≤0.01</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镉</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0.0001L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0.0001L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0.0004</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≤0.005</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铝</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≤0.20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氰化物</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≤0.05</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总硬度</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117</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253</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202</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≤450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溶解性总固体</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344</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346</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350</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≤1000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硫酸盐</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30</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42</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112</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≤250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耗氧量</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0.15</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0.18</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0.49</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≤3.0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硝酸盐氮</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14.9</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4.51</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7.05</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≤20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亚硝酸盐氮</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0.005</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0.003L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0.003L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挥发性酚类</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0.0003L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0.0003L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0.0003</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≤0.002</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总大肠菌群（MPN/100mL）</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2</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2</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&lt;2</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≤3.0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051"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菌落总数（CFU/mL）</w:t>
            </w:r>
          </w:p>
        </w:tc>
        <w:tc>
          <w:tcPr>
            <w:tcW w:w="926" w:type="pct"/>
            <w:tcBorders>
              <w:top w:val="single" w:color="000000" w:sz="6" w:space="0"/>
              <w:left w:val="single" w:color="000000" w:sz="6" w:space="0"/>
              <w:bottom w:val="single" w:color="000000" w:sz="6" w:space="0"/>
              <w:right w:val="single" w:color="000000" w:sz="6" w:space="0"/>
            </w:tcBorders>
            <w:vAlign w:val="center"/>
          </w:tcPr>
          <w:p>
            <w:pPr>
              <w:pStyle w:val="33"/>
            </w:pPr>
            <w:r>
              <w:t>50</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40</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40</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bl>
    <w:p>
      <w:pPr>
        <w:pStyle w:val="7"/>
        <w:ind w:firstLine="480"/>
      </w:pPr>
      <w:r>
        <w:t>由表</w:t>
      </w:r>
      <w:r>
        <w:rPr>
          <w:rFonts w:hint="eastAsia"/>
        </w:rPr>
        <w:t>5.3-1</w:t>
      </w:r>
      <w:r>
        <w:rPr>
          <w:rFonts w:hint="eastAsia"/>
          <w:lang w:val="en-US" w:eastAsia="zh-CN"/>
        </w:rPr>
        <w:t>6</w:t>
      </w:r>
      <w:r>
        <w:t>水质监测结果可以看出项目周边出露地下水（GW1—GW3）各监测因子均满足《地下水质量标准》（GB/T14848-2017）Ⅲ类标准限值要求。</w:t>
      </w:r>
    </w:p>
    <w:p>
      <w:pPr>
        <w:pStyle w:val="31"/>
      </w:pPr>
      <w:r>
        <w:t>表</w:t>
      </w:r>
      <w:r>
        <w:rPr>
          <w:rFonts w:hint="eastAsia"/>
        </w:rPr>
        <w:t>5.3-1</w:t>
      </w:r>
      <w:r>
        <w:rPr>
          <w:rFonts w:hint="eastAsia"/>
          <w:lang w:val="en-US" w:eastAsia="zh-CN"/>
        </w:rPr>
        <w:t>7</w:t>
      </w:r>
      <w:r>
        <w:t xml:space="preserve">  地下水检测结果一览表（单位：mg/L、pH无量纲）</w:t>
      </w:r>
    </w:p>
    <w:tbl>
      <w:tblPr>
        <w:tblStyle w:val="27"/>
        <w:tblW w:w="505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727"/>
        <w:gridCol w:w="1642"/>
        <w:gridCol w:w="1784"/>
        <w:gridCol w:w="1869"/>
        <w:gridCol w:w="669"/>
        <w:gridCol w:w="83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项目</w:t>
            </w:r>
          </w:p>
        </w:tc>
        <w:tc>
          <w:tcPr>
            <w:tcW w:w="963" w:type="pct"/>
            <w:vAlign w:val="center"/>
          </w:tcPr>
          <w:p>
            <w:pPr>
              <w:pStyle w:val="33"/>
            </w:pPr>
            <w:r>
              <w:t>GW4三家寨民井（DX04）</w:t>
            </w:r>
          </w:p>
        </w:tc>
        <w:tc>
          <w:tcPr>
            <w:tcW w:w="1046" w:type="pct"/>
            <w:vAlign w:val="center"/>
          </w:tcPr>
          <w:p>
            <w:pPr>
              <w:pStyle w:val="33"/>
            </w:pPr>
            <w:r>
              <w:t>GW5碧云村民井（DX05）</w:t>
            </w:r>
          </w:p>
        </w:tc>
        <w:tc>
          <w:tcPr>
            <w:tcW w:w="1096" w:type="pct"/>
            <w:vAlign w:val="center"/>
          </w:tcPr>
          <w:p>
            <w:pPr>
              <w:pStyle w:val="33"/>
            </w:pPr>
            <w:r>
              <w:t>GW6布标民井（DX06）</w:t>
            </w:r>
          </w:p>
        </w:tc>
        <w:tc>
          <w:tcPr>
            <w:tcW w:w="392" w:type="pct"/>
            <w:tcBorders>
              <w:right w:val="single" w:color="auto" w:sz="4" w:space="0"/>
            </w:tcBorders>
            <w:tcMar>
              <w:top w:w="15" w:type="dxa"/>
              <w:left w:w="15" w:type="dxa"/>
              <w:bottom w:w="15" w:type="dxa"/>
              <w:right w:w="15" w:type="dxa"/>
            </w:tcMar>
            <w:vAlign w:val="center"/>
          </w:tcPr>
          <w:p>
            <w:pPr>
              <w:pStyle w:val="33"/>
            </w:pPr>
            <w:r>
              <w:t>标准值</w:t>
            </w:r>
          </w:p>
        </w:tc>
        <w:tc>
          <w:tcPr>
            <w:tcW w:w="487" w:type="pct"/>
            <w:tcBorders>
              <w:left w:val="single" w:color="auto" w:sz="4" w:space="0"/>
            </w:tcBorders>
            <w:vAlign w:val="center"/>
          </w:tcPr>
          <w:p>
            <w:pPr>
              <w:pStyle w:val="33"/>
            </w:pPr>
            <w:r>
              <w:t>达标情况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氨氮</w:t>
            </w:r>
          </w:p>
        </w:tc>
        <w:tc>
          <w:tcPr>
            <w:tcW w:w="963" w:type="pct"/>
            <w:vAlign w:val="center"/>
          </w:tcPr>
          <w:p>
            <w:pPr>
              <w:pStyle w:val="33"/>
            </w:pPr>
            <w:r>
              <w:t>0.188</w:t>
            </w:r>
          </w:p>
        </w:tc>
        <w:tc>
          <w:tcPr>
            <w:tcW w:w="1046" w:type="pct"/>
            <w:vAlign w:val="center"/>
          </w:tcPr>
          <w:p>
            <w:pPr>
              <w:pStyle w:val="33"/>
            </w:pPr>
            <w:r>
              <w:t>0.063</w:t>
            </w:r>
          </w:p>
        </w:tc>
        <w:tc>
          <w:tcPr>
            <w:tcW w:w="1096" w:type="pct"/>
            <w:vAlign w:val="center"/>
          </w:tcPr>
          <w:p>
            <w:pPr>
              <w:pStyle w:val="33"/>
            </w:pPr>
            <w:r>
              <w:t>0.166</w:t>
            </w:r>
          </w:p>
        </w:tc>
        <w:tc>
          <w:tcPr>
            <w:tcW w:w="392" w:type="pct"/>
            <w:tcBorders>
              <w:right w:val="single" w:color="auto" w:sz="4" w:space="0"/>
            </w:tcBorders>
            <w:tcMar>
              <w:top w:w="15" w:type="dxa"/>
              <w:left w:w="15" w:type="dxa"/>
              <w:bottom w:w="15" w:type="dxa"/>
              <w:right w:w="15" w:type="dxa"/>
            </w:tcMar>
            <w:vAlign w:val="center"/>
          </w:tcPr>
          <w:p>
            <w:pPr>
              <w:pStyle w:val="33"/>
            </w:pPr>
            <w:r>
              <w:t>≤0.50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砷</w:t>
            </w:r>
          </w:p>
        </w:tc>
        <w:tc>
          <w:tcPr>
            <w:tcW w:w="963" w:type="pct"/>
            <w:vAlign w:val="center"/>
          </w:tcPr>
          <w:p>
            <w:pPr>
              <w:pStyle w:val="33"/>
            </w:pPr>
            <w:r>
              <w:t>0.0003L</w:t>
            </w:r>
          </w:p>
        </w:tc>
        <w:tc>
          <w:tcPr>
            <w:tcW w:w="1046" w:type="pct"/>
            <w:vAlign w:val="center"/>
          </w:tcPr>
          <w:p>
            <w:pPr>
              <w:pStyle w:val="33"/>
            </w:pPr>
            <w:r>
              <w:t>0.0003L</w:t>
            </w:r>
          </w:p>
        </w:tc>
        <w:tc>
          <w:tcPr>
            <w:tcW w:w="1096" w:type="pct"/>
            <w:vAlign w:val="center"/>
          </w:tcPr>
          <w:p>
            <w:pPr>
              <w:pStyle w:val="33"/>
            </w:pPr>
            <w:r>
              <w:t>0.0003L</w:t>
            </w:r>
          </w:p>
        </w:tc>
        <w:tc>
          <w:tcPr>
            <w:tcW w:w="392" w:type="pct"/>
            <w:tcBorders>
              <w:right w:val="single" w:color="auto" w:sz="4" w:space="0"/>
            </w:tcBorders>
            <w:tcMar>
              <w:top w:w="15" w:type="dxa"/>
              <w:left w:w="15" w:type="dxa"/>
              <w:bottom w:w="15" w:type="dxa"/>
              <w:right w:w="15" w:type="dxa"/>
            </w:tcMar>
            <w:vAlign w:val="center"/>
          </w:tcPr>
          <w:p>
            <w:pPr>
              <w:pStyle w:val="33"/>
            </w:pPr>
            <w:r>
              <w:t>≤0.05</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汞</w:t>
            </w:r>
          </w:p>
        </w:tc>
        <w:tc>
          <w:tcPr>
            <w:tcW w:w="963" w:type="pct"/>
            <w:vAlign w:val="center"/>
          </w:tcPr>
          <w:p>
            <w:pPr>
              <w:pStyle w:val="33"/>
            </w:pPr>
            <w:r>
              <w:t>0.00004L</w:t>
            </w:r>
          </w:p>
        </w:tc>
        <w:tc>
          <w:tcPr>
            <w:tcW w:w="1046" w:type="pct"/>
            <w:vAlign w:val="center"/>
          </w:tcPr>
          <w:p>
            <w:pPr>
              <w:pStyle w:val="33"/>
            </w:pPr>
            <w:r>
              <w:t>0.00004L</w:t>
            </w:r>
          </w:p>
        </w:tc>
        <w:tc>
          <w:tcPr>
            <w:tcW w:w="1096" w:type="pct"/>
            <w:vAlign w:val="center"/>
          </w:tcPr>
          <w:p>
            <w:pPr>
              <w:pStyle w:val="33"/>
            </w:pPr>
            <w:r>
              <w:t>0.00004L</w:t>
            </w:r>
          </w:p>
        </w:tc>
        <w:tc>
          <w:tcPr>
            <w:tcW w:w="392" w:type="pct"/>
            <w:tcBorders>
              <w:right w:val="single" w:color="auto" w:sz="4" w:space="0"/>
            </w:tcBorders>
            <w:tcMar>
              <w:top w:w="15" w:type="dxa"/>
              <w:left w:w="15" w:type="dxa"/>
              <w:bottom w:w="15" w:type="dxa"/>
              <w:right w:w="15" w:type="dxa"/>
            </w:tcMar>
            <w:vAlign w:val="center"/>
          </w:tcPr>
          <w:p>
            <w:pPr>
              <w:pStyle w:val="33"/>
            </w:pPr>
            <w:r>
              <w:t>≤0.01</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pH</w:t>
            </w:r>
          </w:p>
        </w:tc>
        <w:tc>
          <w:tcPr>
            <w:tcW w:w="963" w:type="pct"/>
            <w:vAlign w:val="center"/>
          </w:tcPr>
          <w:p>
            <w:pPr>
              <w:pStyle w:val="33"/>
            </w:pPr>
            <w:r>
              <w:t>7.57</w:t>
            </w:r>
          </w:p>
        </w:tc>
        <w:tc>
          <w:tcPr>
            <w:tcW w:w="1046" w:type="pct"/>
            <w:vAlign w:val="center"/>
          </w:tcPr>
          <w:p>
            <w:pPr>
              <w:pStyle w:val="33"/>
            </w:pPr>
            <w:r>
              <w:t>8.14</w:t>
            </w:r>
          </w:p>
        </w:tc>
        <w:tc>
          <w:tcPr>
            <w:tcW w:w="1096" w:type="pct"/>
            <w:vAlign w:val="center"/>
          </w:tcPr>
          <w:p>
            <w:pPr>
              <w:pStyle w:val="33"/>
            </w:pPr>
            <w:r>
              <w:t>8.28</w:t>
            </w:r>
          </w:p>
        </w:tc>
        <w:tc>
          <w:tcPr>
            <w:tcW w:w="392" w:type="pct"/>
            <w:tcBorders>
              <w:right w:val="single" w:color="auto" w:sz="4" w:space="0"/>
            </w:tcBorders>
            <w:tcMar>
              <w:top w:w="15" w:type="dxa"/>
              <w:left w:w="15" w:type="dxa"/>
              <w:bottom w:w="15" w:type="dxa"/>
              <w:right w:w="15" w:type="dxa"/>
            </w:tcMar>
            <w:vAlign w:val="center"/>
          </w:tcPr>
          <w:p>
            <w:pPr>
              <w:pStyle w:val="33"/>
            </w:pPr>
            <w:r>
              <w:t>6-9</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氟化物</w:t>
            </w:r>
          </w:p>
        </w:tc>
        <w:tc>
          <w:tcPr>
            <w:tcW w:w="963" w:type="pct"/>
            <w:vAlign w:val="center"/>
          </w:tcPr>
          <w:p>
            <w:pPr>
              <w:pStyle w:val="33"/>
            </w:pPr>
            <w:r>
              <w:t>0.12</w:t>
            </w:r>
          </w:p>
        </w:tc>
        <w:tc>
          <w:tcPr>
            <w:tcW w:w="1046" w:type="pct"/>
            <w:vAlign w:val="center"/>
          </w:tcPr>
          <w:p>
            <w:pPr>
              <w:pStyle w:val="33"/>
            </w:pPr>
            <w:r>
              <w:t>0.11</w:t>
            </w:r>
          </w:p>
        </w:tc>
        <w:tc>
          <w:tcPr>
            <w:tcW w:w="1096" w:type="pct"/>
            <w:vAlign w:val="center"/>
          </w:tcPr>
          <w:p>
            <w:pPr>
              <w:pStyle w:val="33"/>
            </w:pPr>
            <w:r>
              <w:t>0.34</w:t>
            </w:r>
          </w:p>
        </w:tc>
        <w:tc>
          <w:tcPr>
            <w:tcW w:w="392" w:type="pct"/>
            <w:tcBorders>
              <w:right w:val="single" w:color="auto" w:sz="4" w:space="0"/>
            </w:tcBorders>
            <w:tcMar>
              <w:top w:w="15" w:type="dxa"/>
              <w:left w:w="15" w:type="dxa"/>
              <w:bottom w:w="15" w:type="dxa"/>
              <w:right w:w="15" w:type="dxa"/>
            </w:tcMar>
            <w:vAlign w:val="center"/>
          </w:tcPr>
          <w:p>
            <w:pPr>
              <w:pStyle w:val="33"/>
            </w:pPr>
            <w:r>
              <w:t>≤1.0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六价铬</w:t>
            </w:r>
          </w:p>
        </w:tc>
        <w:tc>
          <w:tcPr>
            <w:tcW w:w="963" w:type="pct"/>
            <w:vAlign w:val="center"/>
          </w:tcPr>
          <w:p>
            <w:pPr>
              <w:pStyle w:val="33"/>
            </w:pPr>
            <w:r>
              <w:t>0.004L</w:t>
            </w:r>
          </w:p>
        </w:tc>
        <w:tc>
          <w:tcPr>
            <w:tcW w:w="1046" w:type="pct"/>
            <w:vAlign w:val="center"/>
          </w:tcPr>
          <w:p>
            <w:pPr>
              <w:pStyle w:val="33"/>
            </w:pPr>
            <w:r>
              <w:t>0.004L</w:t>
            </w:r>
          </w:p>
        </w:tc>
        <w:tc>
          <w:tcPr>
            <w:tcW w:w="1096" w:type="pct"/>
            <w:vAlign w:val="center"/>
          </w:tcPr>
          <w:p>
            <w:pPr>
              <w:pStyle w:val="33"/>
            </w:pPr>
            <w:r>
              <w:t>0.004</w:t>
            </w:r>
          </w:p>
        </w:tc>
        <w:tc>
          <w:tcPr>
            <w:tcW w:w="392" w:type="pct"/>
            <w:tcBorders>
              <w:right w:val="single" w:color="auto" w:sz="4" w:space="0"/>
            </w:tcBorders>
            <w:tcMar>
              <w:top w:w="15" w:type="dxa"/>
              <w:left w:w="15" w:type="dxa"/>
              <w:bottom w:w="15" w:type="dxa"/>
              <w:right w:w="15" w:type="dxa"/>
            </w:tcMar>
            <w:vAlign w:val="center"/>
          </w:tcPr>
          <w:p>
            <w:pPr>
              <w:pStyle w:val="33"/>
            </w:pPr>
            <w:r>
              <w:t>≤0.05</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阴离子表面活性剂</w:t>
            </w:r>
          </w:p>
        </w:tc>
        <w:tc>
          <w:tcPr>
            <w:tcW w:w="963" w:type="pct"/>
            <w:vAlign w:val="center"/>
          </w:tcPr>
          <w:p>
            <w:pPr>
              <w:pStyle w:val="33"/>
            </w:pPr>
            <w:r>
              <w:t>0.19</w:t>
            </w:r>
          </w:p>
        </w:tc>
        <w:tc>
          <w:tcPr>
            <w:tcW w:w="1046" w:type="pct"/>
            <w:vAlign w:val="center"/>
          </w:tcPr>
          <w:p>
            <w:pPr>
              <w:pStyle w:val="33"/>
            </w:pPr>
            <w:r>
              <w:t>0.11</w:t>
            </w:r>
          </w:p>
        </w:tc>
        <w:tc>
          <w:tcPr>
            <w:tcW w:w="1096" w:type="pct"/>
            <w:vAlign w:val="center"/>
          </w:tcPr>
          <w:p>
            <w:pPr>
              <w:pStyle w:val="33"/>
            </w:pPr>
            <w:r>
              <w:t>0.11</w:t>
            </w:r>
          </w:p>
        </w:tc>
        <w:tc>
          <w:tcPr>
            <w:tcW w:w="392" w:type="pct"/>
            <w:tcBorders>
              <w:right w:val="single" w:color="auto" w:sz="4" w:space="0"/>
            </w:tcBorders>
            <w:tcMar>
              <w:top w:w="15" w:type="dxa"/>
              <w:left w:w="15" w:type="dxa"/>
              <w:bottom w:w="15" w:type="dxa"/>
              <w:right w:w="15" w:type="dxa"/>
            </w:tcMar>
            <w:vAlign w:val="center"/>
          </w:tcPr>
          <w:p>
            <w:pPr>
              <w:pStyle w:val="33"/>
            </w:pPr>
            <w:r>
              <w:t>≤0.30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氯化物</w:t>
            </w:r>
          </w:p>
        </w:tc>
        <w:tc>
          <w:tcPr>
            <w:tcW w:w="963" w:type="pct"/>
            <w:vAlign w:val="center"/>
          </w:tcPr>
          <w:p>
            <w:pPr>
              <w:pStyle w:val="33"/>
            </w:pPr>
            <w:r>
              <w:t>77.2</w:t>
            </w:r>
          </w:p>
        </w:tc>
        <w:tc>
          <w:tcPr>
            <w:tcW w:w="1046" w:type="pct"/>
            <w:vAlign w:val="center"/>
          </w:tcPr>
          <w:p>
            <w:pPr>
              <w:pStyle w:val="33"/>
            </w:pPr>
            <w:r>
              <w:t>53.8</w:t>
            </w:r>
          </w:p>
        </w:tc>
        <w:tc>
          <w:tcPr>
            <w:tcW w:w="1096" w:type="pct"/>
            <w:vAlign w:val="center"/>
          </w:tcPr>
          <w:p>
            <w:pPr>
              <w:pStyle w:val="33"/>
            </w:pPr>
            <w:r>
              <w:t>9.3</w:t>
            </w:r>
          </w:p>
        </w:tc>
        <w:tc>
          <w:tcPr>
            <w:tcW w:w="392" w:type="pct"/>
            <w:tcBorders>
              <w:right w:val="single" w:color="auto" w:sz="4" w:space="0"/>
            </w:tcBorders>
            <w:tcMar>
              <w:top w:w="15" w:type="dxa"/>
              <w:left w:w="15" w:type="dxa"/>
              <w:bottom w:w="15" w:type="dxa"/>
              <w:right w:w="15" w:type="dxa"/>
            </w:tcMar>
            <w:vAlign w:val="center"/>
          </w:tcPr>
          <w:p>
            <w:pPr>
              <w:pStyle w:val="33"/>
            </w:pPr>
            <w:r>
              <w:t>≤250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铜</w:t>
            </w:r>
          </w:p>
        </w:tc>
        <w:tc>
          <w:tcPr>
            <w:tcW w:w="963" w:type="pct"/>
            <w:vAlign w:val="center"/>
          </w:tcPr>
          <w:p>
            <w:pPr>
              <w:pStyle w:val="33"/>
            </w:pPr>
            <w:r>
              <w:t>0.05L</w:t>
            </w:r>
          </w:p>
        </w:tc>
        <w:tc>
          <w:tcPr>
            <w:tcW w:w="1046" w:type="pct"/>
            <w:vAlign w:val="center"/>
          </w:tcPr>
          <w:p>
            <w:pPr>
              <w:pStyle w:val="33"/>
            </w:pPr>
            <w:r>
              <w:t>0.05L</w:t>
            </w:r>
          </w:p>
        </w:tc>
        <w:tc>
          <w:tcPr>
            <w:tcW w:w="1096" w:type="pct"/>
            <w:vAlign w:val="center"/>
          </w:tcPr>
          <w:p>
            <w:pPr>
              <w:pStyle w:val="33"/>
            </w:pPr>
            <w:r>
              <w:t>0.05L</w:t>
            </w:r>
          </w:p>
        </w:tc>
        <w:tc>
          <w:tcPr>
            <w:tcW w:w="392" w:type="pct"/>
            <w:tcBorders>
              <w:right w:val="single" w:color="auto" w:sz="4" w:space="0"/>
            </w:tcBorders>
            <w:tcMar>
              <w:top w:w="15" w:type="dxa"/>
              <w:left w:w="15" w:type="dxa"/>
              <w:bottom w:w="15" w:type="dxa"/>
              <w:right w:w="15" w:type="dxa"/>
            </w:tcMar>
            <w:vAlign w:val="center"/>
          </w:tcPr>
          <w:p>
            <w:pPr>
              <w:pStyle w:val="33"/>
            </w:pPr>
            <w:r>
              <w:t>≤1.0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锌</w:t>
            </w:r>
          </w:p>
        </w:tc>
        <w:tc>
          <w:tcPr>
            <w:tcW w:w="963" w:type="pct"/>
            <w:vAlign w:val="center"/>
          </w:tcPr>
          <w:p>
            <w:pPr>
              <w:pStyle w:val="33"/>
            </w:pPr>
            <w:r>
              <w:t>0.05L</w:t>
            </w:r>
          </w:p>
        </w:tc>
        <w:tc>
          <w:tcPr>
            <w:tcW w:w="1046" w:type="pct"/>
            <w:vAlign w:val="center"/>
          </w:tcPr>
          <w:p>
            <w:pPr>
              <w:pStyle w:val="33"/>
            </w:pPr>
            <w:r>
              <w:t>0.05L</w:t>
            </w:r>
          </w:p>
        </w:tc>
        <w:tc>
          <w:tcPr>
            <w:tcW w:w="1096" w:type="pct"/>
            <w:vAlign w:val="center"/>
          </w:tcPr>
          <w:p>
            <w:pPr>
              <w:pStyle w:val="33"/>
            </w:pPr>
            <w:r>
              <w:t>0.05L</w:t>
            </w:r>
          </w:p>
        </w:tc>
        <w:tc>
          <w:tcPr>
            <w:tcW w:w="392" w:type="pct"/>
            <w:tcBorders>
              <w:right w:val="single" w:color="auto" w:sz="4" w:space="0"/>
            </w:tcBorders>
            <w:tcMar>
              <w:top w:w="15" w:type="dxa"/>
              <w:left w:w="15" w:type="dxa"/>
              <w:bottom w:w="15" w:type="dxa"/>
              <w:right w:w="15" w:type="dxa"/>
            </w:tcMar>
            <w:vAlign w:val="center"/>
          </w:tcPr>
          <w:p>
            <w:pPr>
              <w:pStyle w:val="33"/>
            </w:pPr>
            <w:r>
              <w:t>≤1.0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Mar>
              <w:top w:w="15" w:type="dxa"/>
              <w:left w:w="15" w:type="dxa"/>
              <w:bottom w:w="15" w:type="dxa"/>
              <w:right w:w="15" w:type="dxa"/>
            </w:tcMar>
            <w:vAlign w:val="center"/>
          </w:tcPr>
          <w:p>
            <w:pPr>
              <w:pStyle w:val="33"/>
            </w:pPr>
            <w:r>
              <w:t>铁</w:t>
            </w:r>
          </w:p>
        </w:tc>
        <w:tc>
          <w:tcPr>
            <w:tcW w:w="963" w:type="pct"/>
            <w:vAlign w:val="center"/>
          </w:tcPr>
          <w:p>
            <w:pPr>
              <w:pStyle w:val="33"/>
            </w:pPr>
            <w:r>
              <w:t>0.03L</w:t>
            </w:r>
          </w:p>
        </w:tc>
        <w:tc>
          <w:tcPr>
            <w:tcW w:w="1046" w:type="pct"/>
            <w:vAlign w:val="center"/>
          </w:tcPr>
          <w:p>
            <w:pPr>
              <w:pStyle w:val="33"/>
            </w:pPr>
            <w:r>
              <w:t>0.03L</w:t>
            </w:r>
          </w:p>
        </w:tc>
        <w:tc>
          <w:tcPr>
            <w:tcW w:w="1096" w:type="pct"/>
            <w:vAlign w:val="center"/>
          </w:tcPr>
          <w:p>
            <w:pPr>
              <w:pStyle w:val="33"/>
            </w:pPr>
            <w:r>
              <w:t>0.03L</w:t>
            </w:r>
          </w:p>
        </w:tc>
        <w:tc>
          <w:tcPr>
            <w:tcW w:w="392" w:type="pct"/>
            <w:tcBorders>
              <w:right w:val="single" w:color="auto" w:sz="4" w:space="0"/>
            </w:tcBorders>
            <w:tcMar>
              <w:top w:w="15" w:type="dxa"/>
              <w:left w:w="15" w:type="dxa"/>
              <w:bottom w:w="15" w:type="dxa"/>
              <w:right w:w="15" w:type="dxa"/>
            </w:tcMar>
            <w:vAlign w:val="center"/>
          </w:tcPr>
          <w:p>
            <w:pPr>
              <w:pStyle w:val="33"/>
            </w:pPr>
            <w:r>
              <w:t>≤0.30</w:t>
            </w:r>
          </w:p>
        </w:tc>
        <w:tc>
          <w:tcPr>
            <w:tcW w:w="487"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锰</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≤0.10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镍</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≤0.02</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铅</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0.001</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0.001L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0.001L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≤0.01</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镉</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0.0003</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0.0003</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0.0001L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≤0.005</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铝</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≤0.20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氰化物</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≤0.05</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总硬度</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440</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308</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166</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≤450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溶解性总固体</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542</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586</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282</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≤1000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硫酸盐</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144</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65</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58</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≤250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耗氧量</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2.08</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0.41</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0.05L</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≤3.0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硝酸盐氮</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12.4</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13.4</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11.9</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≤20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亚硝酸盐氮</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0.005</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0.016</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0.136</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挥发性酚类</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0.0003L</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0.0003</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0.0004</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≤0.002</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总大肠菌群（MPN/100mL）</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&lt;2</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2</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&lt;2</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≤3.0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013"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菌落总数（CFU/mL）</w:t>
            </w:r>
          </w:p>
        </w:tc>
        <w:tc>
          <w:tcPr>
            <w:tcW w:w="963" w:type="pct"/>
            <w:tcBorders>
              <w:top w:val="single" w:color="000000" w:sz="6" w:space="0"/>
              <w:left w:val="single" w:color="000000" w:sz="6" w:space="0"/>
              <w:bottom w:val="single" w:color="000000" w:sz="6" w:space="0"/>
              <w:right w:val="single" w:color="000000" w:sz="6" w:space="0"/>
            </w:tcBorders>
            <w:vAlign w:val="center"/>
          </w:tcPr>
          <w:p>
            <w:pPr>
              <w:pStyle w:val="33"/>
            </w:pPr>
            <w:r>
              <w:t>50</w:t>
            </w:r>
          </w:p>
        </w:tc>
        <w:tc>
          <w:tcPr>
            <w:tcW w:w="1046" w:type="pct"/>
            <w:tcBorders>
              <w:top w:val="single" w:color="000000" w:sz="6" w:space="0"/>
              <w:left w:val="single" w:color="000000" w:sz="6" w:space="0"/>
              <w:bottom w:val="single" w:color="000000" w:sz="6" w:space="0"/>
              <w:right w:val="single" w:color="000000" w:sz="6" w:space="0"/>
            </w:tcBorders>
            <w:vAlign w:val="center"/>
          </w:tcPr>
          <w:p>
            <w:pPr>
              <w:pStyle w:val="33"/>
            </w:pPr>
            <w:r>
              <w:t>40</w:t>
            </w:r>
          </w:p>
        </w:tc>
        <w:tc>
          <w:tcPr>
            <w:tcW w:w="1096" w:type="pct"/>
            <w:tcBorders>
              <w:top w:val="single" w:color="000000" w:sz="6" w:space="0"/>
              <w:left w:val="single" w:color="000000" w:sz="6" w:space="0"/>
              <w:bottom w:val="single" w:color="000000" w:sz="6" w:space="0"/>
              <w:right w:val="single" w:color="000000" w:sz="6" w:space="0"/>
            </w:tcBorders>
            <w:vAlign w:val="center"/>
          </w:tcPr>
          <w:p>
            <w:pPr>
              <w:pStyle w:val="33"/>
            </w:pPr>
            <w:r>
              <w:t>50</w:t>
            </w:r>
          </w:p>
        </w:tc>
        <w:tc>
          <w:tcPr>
            <w:tcW w:w="392"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≤100</w:t>
            </w:r>
          </w:p>
        </w:tc>
        <w:tc>
          <w:tcPr>
            <w:tcW w:w="487"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bl>
    <w:p>
      <w:pPr>
        <w:pStyle w:val="7"/>
        <w:ind w:firstLine="480"/>
      </w:pPr>
      <w:r>
        <w:t>由表</w:t>
      </w:r>
      <w:r>
        <w:rPr>
          <w:rFonts w:hint="eastAsia"/>
        </w:rPr>
        <w:t>5.3-1</w:t>
      </w:r>
      <w:r>
        <w:rPr>
          <w:rFonts w:hint="eastAsia"/>
          <w:lang w:val="en-US" w:eastAsia="zh-CN"/>
        </w:rPr>
        <w:t>7</w:t>
      </w:r>
      <w:r>
        <w:t>水质监测结果可以看出项目周边出露地下水（GW4—GW6）各监测因子均满足《地下水质量标准》（GB/T14848-2017）Ⅲ类标准限值要求。</w:t>
      </w:r>
    </w:p>
    <w:p>
      <w:pPr>
        <w:pStyle w:val="31"/>
      </w:pPr>
      <w:r>
        <w:t>表</w:t>
      </w:r>
      <w:r>
        <w:rPr>
          <w:rFonts w:hint="eastAsia"/>
        </w:rPr>
        <w:t>5.3-1</w:t>
      </w:r>
      <w:r>
        <w:rPr>
          <w:rFonts w:hint="eastAsia"/>
          <w:lang w:val="en-US" w:eastAsia="zh-CN"/>
        </w:rPr>
        <w:t>8</w:t>
      </w:r>
      <w:r>
        <w:t xml:space="preserve">  地下水检测结果一览表  （单位：mg/L、pH无量纲）</w:t>
      </w:r>
      <w:bookmarkStart w:id="106" w:name="_Hlt26752567"/>
      <w:bookmarkEnd w:id="106"/>
    </w:p>
    <w:tbl>
      <w:tblPr>
        <w:tblStyle w:val="27"/>
        <w:tblW w:w="5000"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1900"/>
        <w:gridCol w:w="2289"/>
        <w:gridCol w:w="2289"/>
        <w:gridCol w:w="873"/>
        <w:gridCol w:w="107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项目</w:t>
            </w:r>
          </w:p>
        </w:tc>
        <w:tc>
          <w:tcPr>
            <w:tcW w:w="1358" w:type="pct"/>
            <w:vAlign w:val="center"/>
          </w:tcPr>
          <w:p>
            <w:pPr>
              <w:pStyle w:val="33"/>
            </w:pPr>
            <w:r>
              <w:t>GW7柏布榔民井（DX07）</w:t>
            </w:r>
          </w:p>
        </w:tc>
        <w:tc>
          <w:tcPr>
            <w:tcW w:w="1358" w:type="pct"/>
            <w:vAlign w:val="center"/>
          </w:tcPr>
          <w:p>
            <w:pPr>
              <w:pStyle w:val="33"/>
            </w:pPr>
            <w:r>
              <w:t>GW8听湖村龙潭（DX08）</w:t>
            </w:r>
          </w:p>
        </w:tc>
        <w:tc>
          <w:tcPr>
            <w:tcW w:w="518" w:type="pct"/>
            <w:tcBorders>
              <w:right w:val="single" w:color="auto" w:sz="4" w:space="0"/>
            </w:tcBorders>
            <w:tcMar>
              <w:top w:w="15" w:type="dxa"/>
              <w:left w:w="15" w:type="dxa"/>
              <w:bottom w:w="15" w:type="dxa"/>
              <w:right w:w="15" w:type="dxa"/>
            </w:tcMar>
            <w:vAlign w:val="center"/>
          </w:tcPr>
          <w:p>
            <w:pPr>
              <w:pStyle w:val="33"/>
            </w:pPr>
            <w:r>
              <w:t>标准值</w:t>
            </w:r>
          </w:p>
        </w:tc>
        <w:tc>
          <w:tcPr>
            <w:tcW w:w="639" w:type="pct"/>
            <w:tcBorders>
              <w:left w:val="single" w:color="auto" w:sz="4" w:space="0"/>
            </w:tcBorders>
            <w:vAlign w:val="center"/>
          </w:tcPr>
          <w:p>
            <w:pPr>
              <w:pStyle w:val="33"/>
            </w:pPr>
            <w:r>
              <w:t>达标情况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氨氮</w:t>
            </w:r>
          </w:p>
        </w:tc>
        <w:tc>
          <w:tcPr>
            <w:tcW w:w="1358" w:type="pct"/>
            <w:vAlign w:val="center"/>
          </w:tcPr>
          <w:p>
            <w:pPr>
              <w:pStyle w:val="33"/>
            </w:pPr>
            <w:r>
              <w:t>0.074</w:t>
            </w:r>
          </w:p>
        </w:tc>
        <w:tc>
          <w:tcPr>
            <w:tcW w:w="1358" w:type="pct"/>
            <w:vAlign w:val="center"/>
          </w:tcPr>
          <w:p>
            <w:pPr>
              <w:pStyle w:val="33"/>
            </w:pPr>
            <w:r>
              <w:t>0.050</w:t>
            </w:r>
          </w:p>
        </w:tc>
        <w:tc>
          <w:tcPr>
            <w:tcW w:w="518" w:type="pct"/>
            <w:tcBorders>
              <w:right w:val="single" w:color="auto" w:sz="4" w:space="0"/>
            </w:tcBorders>
            <w:tcMar>
              <w:top w:w="15" w:type="dxa"/>
              <w:left w:w="15" w:type="dxa"/>
              <w:bottom w:w="15" w:type="dxa"/>
              <w:right w:w="15" w:type="dxa"/>
            </w:tcMar>
            <w:vAlign w:val="center"/>
          </w:tcPr>
          <w:p>
            <w:pPr>
              <w:pStyle w:val="33"/>
            </w:pPr>
            <w:r>
              <w:t>≤0.50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砷</w:t>
            </w:r>
          </w:p>
        </w:tc>
        <w:tc>
          <w:tcPr>
            <w:tcW w:w="1358" w:type="pct"/>
            <w:vAlign w:val="center"/>
          </w:tcPr>
          <w:p>
            <w:pPr>
              <w:pStyle w:val="33"/>
            </w:pPr>
            <w:r>
              <w:t>0.0003L</w:t>
            </w:r>
          </w:p>
        </w:tc>
        <w:tc>
          <w:tcPr>
            <w:tcW w:w="1358" w:type="pct"/>
            <w:vAlign w:val="center"/>
          </w:tcPr>
          <w:p>
            <w:pPr>
              <w:pStyle w:val="33"/>
            </w:pPr>
            <w:r>
              <w:t>0.0003L</w:t>
            </w:r>
          </w:p>
        </w:tc>
        <w:tc>
          <w:tcPr>
            <w:tcW w:w="518" w:type="pct"/>
            <w:tcBorders>
              <w:right w:val="single" w:color="auto" w:sz="4" w:space="0"/>
            </w:tcBorders>
            <w:tcMar>
              <w:top w:w="15" w:type="dxa"/>
              <w:left w:w="15" w:type="dxa"/>
              <w:bottom w:w="15" w:type="dxa"/>
              <w:right w:w="15" w:type="dxa"/>
            </w:tcMar>
            <w:vAlign w:val="center"/>
          </w:tcPr>
          <w:p>
            <w:pPr>
              <w:pStyle w:val="33"/>
            </w:pPr>
            <w:r>
              <w:t>≤0.05</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汞</w:t>
            </w:r>
          </w:p>
        </w:tc>
        <w:tc>
          <w:tcPr>
            <w:tcW w:w="1358" w:type="pct"/>
            <w:vAlign w:val="center"/>
          </w:tcPr>
          <w:p>
            <w:pPr>
              <w:pStyle w:val="33"/>
            </w:pPr>
            <w:r>
              <w:t>0.00004L</w:t>
            </w:r>
          </w:p>
        </w:tc>
        <w:tc>
          <w:tcPr>
            <w:tcW w:w="1358" w:type="pct"/>
            <w:vAlign w:val="center"/>
          </w:tcPr>
          <w:p>
            <w:pPr>
              <w:pStyle w:val="33"/>
            </w:pPr>
            <w:r>
              <w:t>0.00004L</w:t>
            </w:r>
          </w:p>
        </w:tc>
        <w:tc>
          <w:tcPr>
            <w:tcW w:w="518" w:type="pct"/>
            <w:tcBorders>
              <w:right w:val="single" w:color="auto" w:sz="4" w:space="0"/>
            </w:tcBorders>
            <w:tcMar>
              <w:top w:w="15" w:type="dxa"/>
              <w:left w:w="15" w:type="dxa"/>
              <w:bottom w:w="15" w:type="dxa"/>
              <w:right w:w="15" w:type="dxa"/>
            </w:tcMar>
            <w:vAlign w:val="center"/>
          </w:tcPr>
          <w:p>
            <w:pPr>
              <w:pStyle w:val="33"/>
            </w:pPr>
            <w:r>
              <w:t>≤0.01</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pH</w:t>
            </w:r>
          </w:p>
        </w:tc>
        <w:tc>
          <w:tcPr>
            <w:tcW w:w="1358" w:type="pct"/>
            <w:vAlign w:val="center"/>
          </w:tcPr>
          <w:p>
            <w:pPr>
              <w:pStyle w:val="33"/>
            </w:pPr>
            <w:r>
              <w:t>8.18</w:t>
            </w:r>
          </w:p>
        </w:tc>
        <w:tc>
          <w:tcPr>
            <w:tcW w:w="1358" w:type="pct"/>
            <w:vAlign w:val="center"/>
          </w:tcPr>
          <w:p>
            <w:pPr>
              <w:pStyle w:val="33"/>
            </w:pPr>
            <w:r>
              <w:t>7.61</w:t>
            </w:r>
          </w:p>
        </w:tc>
        <w:tc>
          <w:tcPr>
            <w:tcW w:w="518" w:type="pct"/>
            <w:tcBorders>
              <w:right w:val="single" w:color="auto" w:sz="4" w:space="0"/>
            </w:tcBorders>
            <w:tcMar>
              <w:top w:w="15" w:type="dxa"/>
              <w:left w:w="15" w:type="dxa"/>
              <w:bottom w:w="15" w:type="dxa"/>
              <w:right w:w="15" w:type="dxa"/>
            </w:tcMar>
            <w:vAlign w:val="center"/>
          </w:tcPr>
          <w:p>
            <w:pPr>
              <w:pStyle w:val="33"/>
            </w:pPr>
            <w:r>
              <w:t>6-9</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氟化物</w:t>
            </w:r>
          </w:p>
        </w:tc>
        <w:tc>
          <w:tcPr>
            <w:tcW w:w="1358" w:type="pct"/>
            <w:vAlign w:val="center"/>
          </w:tcPr>
          <w:p>
            <w:pPr>
              <w:pStyle w:val="33"/>
            </w:pPr>
            <w:r>
              <w:t>0.08</w:t>
            </w:r>
          </w:p>
        </w:tc>
        <w:tc>
          <w:tcPr>
            <w:tcW w:w="1358" w:type="pct"/>
            <w:vAlign w:val="center"/>
          </w:tcPr>
          <w:p>
            <w:pPr>
              <w:pStyle w:val="33"/>
            </w:pPr>
            <w:r>
              <w:t>0.10</w:t>
            </w:r>
          </w:p>
        </w:tc>
        <w:tc>
          <w:tcPr>
            <w:tcW w:w="518" w:type="pct"/>
            <w:tcBorders>
              <w:right w:val="single" w:color="auto" w:sz="4" w:space="0"/>
            </w:tcBorders>
            <w:tcMar>
              <w:top w:w="15" w:type="dxa"/>
              <w:left w:w="15" w:type="dxa"/>
              <w:bottom w:w="15" w:type="dxa"/>
              <w:right w:w="15" w:type="dxa"/>
            </w:tcMar>
            <w:vAlign w:val="center"/>
          </w:tcPr>
          <w:p>
            <w:pPr>
              <w:pStyle w:val="33"/>
            </w:pPr>
            <w:r>
              <w:t>≤1.0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六价铬</w:t>
            </w:r>
          </w:p>
        </w:tc>
        <w:tc>
          <w:tcPr>
            <w:tcW w:w="1358" w:type="pct"/>
            <w:vAlign w:val="center"/>
          </w:tcPr>
          <w:p>
            <w:pPr>
              <w:pStyle w:val="33"/>
            </w:pPr>
            <w:r>
              <w:t>0.004L</w:t>
            </w:r>
          </w:p>
        </w:tc>
        <w:tc>
          <w:tcPr>
            <w:tcW w:w="1358" w:type="pct"/>
            <w:vAlign w:val="center"/>
          </w:tcPr>
          <w:p>
            <w:pPr>
              <w:pStyle w:val="33"/>
            </w:pPr>
            <w:r>
              <w:t>0.004L</w:t>
            </w:r>
          </w:p>
        </w:tc>
        <w:tc>
          <w:tcPr>
            <w:tcW w:w="518" w:type="pct"/>
            <w:tcBorders>
              <w:right w:val="single" w:color="auto" w:sz="4" w:space="0"/>
            </w:tcBorders>
            <w:tcMar>
              <w:top w:w="15" w:type="dxa"/>
              <w:left w:w="15" w:type="dxa"/>
              <w:bottom w:w="15" w:type="dxa"/>
              <w:right w:w="15" w:type="dxa"/>
            </w:tcMar>
            <w:vAlign w:val="center"/>
          </w:tcPr>
          <w:p>
            <w:pPr>
              <w:pStyle w:val="33"/>
            </w:pPr>
            <w:r>
              <w:t>≤0.05</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阴离子表面活性剂</w:t>
            </w:r>
          </w:p>
        </w:tc>
        <w:tc>
          <w:tcPr>
            <w:tcW w:w="1358" w:type="pct"/>
            <w:vAlign w:val="center"/>
          </w:tcPr>
          <w:p>
            <w:pPr>
              <w:pStyle w:val="33"/>
            </w:pPr>
            <w:r>
              <w:t>0.05</w:t>
            </w:r>
          </w:p>
        </w:tc>
        <w:tc>
          <w:tcPr>
            <w:tcW w:w="1358" w:type="pct"/>
            <w:vAlign w:val="center"/>
          </w:tcPr>
          <w:p>
            <w:pPr>
              <w:pStyle w:val="33"/>
            </w:pPr>
            <w:r>
              <w:t>0.05L</w:t>
            </w:r>
          </w:p>
        </w:tc>
        <w:tc>
          <w:tcPr>
            <w:tcW w:w="518" w:type="pct"/>
            <w:tcBorders>
              <w:right w:val="single" w:color="auto" w:sz="4" w:space="0"/>
            </w:tcBorders>
            <w:tcMar>
              <w:top w:w="15" w:type="dxa"/>
              <w:left w:w="15" w:type="dxa"/>
              <w:bottom w:w="15" w:type="dxa"/>
              <w:right w:w="15" w:type="dxa"/>
            </w:tcMar>
            <w:vAlign w:val="center"/>
          </w:tcPr>
          <w:p>
            <w:pPr>
              <w:pStyle w:val="33"/>
            </w:pPr>
            <w:r>
              <w:t>≤0.30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氯化物</w:t>
            </w:r>
          </w:p>
        </w:tc>
        <w:tc>
          <w:tcPr>
            <w:tcW w:w="1358" w:type="pct"/>
            <w:vAlign w:val="center"/>
          </w:tcPr>
          <w:p>
            <w:pPr>
              <w:pStyle w:val="33"/>
            </w:pPr>
            <w:r>
              <w:t>9.3</w:t>
            </w:r>
          </w:p>
        </w:tc>
        <w:tc>
          <w:tcPr>
            <w:tcW w:w="1358" w:type="pct"/>
            <w:vAlign w:val="center"/>
          </w:tcPr>
          <w:p>
            <w:pPr>
              <w:pStyle w:val="33"/>
            </w:pPr>
            <w:r>
              <w:t>0.8</w:t>
            </w:r>
          </w:p>
        </w:tc>
        <w:tc>
          <w:tcPr>
            <w:tcW w:w="518" w:type="pct"/>
            <w:tcBorders>
              <w:right w:val="single" w:color="auto" w:sz="4" w:space="0"/>
            </w:tcBorders>
            <w:tcMar>
              <w:top w:w="15" w:type="dxa"/>
              <w:left w:w="15" w:type="dxa"/>
              <w:bottom w:w="15" w:type="dxa"/>
              <w:right w:w="15" w:type="dxa"/>
            </w:tcMar>
            <w:vAlign w:val="center"/>
          </w:tcPr>
          <w:p>
            <w:pPr>
              <w:pStyle w:val="33"/>
            </w:pPr>
            <w:r>
              <w:t>≤250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铜</w:t>
            </w:r>
          </w:p>
        </w:tc>
        <w:tc>
          <w:tcPr>
            <w:tcW w:w="1358" w:type="pct"/>
            <w:vAlign w:val="center"/>
          </w:tcPr>
          <w:p>
            <w:pPr>
              <w:pStyle w:val="33"/>
            </w:pPr>
            <w:r>
              <w:t>0.05L</w:t>
            </w:r>
          </w:p>
        </w:tc>
        <w:tc>
          <w:tcPr>
            <w:tcW w:w="1358" w:type="pct"/>
            <w:vAlign w:val="center"/>
          </w:tcPr>
          <w:p>
            <w:pPr>
              <w:pStyle w:val="33"/>
            </w:pPr>
            <w:r>
              <w:t>0.05L</w:t>
            </w:r>
          </w:p>
        </w:tc>
        <w:tc>
          <w:tcPr>
            <w:tcW w:w="518" w:type="pct"/>
            <w:tcBorders>
              <w:right w:val="single" w:color="auto" w:sz="4" w:space="0"/>
            </w:tcBorders>
            <w:tcMar>
              <w:top w:w="15" w:type="dxa"/>
              <w:left w:w="15" w:type="dxa"/>
              <w:bottom w:w="15" w:type="dxa"/>
              <w:right w:w="15" w:type="dxa"/>
            </w:tcMar>
            <w:vAlign w:val="center"/>
          </w:tcPr>
          <w:p>
            <w:pPr>
              <w:pStyle w:val="33"/>
            </w:pPr>
            <w:r>
              <w:t>≤1.0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锌</w:t>
            </w:r>
          </w:p>
        </w:tc>
        <w:tc>
          <w:tcPr>
            <w:tcW w:w="1358" w:type="pct"/>
            <w:vAlign w:val="center"/>
          </w:tcPr>
          <w:p>
            <w:pPr>
              <w:pStyle w:val="33"/>
            </w:pPr>
            <w:r>
              <w:t>0.05L</w:t>
            </w:r>
          </w:p>
        </w:tc>
        <w:tc>
          <w:tcPr>
            <w:tcW w:w="1358" w:type="pct"/>
            <w:vAlign w:val="center"/>
          </w:tcPr>
          <w:p>
            <w:pPr>
              <w:pStyle w:val="33"/>
            </w:pPr>
            <w:r>
              <w:t>0.05L</w:t>
            </w:r>
          </w:p>
        </w:tc>
        <w:tc>
          <w:tcPr>
            <w:tcW w:w="518" w:type="pct"/>
            <w:tcBorders>
              <w:right w:val="single" w:color="auto" w:sz="4" w:space="0"/>
            </w:tcBorders>
            <w:tcMar>
              <w:top w:w="15" w:type="dxa"/>
              <w:left w:w="15" w:type="dxa"/>
              <w:bottom w:w="15" w:type="dxa"/>
              <w:right w:w="15" w:type="dxa"/>
            </w:tcMar>
            <w:vAlign w:val="center"/>
          </w:tcPr>
          <w:p>
            <w:pPr>
              <w:pStyle w:val="33"/>
            </w:pPr>
            <w:r>
              <w:t>≤1.0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Mar>
              <w:top w:w="15" w:type="dxa"/>
              <w:left w:w="15" w:type="dxa"/>
              <w:bottom w:w="15" w:type="dxa"/>
              <w:right w:w="15" w:type="dxa"/>
            </w:tcMar>
            <w:vAlign w:val="center"/>
          </w:tcPr>
          <w:p>
            <w:pPr>
              <w:pStyle w:val="33"/>
            </w:pPr>
            <w:r>
              <w:t>铁</w:t>
            </w:r>
          </w:p>
        </w:tc>
        <w:tc>
          <w:tcPr>
            <w:tcW w:w="1358" w:type="pct"/>
            <w:vAlign w:val="center"/>
          </w:tcPr>
          <w:p>
            <w:pPr>
              <w:pStyle w:val="33"/>
            </w:pPr>
            <w:r>
              <w:t>0.03L</w:t>
            </w:r>
          </w:p>
        </w:tc>
        <w:tc>
          <w:tcPr>
            <w:tcW w:w="1358" w:type="pct"/>
            <w:vAlign w:val="center"/>
          </w:tcPr>
          <w:p>
            <w:pPr>
              <w:pStyle w:val="33"/>
            </w:pPr>
            <w:r>
              <w:t>0.03L</w:t>
            </w:r>
          </w:p>
        </w:tc>
        <w:tc>
          <w:tcPr>
            <w:tcW w:w="518" w:type="pct"/>
            <w:tcBorders>
              <w:right w:val="single" w:color="auto" w:sz="4" w:space="0"/>
            </w:tcBorders>
            <w:tcMar>
              <w:top w:w="15" w:type="dxa"/>
              <w:left w:w="15" w:type="dxa"/>
              <w:bottom w:w="15" w:type="dxa"/>
              <w:right w:w="15" w:type="dxa"/>
            </w:tcMar>
            <w:vAlign w:val="center"/>
          </w:tcPr>
          <w:p>
            <w:pPr>
              <w:pStyle w:val="33"/>
            </w:pPr>
            <w:r>
              <w:t>≤0.30</w:t>
            </w:r>
          </w:p>
        </w:tc>
        <w:tc>
          <w:tcPr>
            <w:tcW w:w="639" w:type="pct"/>
            <w:tcBorders>
              <w:left w:val="single" w:color="auto" w:sz="4"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锰</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0.01L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≤0.10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镍</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0.005L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≤0.02</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铅</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0.001L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0.001L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≤0.01</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镉</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0.0001L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0.0001L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≤0.005</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铝</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0.008L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≤0.20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氰化物</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0.004L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≤0.05</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总硬度</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215</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276</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≤450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溶解性总固体</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276</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306</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≤1000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硫酸盐</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42</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26</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≤250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耗氧量</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0.05L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0.05L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≤3.0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硝酸盐氮</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11.3</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5.44</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≤20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亚硝酸盐氮</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0.147</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0.003L</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挥发性酚类</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0.0003</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0.0003</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≤0.002</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总大肠菌群（MPN/100mL）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2</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2</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≤3.0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jc w:val="center"/>
        </w:trPr>
        <w:tc>
          <w:tcPr>
            <w:tcW w:w="1127" w:type="pct"/>
            <w:tcBorders>
              <w:top w:val="single" w:color="000000" w:sz="6" w:space="0"/>
              <w:left w:val="single" w:color="000000" w:sz="6" w:space="0"/>
              <w:bottom w:val="single" w:color="000000" w:sz="6" w:space="0"/>
              <w:right w:val="single" w:color="000000" w:sz="6" w:space="0"/>
            </w:tcBorders>
            <w:tcMar>
              <w:top w:w="15" w:type="dxa"/>
              <w:left w:w="15" w:type="dxa"/>
              <w:bottom w:w="15" w:type="dxa"/>
              <w:right w:w="15" w:type="dxa"/>
            </w:tcMar>
            <w:vAlign w:val="center"/>
          </w:tcPr>
          <w:p>
            <w:pPr>
              <w:pStyle w:val="33"/>
            </w:pPr>
            <w:r>
              <w:t>菌落总数（CFU/mL）</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60</w:t>
            </w:r>
          </w:p>
        </w:tc>
        <w:tc>
          <w:tcPr>
            <w:tcW w:w="1358" w:type="pct"/>
            <w:tcBorders>
              <w:top w:val="single" w:color="000000" w:sz="6" w:space="0"/>
              <w:left w:val="single" w:color="000000" w:sz="6" w:space="0"/>
              <w:bottom w:val="single" w:color="000000" w:sz="6" w:space="0"/>
              <w:right w:val="single" w:color="000000" w:sz="6" w:space="0"/>
            </w:tcBorders>
            <w:vAlign w:val="center"/>
          </w:tcPr>
          <w:p>
            <w:pPr>
              <w:pStyle w:val="33"/>
            </w:pPr>
            <w:r>
              <w:t>40</w:t>
            </w:r>
          </w:p>
        </w:tc>
        <w:tc>
          <w:tcPr>
            <w:tcW w:w="518" w:type="pct"/>
            <w:tcBorders>
              <w:top w:val="single" w:color="000000" w:sz="6" w:space="0"/>
              <w:left w:val="single" w:color="000000" w:sz="6" w:space="0"/>
              <w:bottom w:val="single" w:color="000000" w:sz="6" w:space="0"/>
              <w:right w:val="single" w:color="auto" w:sz="4" w:space="0"/>
            </w:tcBorders>
            <w:tcMar>
              <w:top w:w="15" w:type="dxa"/>
              <w:left w:w="15" w:type="dxa"/>
              <w:bottom w:w="15" w:type="dxa"/>
              <w:right w:w="15" w:type="dxa"/>
            </w:tcMar>
            <w:vAlign w:val="center"/>
          </w:tcPr>
          <w:p>
            <w:pPr>
              <w:pStyle w:val="33"/>
            </w:pPr>
            <w:r>
              <w:t>≤100</w:t>
            </w:r>
          </w:p>
        </w:tc>
        <w:tc>
          <w:tcPr>
            <w:tcW w:w="639" w:type="pct"/>
            <w:tcBorders>
              <w:top w:val="single" w:color="000000" w:sz="6" w:space="0"/>
              <w:left w:val="single" w:color="auto" w:sz="4" w:space="0"/>
              <w:bottom w:val="single" w:color="000000" w:sz="6" w:space="0"/>
              <w:right w:val="single" w:color="000000" w:sz="6" w:space="0"/>
            </w:tcBorders>
            <w:vAlign w:val="center"/>
          </w:tcPr>
          <w:p>
            <w:pPr>
              <w:pStyle w:val="33"/>
            </w:pPr>
            <w:r>
              <w:t>达标</w:t>
            </w:r>
          </w:p>
        </w:tc>
      </w:tr>
    </w:tbl>
    <w:p>
      <w:pPr>
        <w:pStyle w:val="7"/>
        <w:ind w:firstLine="480"/>
      </w:pPr>
      <w:r>
        <w:t>由表</w:t>
      </w:r>
      <w:r>
        <w:rPr>
          <w:rFonts w:hint="eastAsia"/>
        </w:rPr>
        <w:t>5.3-1</w:t>
      </w:r>
      <w:r>
        <w:rPr>
          <w:rFonts w:hint="eastAsia"/>
          <w:lang w:val="en-US" w:eastAsia="zh-CN"/>
        </w:rPr>
        <w:t>8</w:t>
      </w:r>
      <w:r>
        <w:t>水质监测结果可以看出项目周边出露地下水（GW7—GW8）各监测因子均满足《地下水质量标准》（GB/T14848-2017）Ⅲ类标准限值要求。</w:t>
      </w:r>
    </w:p>
    <w:p>
      <w:pPr>
        <w:pStyle w:val="8"/>
      </w:pPr>
      <w:r>
        <w:rPr>
          <w:rFonts w:hint="eastAsia"/>
        </w:rPr>
        <w:t>5.3.4声环境质量现状评价</w:t>
      </w:r>
    </w:p>
    <w:p>
      <w:pPr>
        <w:pStyle w:val="7"/>
        <w:ind w:firstLine="482"/>
        <w:rPr>
          <w:b/>
          <w:bCs/>
        </w:rPr>
      </w:pPr>
      <w:r>
        <w:rPr>
          <w:rFonts w:hint="eastAsia"/>
          <w:b/>
          <w:bCs/>
        </w:rPr>
        <w:t>1、现状监测布点及监测方法</w:t>
      </w:r>
    </w:p>
    <w:p>
      <w:pPr>
        <w:pStyle w:val="7"/>
        <w:ind w:firstLine="480"/>
      </w:pPr>
      <w:r>
        <w:rPr>
          <w:rFonts w:hint="eastAsia"/>
        </w:rPr>
        <w:t>本次评价委托云南环绿环境检测技术有限公司于2021年4月1日~2日对项目区域声环境现状进行了监测，在厂址四周及敏感点共布设5个监测点。</w:t>
      </w:r>
    </w:p>
    <w:p>
      <w:pPr>
        <w:pStyle w:val="31"/>
      </w:pPr>
      <w:r>
        <w:t>表</w:t>
      </w:r>
      <w:r>
        <w:rPr>
          <w:rFonts w:hint="eastAsia"/>
        </w:rPr>
        <w:t>5.3-1</w:t>
      </w:r>
      <w:r>
        <w:rPr>
          <w:rFonts w:hint="eastAsia"/>
          <w:lang w:val="en-US" w:eastAsia="zh-CN"/>
        </w:rPr>
        <w:t>9</w:t>
      </w:r>
      <w:r>
        <w:t xml:space="preserve">  噪声监测布点一览表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6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971" w:type="pct"/>
            <w:vAlign w:val="center"/>
          </w:tcPr>
          <w:p>
            <w:pPr>
              <w:pStyle w:val="32"/>
            </w:pPr>
            <w:r>
              <w:t>点位</w:t>
            </w:r>
          </w:p>
        </w:tc>
        <w:tc>
          <w:tcPr>
            <w:tcW w:w="4028" w:type="pct"/>
            <w:vAlign w:val="center"/>
          </w:tcPr>
          <w:p>
            <w:pPr>
              <w:pStyle w:val="32"/>
            </w:pPr>
            <w:r>
              <w:t>监测点名称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71" w:type="pct"/>
            <w:vAlign w:val="center"/>
          </w:tcPr>
          <w:p>
            <w:pPr>
              <w:pStyle w:val="32"/>
            </w:pPr>
            <w:r>
              <w:t>1</w:t>
            </w:r>
          </w:p>
        </w:tc>
        <w:tc>
          <w:tcPr>
            <w:tcW w:w="4028" w:type="pct"/>
          </w:tcPr>
          <w:p>
            <w:pPr>
              <w:pStyle w:val="32"/>
            </w:pPr>
            <w:r>
              <w:t>厂界</w:t>
            </w:r>
            <w:r>
              <w:rPr>
                <w:rFonts w:hint="eastAsia"/>
              </w:rPr>
              <w:t>东</w:t>
            </w:r>
            <w:r>
              <w:t>（</w:t>
            </w:r>
            <w:r>
              <w:rPr>
                <w:rFonts w:hint="eastAsia"/>
              </w:rPr>
              <w:t>N</w:t>
            </w:r>
            <w: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Align w:val="center"/>
          </w:tcPr>
          <w:p>
            <w:pPr>
              <w:pStyle w:val="32"/>
            </w:pPr>
            <w:r>
              <w:t>2</w:t>
            </w:r>
          </w:p>
        </w:tc>
        <w:tc>
          <w:tcPr>
            <w:tcW w:w="4028" w:type="pct"/>
          </w:tcPr>
          <w:p>
            <w:pPr>
              <w:pStyle w:val="32"/>
            </w:pPr>
            <w:r>
              <w:t>厂界</w:t>
            </w:r>
            <w:r>
              <w:rPr>
                <w:rFonts w:hint="eastAsia"/>
              </w:rPr>
              <w:t>南</w:t>
            </w:r>
            <w:r>
              <w:t>（</w:t>
            </w:r>
            <w:r>
              <w:rPr>
                <w:rFonts w:hint="eastAsia"/>
              </w:rPr>
              <w:t>N</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Align w:val="center"/>
          </w:tcPr>
          <w:p>
            <w:pPr>
              <w:pStyle w:val="32"/>
            </w:pPr>
            <w:r>
              <w:t>3</w:t>
            </w:r>
          </w:p>
        </w:tc>
        <w:tc>
          <w:tcPr>
            <w:tcW w:w="4028" w:type="pct"/>
          </w:tcPr>
          <w:p>
            <w:pPr>
              <w:pStyle w:val="32"/>
            </w:pPr>
            <w:r>
              <w:t>厂界</w:t>
            </w:r>
            <w:r>
              <w:rPr>
                <w:rFonts w:hint="eastAsia"/>
              </w:rPr>
              <w:t>西（N</w:t>
            </w:r>
            <w: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Align w:val="center"/>
          </w:tcPr>
          <w:p>
            <w:pPr>
              <w:pStyle w:val="32"/>
            </w:pPr>
            <w:r>
              <w:t>4</w:t>
            </w:r>
          </w:p>
        </w:tc>
        <w:tc>
          <w:tcPr>
            <w:tcW w:w="4028" w:type="pct"/>
          </w:tcPr>
          <w:p>
            <w:pPr>
              <w:pStyle w:val="32"/>
            </w:pPr>
            <w:r>
              <w:t>厂界</w:t>
            </w:r>
            <w:r>
              <w:rPr>
                <w:rFonts w:hint="eastAsia"/>
              </w:rPr>
              <w:t>北</w:t>
            </w:r>
            <w:r>
              <w:t>（</w:t>
            </w:r>
            <w:r>
              <w:rPr>
                <w:rFonts w:hint="eastAsia"/>
              </w:rPr>
              <w:t>N</w:t>
            </w:r>
            <w: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1" w:type="pct"/>
            <w:vAlign w:val="center"/>
          </w:tcPr>
          <w:p>
            <w:pPr>
              <w:pStyle w:val="32"/>
            </w:pPr>
            <w:r>
              <w:rPr>
                <w:rFonts w:hint="eastAsia"/>
              </w:rPr>
              <w:t>5</w:t>
            </w:r>
          </w:p>
        </w:tc>
        <w:tc>
          <w:tcPr>
            <w:tcW w:w="4028" w:type="pct"/>
          </w:tcPr>
          <w:p>
            <w:pPr>
              <w:pStyle w:val="32"/>
            </w:pPr>
            <w:r>
              <w:rPr>
                <w:rFonts w:hint="eastAsia"/>
              </w:rPr>
              <w:t>西侧布标村</w:t>
            </w:r>
            <w:r>
              <w:t>（</w:t>
            </w:r>
            <w:r>
              <w:rPr>
                <w:rFonts w:hint="eastAsia"/>
              </w:rPr>
              <w:t>N5</w:t>
            </w:r>
            <w:r>
              <w:t>）</w:t>
            </w:r>
          </w:p>
        </w:tc>
      </w:tr>
    </w:tbl>
    <w:p>
      <w:pPr>
        <w:pStyle w:val="7"/>
        <w:ind w:firstLine="482"/>
        <w:rPr>
          <w:b/>
          <w:bCs/>
        </w:rPr>
      </w:pPr>
      <w:bookmarkStart w:id="107" w:name="_Toc505605806"/>
      <w:bookmarkStart w:id="108" w:name="_Toc508705426"/>
      <w:bookmarkStart w:id="109" w:name="_Toc517187647"/>
      <w:bookmarkStart w:id="110" w:name="_Toc508638522"/>
      <w:bookmarkStart w:id="111" w:name="_Toc517188810"/>
      <w:bookmarkStart w:id="112" w:name="_Toc508370666"/>
      <w:bookmarkStart w:id="113" w:name="_Toc508637981"/>
      <w:bookmarkStart w:id="114" w:name="_Toc519669945"/>
      <w:r>
        <w:rPr>
          <w:rFonts w:hint="eastAsia"/>
          <w:b/>
          <w:bCs/>
        </w:rPr>
        <w:t>2、</w:t>
      </w:r>
      <w:r>
        <w:rPr>
          <w:b/>
          <w:bCs/>
        </w:rPr>
        <w:t>监测频率</w:t>
      </w:r>
      <w:bookmarkEnd w:id="107"/>
      <w:bookmarkEnd w:id="108"/>
      <w:bookmarkEnd w:id="109"/>
      <w:bookmarkEnd w:id="110"/>
      <w:bookmarkEnd w:id="111"/>
      <w:bookmarkEnd w:id="112"/>
      <w:bookmarkEnd w:id="113"/>
      <w:bookmarkEnd w:id="114"/>
    </w:p>
    <w:p>
      <w:pPr>
        <w:widowControl/>
        <w:adjustRightInd w:val="0"/>
        <w:snapToGrid w:val="0"/>
        <w:spacing w:line="360" w:lineRule="auto"/>
        <w:ind w:firstLine="480" w:firstLineChars="200"/>
        <w:jc w:val="left"/>
        <w:rPr>
          <w:bCs/>
        </w:rPr>
      </w:pPr>
      <w:r>
        <w:rPr>
          <w:bCs/>
        </w:rPr>
        <w:t>噪声监测时间为2天，监测频率为每天昼、夜间各1次。</w:t>
      </w:r>
    </w:p>
    <w:p>
      <w:pPr>
        <w:pStyle w:val="7"/>
        <w:ind w:firstLine="482"/>
        <w:rPr>
          <w:b/>
          <w:bCs/>
        </w:rPr>
      </w:pPr>
      <w:bookmarkStart w:id="115" w:name="_Toc517188811"/>
      <w:bookmarkStart w:id="116" w:name="_Toc517187648"/>
      <w:bookmarkStart w:id="117" w:name="_Toc519669946"/>
      <w:bookmarkStart w:id="118" w:name="_Toc508637982"/>
      <w:bookmarkStart w:id="119" w:name="_Toc508638523"/>
      <w:bookmarkStart w:id="120" w:name="_Toc508370667"/>
      <w:bookmarkStart w:id="121" w:name="_Toc505605807"/>
      <w:bookmarkStart w:id="122" w:name="_Toc508705427"/>
      <w:r>
        <w:rPr>
          <w:b/>
          <w:bCs/>
        </w:rPr>
        <w:t>3</w:t>
      </w:r>
      <w:r>
        <w:rPr>
          <w:rFonts w:hint="eastAsia"/>
          <w:b/>
          <w:bCs/>
        </w:rPr>
        <w:t>、</w:t>
      </w:r>
      <w:r>
        <w:rPr>
          <w:b/>
          <w:bCs/>
        </w:rPr>
        <w:t>现状评价</w:t>
      </w:r>
      <w:bookmarkEnd w:id="115"/>
      <w:bookmarkEnd w:id="116"/>
      <w:bookmarkEnd w:id="117"/>
      <w:bookmarkEnd w:id="118"/>
      <w:bookmarkEnd w:id="119"/>
      <w:bookmarkEnd w:id="120"/>
      <w:bookmarkEnd w:id="121"/>
      <w:bookmarkEnd w:id="122"/>
    </w:p>
    <w:p>
      <w:pPr>
        <w:widowControl/>
        <w:adjustRightInd w:val="0"/>
        <w:snapToGrid w:val="0"/>
        <w:spacing w:line="360" w:lineRule="auto"/>
        <w:ind w:firstLine="480" w:firstLineChars="200"/>
        <w:jc w:val="left"/>
        <w:rPr>
          <w:bCs/>
        </w:rPr>
      </w:pPr>
      <w:r>
        <w:rPr>
          <w:bCs/>
        </w:rPr>
        <w:t>生产区噪声现状监测及评价结果见表</w:t>
      </w:r>
      <w:r>
        <w:rPr>
          <w:rFonts w:hint="eastAsia"/>
          <w:bCs/>
        </w:rPr>
        <w:t>5.3-</w:t>
      </w:r>
      <w:r>
        <w:rPr>
          <w:rFonts w:hint="eastAsia"/>
          <w:bCs/>
          <w:lang w:val="en-US" w:eastAsia="zh-CN"/>
        </w:rPr>
        <w:t>20</w:t>
      </w:r>
      <w:r>
        <w:rPr>
          <w:bCs/>
        </w:rPr>
        <w:t>。</w:t>
      </w:r>
    </w:p>
    <w:p>
      <w:pPr>
        <w:pStyle w:val="31"/>
      </w:pPr>
      <w:r>
        <w:t>表</w:t>
      </w:r>
      <w:r>
        <w:rPr>
          <w:rFonts w:hint="eastAsia"/>
        </w:rPr>
        <w:t>5.3-</w:t>
      </w:r>
      <w:r>
        <w:rPr>
          <w:rFonts w:hint="eastAsia"/>
          <w:lang w:val="en-US" w:eastAsia="zh-CN"/>
        </w:rPr>
        <w:t>20</w:t>
      </w:r>
      <w:r>
        <w:t xml:space="preserve">  生产区噪声监测结果</w:t>
      </w:r>
    </w:p>
    <w:tbl>
      <w:tblPr>
        <w:tblStyle w:val="27"/>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78"/>
        <w:gridCol w:w="1403"/>
        <w:gridCol w:w="456"/>
        <w:gridCol w:w="903"/>
        <w:gridCol w:w="889"/>
        <w:gridCol w:w="1104"/>
        <w:gridCol w:w="764"/>
        <w:gridCol w:w="889"/>
        <w:gridCol w:w="828"/>
        <w:gridCol w:w="70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Align w:val="center"/>
          </w:tcPr>
          <w:p>
            <w:pPr>
              <w:pStyle w:val="33"/>
            </w:pPr>
            <w:r>
              <w:t>日期</w:t>
            </w:r>
          </w:p>
        </w:tc>
        <w:tc>
          <w:tcPr>
            <w:tcW w:w="822" w:type="pct"/>
            <w:vAlign w:val="center"/>
          </w:tcPr>
          <w:p>
            <w:pPr>
              <w:pStyle w:val="33"/>
            </w:pPr>
            <w:r>
              <w:t>点  位</w:t>
            </w:r>
          </w:p>
        </w:tc>
        <w:tc>
          <w:tcPr>
            <w:tcW w:w="267" w:type="pct"/>
            <w:vAlign w:val="center"/>
          </w:tcPr>
          <w:p>
            <w:pPr>
              <w:pStyle w:val="33"/>
            </w:pPr>
            <w:r>
              <w:t>时段</w:t>
            </w:r>
          </w:p>
        </w:tc>
        <w:tc>
          <w:tcPr>
            <w:tcW w:w="529" w:type="pct"/>
            <w:vAlign w:val="center"/>
          </w:tcPr>
          <w:p>
            <w:pPr>
              <w:pStyle w:val="33"/>
            </w:pPr>
            <w:r>
              <w:t>Leq（A）</w:t>
            </w:r>
          </w:p>
        </w:tc>
        <w:tc>
          <w:tcPr>
            <w:tcW w:w="521" w:type="pct"/>
            <w:vAlign w:val="center"/>
          </w:tcPr>
          <w:p>
            <w:pPr>
              <w:pStyle w:val="33"/>
            </w:pPr>
            <w:r>
              <w:t>标准值</w:t>
            </w:r>
          </w:p>
        </w:tc>
        <w:tc>
          <w:tcPr>
            <w:tcW w:w="647" w:type="pct"/>
            <w:vAlign w:val="center"/>
          </w:tcPr>
          <w:p>
            <w:pPr>
              <w:pStyle w:val="33"/>
            </w:pPr>
            <w:r>
              <w:t>达标</w:t>
            </w:r>
          </w:p>
          <w:p>
            <w:pPr>
              <w:pStyle w:val="33"/>
            </w:pPr>
            <w:r>
              <w:t>情况</w:t>
            </w:r>
          </w:p>
        </w:tc>
        <w:tc>
          <w:tcPr>
            <w:tcW w:w="448" w:type="pct"/>
            <w:vAlign w:val="center"/>
          </w:tcPr>
          <w:p>
            <w:pPr>
              <w:pStyle w:val="33"/>
            </w:pPr>
            <w:r>
              <w:t>时段</w:t>
            </w:r>
          </w:p>
        </w:tc>
        <w:tc>
          <w:tcPr>
            <w:tcW w:w="521" w:type="pct"/>
            <w:vAlign w:val="center"/>
          </w:tcPr>
          <w:p>
            <w:pPr>
              <w:pStyle w:val="33"/>
            </w:pPr>
            <w:r>
              <w:t>Leq（A）</w:t>
            </w:r>
          </w:p>
        </w:tc>
        <w:tc>
          <w:tcPr>
            <w:tcW w:w="485" w:type="pct"/>
            <w:vAlign w:val="center"/>
          </w:tcPr>
          <w:p>
            <w:pPr>
              <w:pStyle w:val="33"/>
            </w:pPr>
            <w:r>
              <w:t>标准值</w:t>
            </w:r>
          </w:p>
        </w:tc>
        <w:tc>
          <w:tcPr>
            <w:tcW w:w="415" w:type="pct"/>
            <w:vAlign w:val="center"/>
          </w:tcPr>
          <w:p>
            <w:pPr>
              <w:pStyle w:val="33"/>
            </w:pPr>
            <w:r>
              <w:t>达标</w:t>
            </w:r>
          </w:p>
          <w:p>
            <w:pPr>
              <w:pStyle w:val="33"/>
            </w:pPr>
            <w:r>
              <w:t>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restart"/>
            <w:vAlign w:val="center"/>
          </w:tcPr>
          <w:p>
            <w:pPr>
              <w:pStyle w:val="33"/>
            </w:pPr>
            <w:r>
              <w:rPr>
                <w:rFonts w:hint="eastAsia"/>
              </w:rPr>
              <w:t>4</w:t>
            </w:r>
            <w:r>
              <w:t>月</w:t>
            </w:r>
            <w:r>
              <w:rPr>
                <w:rFonts w:hint="eastAsia"/>
              </w:rPr>
              <w:t>1</w:t>
            </w:r>
            <w:r>
              <w:t>日</w:t>
            </w:r>
          </w:p>
        </w:tc>
        <w:tc>
          <w:tcPr>
            <w:tcW w:w="1482" w:type="dxa"/>
          </w:tcPr>
          <w:p>
            <w:pPr>
              <w:pStyle w:val="32"/>
            </w:pPr>
            <w:r>
              <w:t>厂界</w:t>
            </w:r>
            <w:r>
              <w:rPr>
                <w:rFonts w:hint="eastAsia"/>
              </w:rPr>
              <w:t>东</w:t>
            </w:r>
            <w:r>
              <w:t>（</w:t>
            </w:r>
            <w:r>
              <w:rPr>
                <w:rFonts w:hint="eastAsia"/>
              </w:rPr>
              <w:t>N</w:t>
            </w:r>
            <w:r>
              <w:t>1）</w:t>
            </w:r>
          </w:p>
        </w:tc>
        <w:tc>
          <w:tcPr>
            <w:tcW w:w="267" w:type="pct"/>
            <w:vMerge w:val="restart"/>
            <w:vAlign w:val="center"/>
          </w:tcPr>
          <w:p>
            <w:pPr>
              <w:pStyle w:val="33"/>
            </w:pPr>
            <w:r>
              <w:t>昼间</w:t>
            </w:r>
          </w:p>
        </w:tc>
        <w:tc>
          <w:tcPr>
            <w:tcW w:w="529" w:type="pct"/>
            <w:vAlign w:val="center"/>
          </w:tcPr>
          <w:p>
            <w:pPr>
              <w:pStyle w:val="33"/>
            </w:pPr>
            <w:r>
              <w:rPr>
                <w:rFonts w:hint="eastAsia"/>
              </w:rPr>
              <w:t>51.4</w:t>
            </w:r>
          </w:p>
        </w:tc>
        <w:tc>
          <w:tcPr>
            <w:tcW w:w="521" w:type="pct"/>
            <w:vAlign w:val="center"/>
          </w:tcPr>
          <w:p>
            <w:pPr>
              <w:pStyle w:val="33"/>
            </w:pPr>
            <w:r>
              <w:t>65</w:t>
            </w:r>
          </w:p>
        </w:tc>
        <w:tc>
          <w:tcPr>
            <w:tcW w:w="647" w:type="pct"/>
            <w:vAlign w:val="center"/>
          </w:tcPr>
          <w:p>
            <w:pPr>
              <w:pStyle w:val="33"/>
            </w:pPr>
            <w:r>
              <w:t>达标</w:t>
            </w:r>
          </w:p>
        </w:tc>
        <w:tc>
          <w:tcPr>
            <w:tcW w:w="448" w:type="pct"/>
            <w:vMerge w:val="restart"/>
            <w:vAlign w:val="center"/>
          </w:tcPr>
          <w:p>
            <w:pPr>
              <w:pStyle w:val="33"/>
            </w:pPr>
            <w:r>
              <w:t>夜间</w:t>
            </w:r>
          </w:p>
        </w:tc>
        <w:tc>
          <w:tcPr>
            <w:tcW w:w="521" w:type="pct"/>
            <w:vAlign w:val="center"/>
          </w:tcPr>
          <w:p>
            <w:pPr>
              <w:pStyle w:val="33"/>
            </w:pPr>
            <w:r>
              <w:rPr>
                <w:rFonts w:hint="eastAsia"/>
              </w:rPr>
              <w:t>47.3</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continue"/>
            <w:vAlign w:val="center"/>
          </w:tcPr>
          <w:p>
            <w:pPr>
              <w:pStyle w:val="33"/>
            </w:pPr>
          </w:p>
        </w:tc>
        <w:tc>
          <w:tcPr>
            <w:tcW w:w="1482" w:type="dxa"/>
          </w:tcPr>
          <w:p>
            <w:pPr>
              <w:pStyle w:val="32"/>
            </w:pPr>
            <w:r>
              <w:t>厂界</w:t>
            </w:r>
            <w:r>
              <w:rPr>
                <w:rFonts w:hint="eastAsia"/>
              </w:rPr>
              <w:t>南</w:t>
            </w:r>
            <w:r>
              <w:t>（</w:t>
            </w:r>
            <w:r>
              <w:rPr>
                <w:rFonts w:hint="eastAsia"/>
              </w:rPr>
              <w:t>N</w:t>
            </w:r>
            <w:r>
              <w:t>2）</w:t>
            </w:r>
          </w:p>
        </w:tc>
        <w:tc>
          <w:tcPr>
            <w:tcW w:w="267" w:type="pct"/>
            <w:vMerge w:val="continue"/>
            <w:vAlign w:val="center"/>
          </w:tcPr>
          <w:p>
            <w:pPr>
              <w:pStyle w:val="33"/>
            </w:pPr>
          </w:p>
        </w:tc>
        <w:tc>
          <w:tcPr>
            <w:tcW w:w="529" w:type="pct"/>
            <w:vAlign w:val="center"/>
          </w:tcPr>
          <w:p>
            <w:pPr>
              <w:pStyle w:val="33"/>
            </w:pPr>
            <w:r>
              <w:rPr>
                <w:rFonts w:hint="eastAsia"/>
              </w:rPr>
              <w:t>47.6</w:t>
            </w:r>
          </w:p>
        </w:tc>
        <w:tc>
          <w:tcPr>
            <w:tcW w:w="521" w:type="pct"/>
            <w:vAlign w:val="center"/>
          </w:tcPr>
          <w:p>
            <w:pPr>
              <w:pStyle w:val="33"/>
            </w:pPr>
            <w:r>
              <w:t>65</w:t>
            </w:r>
          </w:p>
        </w:tc>
        <w:tc>
          <w:tcPr>
            <w:tcW w:w="647" w:type="pct"/>
            <w:vAlign w:val="center"/>
          </w:tcPr>
          <w:p>
            <w:pPr>
              <w:pStyle w:val="33"/>
            </w:pPr>
            <w:r>
              <w:t>达标</w:t>
            </w:r>
          </w:p>
        </w:tc>
        <w:tc>
          <w:tcPr>
            <w:tcW w:w="448" w:type="pct"/>
            <w:vMerge w:val="continue"/>
            <w:vAlign w:val="center"/>
          </w:tcPr>
          <w:p>
            <w:pPr>
              <w:pStyle w:val="33"/>
            </w:pPr>
          </w:p>
        </w:tc>
        <w:tc>
          <w:tcPr>
            <w:tcW w:w="521" w:type="pct"/>
            <w:vAlign w:val="center"/>
          </w:tcPr>
          <w:p>
            <w:pPr>
              <w:pStyle w:val="33"/>
            </w:pPr>
            <w:r>
              <w:rPr>
                <w:rFonts w:hint="eastAsia"/>
              </w:rPr>
              <w:t>41.5</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continue"/>
            <w:vAlign w:val="center"/>
          </w:tcPr>
          <w:p>
            <w:pPr>
              <w:pStyle w:val="33"/>
            </w:pPr>
          </w:p>
        </w:tc>
        <w:tc>
          <w:tcPr>
            <w:tcW w:w="1482" w:type="dxa"/>
          </w:tcPr>
          <w:p>
            <w:pPr>
              <w:pStyle w:val="32"/>
            </w:pPr>
            <w:r>
              <w:t>厂界</w:t>
            </w:r>
            <w:r>
              <w:rPr>
                <w:rFonts w:hint="eastAsia"/>
              </w:rPr>
              <w:t>西（N</w:t>
            </w:r>
            <w:r>
              <w:t>3）</w:t>
            </w:r>
          </w:p>
        </w:tc>
        <w:tc>
          <w:tcPr>
            <w:tcW w:w="267" w:type="pct"/>
            <w:vMerge w:val="continue"/>
            <w:vAlign w:val="center"/>
          </w:tcPr>
          <w:p>
            <w:pPr>
              <w:pStyle w:val="33"/>
            </w:pPr>
          </w:p>
        </w:tc>
        <w:tc>
          <w:tcPr>
            <w:tcW w:w="529" w:type="pct"/>
            <w:vAlign w:val="center"/>
          </w:tcPr>
          <w:p>
            <w:pPr>
              <w:pStyle w:val="33"/>
            </w:pPr>
            <w:r>
              <w:rPr>
                <w:rFonts w:hint="eastAsia"/>
              </w:rPr>
              <w:t>45.8</w:t>
            </w:r>
          </w:p>
        </w:tc>
        <w:tc>
          <w:tcPr>
            <w:tcW w:w="521" w:type="pct"/>
            <w:vAlign w:val="center"/>
          </w:tcPr>
          <w:p>
            <w:pPr>
              <w:pStyle w:val="33"/>
            </w:pPr>
            <w:r>
              <w:t>65</w:t>
            </w:r>
          </w:p>
        </w:tc>
        <w:tc>
          <w:tcPr>
            <w:tcW w:w="647" w:type="pct"/>
            <w:vAlign w:val="center"/>
          </w:tcPr>
          <w:p>
            <w:pPr>
              <w:pStyle w:val="33"/>
            </w:pPr>
            <w:r>
              <w:t>达标</w:t>
            </w:r>
          </w:p>
        </w:tc>
        <w:tc>
          <w:tcPr>
            <w:tcW w:w="448" w:type="pct"/>
            <w:vMerge w:val="continue"/>
            <w:vAlign w:val="center"/>
          </w:tcPr>
          <w:p>
            <w:pPr>
              <w:pStyle w:val="33"/>
            </w:pPr>
          </w:p>
        </w:tc>
        <w:tc>
          <w:tcPr>
            <w:tcW w:w="521" w:type="pct"/>
            <w:vAlign w:val="center"/>
          </w:tcPr>
          <w:p>
            <w:pPr>
              <w:pStyle w:val="33"/>
            </w:pPr>
            <w:r>
              <w:rPr>
                <w:rFonts w:hint="eastAsia"/>
              </w:rPr>
              <w:t>40.8</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continue"/>
            <w:vAlign w:val="center"/>
          </w:tcPr>
          <w:p>
            <w:pPr>
              <w:pStyle w:val="33"/>
            </w:pPr>
          </w:p>
        </w:tc>
        <w:tc>
          <w:tcPr>
            <w:tcW w:w="1482" w:type="dxa"/>
          </w:tcPr>
          <w:p>
            <w:pPr>
              <w:pStyle w:val="32"/>
            </w:pPr>
            <w:r>
              <w:t>厂界</w:t>
            </w:r>
            <w:r>
              <w:rPr>
                <w:rFonts w:hint="eastAsia"/>
              </w:rPr>
              <w:t>北</w:t>
            </w:r>
            <w:r>
              <w:t>（</w:t>
            </w:r>
            <w:r>
              <w:rPr>
                <w:rFonts w:hint="eastAsia"/>
              </w:rPr>
              <w:t>N</w:t>
            </w:r>
            <w:r>
              <w:t>4）</w:t>
            </w:r>
          </w:p>
        </w:tc>
        <w:tc>
          <w:tcPr>
            <w:tcW w:w="267" w:type="pct"/>
            <w:vMerge w:val="continue"/>
            <w:vAlign w:val="center"/>
          </w:tcPr>
          <w:p>
            <w:pPr>
              <w:pStyle w:val="33"/>
            </w:pPr>
          </w:p>
        </w:tc>
        <w:tc>
          <w:tcPr>
            <w:tcW w:w="529" w:type="pct"/>
            <w:vAlign w:val="center"/>
          </w:tcPr>
          <w:p>
            <w:pPr>
              <w:pStyle w:val="33"/>
            </w:pPr>
            <w:r>
              <w:rPr>
                <w:rFonts w:hint="eastAsia"/>
              </w:rPr>
              <w:t>53.1</w:t>
            </w:r>
          </w:p>
        </w:tc>
        <w:tc>
          <w:tcPr>
            <w:tcW w:w="521" w:type="pct"/>
            <w:vAlign w:val="center"/>
          </w:tcPr>
          <w:p>
            <w:pPr>
              <w:pStyle w:val="33"/>
            </w:pPr>
            <w:r>
              <w:t>65</w:t>
            </w:r>
          </w:p>
        </w:tc>
        <w:tc>
          <w:tcPr>
            <w:tcW w:w="647" w:type="pct"/>
            <w:vAlign w:val="center"/>
          </w:tcPr>
          <w:p>
            <w:pPr>
              <w:pStyle w:val="33"/>
            </w:pPr>
            <w:r>
              <w:t>达标</w:t>
            </w:r>
          </w:p>
        </w:tc>
        <w:tc>
          <w:tcPr>
            <w:tcW w:w="448" w:type="pct"/>
            <w:vMerge w:val="continue"/>
            <w:vAlign w:val="center"/>
          </w:tcPr>
          <w:p>
            <w:pPr>
              <w:pStyle w:val="33"/>
            </w:pPr>
          </w:p>
        </w:tc>
        <w:tc>
          <w:tcPr>
            <w:tcW w:w="521" w:type="pct"/>
            <w:vAlign w:val="center"/>
          </w:tcPr>
          <w:p>
            <w:pPr>
              <w:pStyle w:val="33"/>
            </w:pPr>
            <w:r>
              <w:rPr>
                <w:rFonts w:hint="eastAsia"/>
              </w:rPr>
              <w:t>48.2</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restart"/>
            <w:vAlign w:val="center"/>
          </w:tcPr>
          <w:p>
            <w:pPr>
              <w:pStyle w:val="33"/>
            </w:pPr>
            <w:r>
              <w:rPr>
                <w:rFonts w:hint="eastAsia"/>
              </w:rPr>
              <w:t>4</w:t>
            </w:r>
            <w:r>
              <w:t>月</w:t>
            </w:r>
            <w:r>
              <w:rPr>
                <w:rFonts w:hint="eastAsia"/>
              </w:rPr>
              <w:t>2</w:t>
            </w:r>
            <w:r>
              <w:t>日</w:t>
            </w:r>
          </w:p>
        </w:tc>
        <w:tc>
          <w:tcPr>
            <w:tcW w:w="1482" w:type="dxa"/>
          </w:tcPr>
          <w:p>
            <w:pPr>
              <w:pStyle w:val="32"/>
            </w:pPr>
            <w:r>
              <w:t>厂界</w:t>
            </w:r>
            <w:r>
              <w:rPr>
                <w:rFonts w:hint="eastAsia"/>
              </w:rPr>
              <w:t>东</w:t>
            </w:r>
            <w:r>
              <w:t>（</w:t>
            </w:r>
            <w:r>
              <w:rPr>
                <w:rFonts w:hint="eastAsia"/>
              </w:rPr>
              <w:t>N</w:t>
            </w:r>
            <w:r>
              <w:t>1）</w:t>
            </w:r>
          </w:p>
        </w:tc>
        <w:tc>
          <w:tcPr>
            <w:tcW w:w="267" w:type="pct"/>
            <w:vMerge w:val="restart"/>
            <w:vAlign w:val="center"/>
          </w:tcPr>
          <w:p>
            <w:pPr>
              <w:pStyle w:val="33"/>
            </w:pPr>
            <w:r>
              <w:t>昼间</w:t>
            </w:r>
          </w:p>
        </w:tc>
        <w:tc>
          <w:tcPr>
            <w:tcW w:w="529" w:type="pct"/>
            <w:vAlign w:val="center"/>
          </w:tcPr>
          <w:p>
            <w:pPr>
              <w:pStyle w:val="33"/>
            </w:pPr>
            <w:r>
              <w:rPr>
                <w:rFonts w:hint="eastAsia"/>
              </w:rPr>
              <w:t>50.4</w:t>
            </w:r>
          </w:p>
        </w:tc>
        <w:tc>
          <w:tcPr>
            <w:tcW w:w="521" w:type="pct"/>
            <w:vAlign w:val="center"/>
          </w:tcPr>
          <w:p>
            <w:pPr>
              <w:pStyle w:val="33"/>
            </w:pPr>
            <w:r>
              <w:t>65</w:t>
            </w:r>
          </w:p>
        </w:tc>
        <w:tc>
          <w:tcPr>
            <w:tcW w:w="647" w:type="pct"/>
            <w:vAlign w:val="center"/>
          </w:tcPr>
          <w:p>
            <w:pPr>
              <w:pStyle w:val="33"/>
            </w:pPr>
            <w:r>
              <w:t>达标</w:t>
            </w:r>
          </w:p>
        </w:tc>
        <w:tc>
          <w:tcPr>
            <w:tcW w:w="448" w:type="pct"/>
            <w:vMerge w:val="restart"/>
            <w:vAlign w:val="center"/>
          </w:tcPr>
          <w:p>
            <w:pPr>
              <w:pStyle w:val="33"/>
            </w:pPr>
            <w:r>
              <w:t>夜间</w:t>
            </w:r>
          </w:p>
        </w:tc>
        <w:tc>
          <w:tcPr>
            <w:tcW w:w="521" w:type="pct"/>
            <w:vAlign w:val="center"/>
          </w:tcPr>
          <w:p>
            <w:pPr>
              <w:pStyle w:val="33"/>
            </w:pPr>
            <w:r>
              <w:rPr>
                <w:rFonts w:hint="eastAsia"/>
              </w:rPr>
              <w:t>47.4</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continue"/>
            <w:vAlign w:val="center"/>
          </w:tcPr>
          <w:p>
            <w:pPr>
              <w:pStyle w:val="33"/>
            </w:pPr>
          </w:p>
        </w:tc>
        <w:tc>
          <w:tcPr>
            <w:tcW w:w="1482" w:type="dxa"/>
          </w:tcPr>
          <w:p>
            <w:pPr>
              <w:pStyle w:val="32"/>
            </w:pPr>
            <w:r>
              <w:t>厂界</w:t>
            </w:r>
            <w:r>
              <w:rPr>
                <w:rFonts w:hint="eastAsia"/>
              </w:rPr>
              <w:t>南</w:t>
            </w:r>
            <w:r>
              <w:t>（</w:t>
            </w:r>
            <w:r>
              <w:rPr>
                <w:rFonts w:hint="eastAsia"/>
              </w:rPr>
              <w:t>N</w:t>
            </w:r>
            <w:r>
              <w:t>2）</w:t>
            </w:r>
          </w:p>
        </w:tc>
        <w:tc>
          <w:tcPr>
            <w:tcW w:w="267" w:type="pct"/>
            <w:vMerge w:val="continue"/>
            <w:vAlign w:val="center"/>
          </w:tcPr>
          <w:p>
            <w:pPr>
              <w:pStyle w:val="33"/>
            </w:pPr>
          </w:p>
        </w:tc>
        <w:tc>
          <w:tcPr>
            <w:tcW w:w="529" w:type="pct"/>
            <w:vAlign w:val="center"/>
          </w:tcPr>
          <w:p>
            <w:pPr>
              <w:pStyle w:val="33"/>
            </w:pPr>
            <w:r>
              <w:rPr>
                <w:rFonts w:hint="eastAsia"/>
              </w:rPr>
              <w:t>47.0</w:t>
            </w:r>
          </w:p>
        </w:tc>
        <w:tc>
          <w:tcPr>
            <w:tcW w:w="521" w:type="pct"/>
            <w:vAlign w:val="center"/>
          </w:tcPr>
          <w:p>
            <w:pPr>
              <w:pStyle w:val="33"/>
            </w:pPr>
            <w:r>
              <w:t>65</w:t>
            </w:r>
          </w:p>
        </w:tc>
        <w:tc>
          <w:tcPr>
            <w:tcW w:w="647" w:type="pct"/>
            <w:vAlign w:val="center"/>
          </w:tcPr>
          <w:p>
            <w:pPr>
              <w:pStyle w:val="33"/>
            </w:pPr>
            <w:r>
              <w:t>达标</w:t>
            </w:r>
          </w:p>
        </w:tc>
        <w:tc>
          <w:tcPr>
            <w:tcW w:w="448" w:type="pct"/>
            <w:vMerge w:val="continue"/>
            <w:vAlign w:val="center"/>
          </w:tcPr>
          <w:p>
            <w:pPr>
              <w:pStyle w:val="33"/>
            </w:pPr>
          </w:p>
        </w:tc>
        <w:tc>
          <w:tcPr>
            <w:tcW w:w="521" w:type="pct"/>
            <w:vAlign w:val="center"/>
          </w:tcPr>
          <w:p>
            <w:pPr>
              <w:pStyle w:val="33"/>
            </w:pPr>
            <w:r>
              <w:rPr>
                <w:rFonts w:hint="eastAsia"/>
              </w:rPr>
              <w:t>42.6</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continue"/>
            <w:vAlign w:val="center"/>
          </w:tcPr>
          <w:p>
            <w:pPr>
              <w:pStyle w:val="33"/>
            </w:pPr>
          </w:p>
        </w:tc>
        <w:tc>
          <w:tcPr>
            <w:tcW w:w="1482" w:type="dxa"/>
          </w:tcPr>
          <w:p>
            <w:pPr>
              <w:pStyle w:val="32"/>
            </w:pPr>
            <w:r>
              <w:t>厂界</w:t>
            </w:r>
            <w:r>
              <w:rPr>
                <w:rFonts w:hint="eastAsia"/>
              </w:rPr>
              <w:t>西（N</w:t>
            </w:r>
            <w:r>
              <w:t>3）</w:t>
            </w:r>
          </w:p>
        </w:tc>
        <w:tc>
          <w:tcPr>
            <w:tcW w:w="267" w:type="pct"/>
            <w:vMerge w:val="continue"/>
            <w:vAlign w:val="center"/>
          </w:tcPr>
          <w:p>
            <w:pPr>
              <w:pStyle w:val="33"/>
            </w:pPr>
          </w:p>
        </w:tc>
        <w:tc>
          <w:tcPr>
            <w:tcW w:w="529" w:type="pct"/>
            <w:vAlign w:val="center"/>
          </w:tcPr>
          <w:p>
            <w:pPr>
              <w:pStyle w:val="33"/>
            </w:pPr>
            <w:r>
              <w:rPr>
                <w:rFonts w:hint="eastAsia"/>
              </w:rPr>
              <w:t>48.0</w:t>
            </w:r>
          </w:p>
        </w:tc>
        <w:tc>
          <w:tcPr>
            <w:tcW w:w="521" w:type="pct"/>
            <w:vAlign w:val="center"/>
          </w:tcPr>
          <w:p>
            <w:pPr>
              <w:pStyle w:val="33"/>
            </w:pPr>
            <w:r>
              <w:t>65</w:t>
            </w:r>
          </w:p>
        </w:tc>
        <w:tc>
          <w:tcPr>
            <w:tcW w:w="647" w:type="pct"/>
            <w:vAlign w:val="center"/>
          </w:tcPr>
          <w:p>
            <w:pPr>
              <w:pStyle w:val="33"/>
            </w:pPr>
            <w:r>
              <w:t>达标</w:t>
            </w:r>
          </w:p>
        </w:tc>
        <w:tc>
          <w:tcPr>
            <w:tcW w:w="448" w:type="pct"/>
            <w:vMerge w:val="continue"/>
            <w:vAlign w:val="center"/>
          </w:tcPr>
          <w:p>
            <w:pPr>
              <w:pStyle w:val="33"/>
            </w:pPr>
          </w:p>
        </w:tc>
        <w:tc>
          <w:tcPr>
            <w:tcW w:w="521" w:type="pct"/>
            <w:vAlign w:val="center"/>
          </w:tcPr>
          <w:p>
            <w:pPr>
              <w:pStyle w:val="33"/>
            </w:pPr>
            <w:r>
              <w:rPr>
                <w:rFonts w:hint="eastAsia"/>
              </w:rPr>
              <w:t>41.4</w:t>
            </w:r>
          </w:p>
        </w:tc>
        <w:tc>
          <w:tcPr>
            <w:tcW w:w="485" w:type="pct"/>
            <w:vAlign w:val="center"/>
          </w:tcPr>
          <w:p>
            <w:pPr>
              <w:pStyle w:val="33"/>
            </w:pPr>
            <w:r>
              <w:t>55</w:t>
            </w:r>
          </w:p>
        </w:tc>
        <w:tc>
          <w:tcPr>
            <w:tcW w:w="415" w:type="pct"/>
            <w:vAlign w:val="center"/>
          </w:tcPr>
          <w:p>
            <w:pPr>
              <w:pStyle w:val="33"/>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339" w:type="pct"/>
            <w:vMerge w:val="continue"/>
            <w:vAlign w:val="center"/>
          </w:tcPr>
          <w:p>
            <w:pPr>
              <w:pStyle w:val="33"/>
            </w:pPr>
          </w:p>
        </w:tc>
        <w:tc>
          <w:tcPr>
            <w:tcW w:w="1482" w:type="dxa"/>
          </w:tcPr>
          <w:p>
            <w:pPr>
              <w:pStyle w:val="32"/>
            </w:pPr>
            <w:r>
              <w:t>厂界</w:t>
            </w:r>
            <w:r>
              <w:rPr>
                <w:rFonts w:hint="eastAsia"/>
              </w:rPr>
              <w:t>北</w:t>
            </w:r>
            <w:r>
              <w:t>（</w:t>
            </w:r>
            <w:r>
              <w:rPr>
                <w:rFonts w:hint="eastAsia"/>
              </w:rPr>
              <w:t>N</w:t>
            </w:r>
            <w:r>
              <w:t>4）</w:t>
            </w:r>
          </w:p>
        </w:tc>
        <w:tc>
          <w:tcPr>
            <w:tcW w:w="267" w:type="pct"/>
            <w:vMerge w:val="continue"/>
            <w:vAlign w:val="center"/>
          </w:tcPr>
          <w:p>
            <w:pPr>
              <w:pStyle w:val="33"/>
            </w:pPr>
          </w:p>
        </w:tc>
        <w:tc>
          <w:tcPr>
            <w:tcW w:w="529" w:type="pct"/>
            <w:vAlign w:val="center"/>
          </w:tcPr>
          <w:p>
            <w:pPr>
              <w:pStyle w:val="33"/>
            </w:pPr>
            <w:r>
              <w:rPr>
                <w:rFonts w:hint="eastAsia"/>
              </w:rPr>
              <w:t>52.4</w:t>
            </w:r>
          </w:p>
        </w:tc>
        <w:tc>
          <w:tcPr>
            <w:tcW w:w="521" w:type="pct"/>
            <w:vAlign w:val="center"/>
          </w:tcPr>
          <w:p>
            <w:pPr>
              <w:pStyle w:val="33"/>
            </w:pPr>
            <w:r>
              <w:t>65</w:t>
            </w:r>
          </w:p>
        </w:tc>
        <w:tc>
          <w:tcPr>
            <w:tcW w:w="647" w:type="pct"/>
            <w:vAlign w:val="center"/>
          </w:tcPr>
          <w:p>
            <w:pPr>
              <w:pStyle w:val="33"/>
            </w:pPr>
            <w:r>
              <w:t>达标</w:t>
            </w:r>
          </w:p>
        </w:tc>
        <w:tc>
          <w:tcPr>
            <w:tcW w:w="448" w:type="pct"/>
            <w:vMerge w:val="continue"/>
            <w:vAlign w:val="center"/>
          </w:tcPr>
          <w:p>
            <w:pPr>
              <w:pStyle w:val="33"/>
            </w:pPr>
          </w:p>
        </w:tc>
        <w:tc>
          <w:tcPr>
            <w:tcW w:w="521" w:type="pct"/>
            <w:vAlign w:val="center"/>
          </w:tcPr>
          <w:p>
            <w:pPr>
              <w:pStyle w:val="33"/>
            </w:pPr>
            <w:r>
              <w:rPr>
                <w:rFonts w:hint="eastAsia"/>
              </w:rPr>
              <w:t>49.1</w:t>
            </w:r>
          </w:p>
        </w:tc>
        <w:tc>
          <w:tcPr>
            <w:tcW w:w="485" w:type="pct"/>
            <w:vAlign w:val="center"/>
          </w:tcPr>
          <w:p>
            <w:pPr>
              <w:pStyle w:val="33"/>
            </w:pPr>
            <w:r>
              <w:t>55</w:t>
            </w:r>
          </w:p>
        </w:tc>
        <w:tc>
          <w:tcPr>
            <w:tcW w:w="415" w:type="pct"/>
            <w:vAlign w:val="center"/>
          </w:tcPr>
          <w:p>
            <w:pPr>
              <w:pStyle w:val="33"/>
            </w:pPr>
            <w:r>
              <w:t>达标</w:t>
            </w:r>
          </w:p>
        </w:tc>
      </w:tr>
    </w:tbl>
    <w:p>
      <w:pPr>
        <w:pStyle w:val="7"/>
        <w:ind w:firstLine="480"/>
      </w:pPr>
      <w:r>
        <w:t>从表</w:t>
      </w:r>
      <w:r>
        <w:rPr>
          <w:rFonts w:hint="eastAsia"/>
        </w:rPr>
        <w:t>5.3-17</w:t>
      </w:r>
      <w:r>
        <w:t>可以看出，</w:t>
      </w:r>
      <w:r>
        <w:rPr>
          <w:rFonts w:hint="eastAsia"/>
        </w:rPr>
        <w:t>项目厂区</w:t>
      </w:r>
      <w:r>
        <w:t>昼、夜间噪声监测值（GB3096-2008）《声环境质量标准》3类区标准要求。</w:t>
      </w:r>
    </w:p>
    <w:p>
      <w:pPr>
        <w:pStyle w:val="31"/>
      </w:pPr>
      <w:r>
        <w:t>表</w:t>
      </w:r>
      <w:r>
        <w:rPr>
          <w:rFonts w:hint="eastAsia"/>
        </w:rPr>
        <w:t>5.3-</w:t>
      </w:r>
      <w:r>
        <w:rPr>
          <w:rFonts w:hint="eastAsia"/>
          <w:lang w:val="en-US" w:eastAsia="zh-CN"/>
        </w:rPr>
        <w:t>21</w:t>
      </w:r>
      <w:r>
        <w:t xml:space="preserve"> 关心点噪声监测结果</w:t>
      </w:r>
    </w:p>
    <w:tbl>
      <w:tblPr>
        <w:tblStyle w:val="27"/>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53"/>
        <w:gridCol w:w="979"/>
        <w:gridCol w:w="826"/>
        <w:gridCol w:w="828"/>
        <w:gridCol w:w="826"/>
        <w:gridCol w:w="966"/>
        <w:gridCol w:w="688"/>
        <w:gridCol w:w="828"/>
        <w:gridCol w:w="764"/>
        <w:gridCol w:w="76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69" w:hRule="atLeast"/>
          <w:jc w:val="center"/>
        </w:trPr>
        <w:tc>
          <w:tcPr>
            <w:tcW w:w="618" w:type="pct"/>
            <w:vAlign w:val="center"/>
          </w:tcPr>
          <w:p>
            <w:pPr>
              <w:pStyle w:val="32"/>
            </w:pPr>
            <w:r>
              <w:t>日期</w:t>
            </w:r>
          </w:p>
        </w:tc>
        <w:tc>
          <w:tcPr>
            <w:tcW w:w="574" w:type="pct"/>
            <w:vAlign w:val="center"/>
          </w:tcPr>
          <w:p>
            <w:pPr>
              <w:pStyle w:val="32"/>
            </w:pPr>
            <w:r>
              <w:t>点  位</w:t>
            </w:r>
          </w:p>
        </w:tc>
        <w:tc>
          <w:tcPr>
            <w:tcW w:w="484" w:type="pct"/>
            <w:vAlign w:val="center"/>
          </w:tcPr>
          <w:p>
            <w:pPr>
              <w:pStyle w:val="32"/>
            </w:pPr>
            <w:r>
              <w:t>时段</w:t>
            </w:r>
          </w:p>
        </w:tc>
        <w:tc>
          <w:tcPr>
            <w:tcW w:w="485" w:type="pct"/>
            <w:vAlign w:val="center"/>
          </w:tcPr>
          <w:p>
            <w:pPr>
              <w:pStyle w:val="32"/>
            </w:pPr>
            <w:r>
              <w:t>Leq（A）</w:t>
            </w:r>
          </w:p>
        </w:tc>
        <w:tc>
          <w:tcPr>
            <w:tcW w:w="484" w:type="pct"/>
            <w:vAlign w:val="center"/>
          </w:tcPr>
          <w:p>
            <w:pPr>
              <w:pStyle w:val="32"/>
            </w:pPr>
            <w:r>
              <w:t>标准值</w:t>
            </w:r>
          </w:p>
        </w:tc>
        <w:tc>
          <w:tcPr>
            <w:tcW w:w="566" w:type="pct"/>
            <w:vAlign w:val="center"/>
          </w:tcPr>
          <w:p>
            <w:pPr>
              <w:pStyle w:val="32"/>
            </w:pPr>
            <w:r>
              <w:t>达标</w:t>
            </w:r>
          </w:p>
          <w:p>
            <w:pPr>
              <w:pStyle w:val="32"/>
            </w:pPr>
            <w:r>
              <w:t>情况</w:t>
            </w:r>
          </w:p>
        </w:tc>
        <w:tc>
          <w:tcPr>
            <w:tcW w:w="403" w:type="pct"/>
            <w:vAlign w:val="center"/>
          </w:tcPr>
          <w:p>
            <w:pPr>
              <w:pStyle w:val="32"/>
            </w:pPr>
            <w:r>
              <w:t>时段</w:t>
            </w:r>
          </w:p>
        </w:tc>
        <w:tc>
          <w:tcPr>
            <w:tcW w:w="485" w:type="pct"/>
            <w:vAlign w:val="center"/>
          </w:tcPr>
          <w:p>
            <w:pPr>
              <w:pStyle w:val="32"/>
            </w:pPr>
            <w:r>
              <w:t>Leq（A）</w:t>
            </w:r>
          </w:p>
        </w:tc>
        <w:tc>
          <w:tcPr>
            <w:tcW w:w="448" w:type="pct"/>
            <w:vAlign w:val="center"/>
          </w:tcPr>
          <w:p>
            <w:pPr>
              <w:pStyle w:val="32"/>
            </w:pPr>
            <w:r>
              <w:t>标准值</w:t>
            </w:r>
          </w:p>
        </w:tc>
        <w:tc>
          <w:tcPr>
            <w:tcW w:w="448" w:type="pct"/>
            <w:vAlign w:val="center"/>
          </w:tcPr>
          <w:p>
            <w:pPr>
              <w:pStyle w:val="32"/>
            </w:pPr>
            <w:r>
              <w:t>达标</w:t>
            </w:r>
          </w:p>
          <w:p>
            <w:pPr>
              <w:pStyle w:val="32"/>
            </w:pPr>
            <w:r>
              <w:t>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18" w:type="pct"/>
            <w:vAlign w:val="center"/>
          </w:tcPr>
          <w:p>
            <w:pPr>
              <w:pStyle w:val="32"/>
            </w:pPr>
            <w:r>
              <w:rPr>
                <w:rFonts w:hint="eastAsia"/>
              </w:rPr>
              <w:t>4</w:t>
            </w:r>
            <w:r>
              <w:t>月</w:t>
            </w:r>
            <w:r>
              <w:rPr>
                <w:rFonts w:hint="eastAsia"/>
              </w:rPr>
              <w:t>1</w:t>
            </w:r>
            <w:r>
              <w:t>日</w:t>
            </w:r>
          </w:p>
        </w:tc>
        <w:tc>
          <w:tcPr>
            <w:tcW w:w="574" w:type="pct"/>
            <w:vMerge w:val="restart"/>
            <w:vAlign w:val="center"/>
          </w:tcPr>
          <w:p>
            <w:pPr>
              <w:pStyle w:val="32"/>
            </w:pPr>
            <w:r>
              <w:t>N</w:t>
            </w:r>
            <w:r>
              <w:rPr>
                <w:rFonts w:hint="eastAsia"/>
              </w:rPr>
              <w:t>5</w:t>
            </w:r>
            <w:r>
              <w:t>#</w:t>
            </w:r>
            <w:r>
              <w:rPr>
                <w:rFonts w:hint="eastAsia"/>
              </w:rPr>
              <w:t>布标村</w:t>
            </w:r>
          </w:p>
        </w:tc>
        <w:tc>
          <w:tcPr>
            <w:tcW w:w="484" w:type="pct"/>
            <w:vMerge w:val="restart"/>
            <w:vAlign w:val="center"/>
          </w:tcPr>
          <w:p>
            <w:pPr>
              <w:pStyle w:val="32"/>
            </w:pPr>
            <w:r>
              <w:t>昼间</w:t>
            </w:r>
          </w:p>
        </w:tc>
        <w:tc>
          <w:tcPr>
            <w:tcW w:w="485" w:type="pct"/>
            <w:vAlign w:val="center"/>
          </w:tcPr>
          <w:p>
            <w:pPr>
              <w:pStyle w:val="32"/>
            </w:pPr>
            <w:r>
              <w:rPr>
                <w:rFonts w:hint="eastAsia"/>
              </w:rPr>
              <w:t>44.7</w:t>
            </w:r>
          </w:p>
        </w:tc>
        <w:tc>
          <w:tcPr>
            <w:tcW w:w="484" w:type="pct"/>
            <w:vAlign w:val="center"/>
          </w:tcPr>
          <w:p>
            <w:pPr>
              <w:pStyle w:val="32"/>
            </w:pPr>
            <w:r>
              <w:t>60</w:t>
            </w:r>
          </w:p>
        </w:tc>
        <w:tc>
          <w:tcPr>
            <w:tcW w:w="566" w:type="pct"/>
            <w:vAlign w:val="center"/>
          </w:tcPr>
          <w:p>
            <w:pPr>
              <w:pStyle w:val="32"/>
            </w:pPr>
            <w:r>
              <w:t>达标</w:t>
            </w:r>
          </w:p>
        </w:tc>
        <w:tc>
          <w:tcPr>
            <w:tcW w:w="403" w:type="pct"/>
            <w:vMerge w:val="restart"/>
            <w:vAlign w:val="center"/>
          </w:tcPr>
          <w:p>
            <w:pPr>
              <w:pStyle w:val="32"/>
            </w:pPr>
            <w:r>
              <w:t>夜间</w:t>
            </w:r>
          </w:p>
        </w:tc>
        <w:tc>
          <w:tcPr>
            <w:tcW w:w="485" w:type="pct"/>
            <w:vAlign w:val="center"/>
          </w:tcPr>
          <w:p>
            <w:pPr>
              <w:pStyle w:val="32"/>
            </w:pPr>
            <w:r>
              <w:rPr>
                <w:rFonts w:hint="eastAsia"/>
              </w:rPr>
              <w:t>39.4</w:t>
            </w:r>
          </w:p>
        </w:tc>
        <w:tc>
          <w:tcPr>
            <w:tcW w:w="448" w:type="pct"/>
            <w:vAlign w:val="center"/>
          </w:tcPr>
          <w:p>
            <w:pPr>
              <w:pStyle w:val="32"/>
            </w:pPr>
            <w:r>
              <w:t>50</w:t>
            </w:r>
          </w:p>
        </w:tc>
        <w:tc>
          <w:tcPr>
            <w:tcW w:w="448" w:type="pct"/>
            <w:vAlign w:val="center"/>
          </w:tcPr>
          <w:p>
            <w:pPr>
              <w:pStyle w:val="32"/>
            </w:pPr>
            <w: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18" w:type="pct"/>
            <w:vAlign w:val="center"/>
          </w:tcPr>
          <w:p>
            <w:pPr>
              <w:pStyle w:val="32"/>
            </w:pPr>
            <w:r>
              <w:rPr>
                <w:rFonts w:hint="eastAsia"/>
              </w:rPr>
              <w:t>4</w:t>
            </w:r>
            <w:r>
              <w:t>月</w:t>
            </w:r>
            <w:r>
              <w:rPr>
                <w:rFonts w:hint="eastAsia"/>
              </w:rPr>
              <w:t>2</w:t>
            </w:r>
            <w:r>
              <w:t>日</w:t>
            </w:r>
          </w:p>
        </w:tc>
        <w:tc>
          <w:tcPr>
            <w:tcW w:w="574" w:type="pct"/>
            <w:vMerge w:val="continue"/>
            <w:vAlign w:val="center"/>
          </w:tcPr>
          <w:p>
            <w:pPr>
              <w:pStyle w:val="32"/>
            </w:pPr>
          </w:p>
        </w:tc>
        <w:tc>
          <w:tcPr>
            <w:tcW w:w="484" w:type="pct"/>
            <w:vMerge w:val="continue"/>
            <w:vAlign w:val="center"/>
          </w:tcPr>
          <w:p>
            <w:pPr>
              <w:pStyle w:val="32"/>
            </w:pPr>
          </w:p>
        </w:tc>
        <w:tc>
          <w:tcPr>
            <w:tcW w:w="485" w:type="pct"/>
            <w:vAlign w:val="center"/>
          </w:tcPr>
          <w:p>
            <w:pPr>
              <w:pStyle w:val="32"/>
            </w:pPr>
            <w:r>
              <w:rPr>
                <w:rFonts w:hint="eastAsia"/>
              </w:rPr>
              <w:t>46.7</w:t>
            </w:r>
          </w:p>
        </w:tc>
        <w:tc>
          <w:tcPr>
            <w:tcW w:w="484" w:type="pct"/>
            <w:vAlign w:val="center"/>
          </w:tcPr>
          <w:p>
            <w:pPr>
              <w:pStyle w:val="32"/>
            </w:pPr>
            <w:r>
              <w:t>60</w:t>
            </w:r>
          </w:p>
        </w:tc>
        <w:tc>
          <w:tcPr>
            <w:tcW w:w="566" w:type="pct"/>
            <w:vAlign w:val="center"/>
          </w:tcPr>
          <w:p>
            <w:pPr>
              <w:pStyle w:val="32"/>
            </w:pPr>
            <w:r>
              <w:t>达标</w:t>
            </w:r>
          </w:p>
        </w:tc>
        <w:tc>
          <w:tcPr>
            <w:tcW w:w="403" w:type="pct"/>
            <w:vMerge w:val="continue"/>
            <w:vAlign w:val="center"/>
          </w:tcPr>
          <w:p>
            <w:pPr>
              <w:pStyle w:val="32"/>
            </w:pPr>
          </w:p>
        </w:tc>
        <w:tc>
          <w:tcPr>
            <w:tcW w:w="485" w:type="pct"/>
            <w:vAlign w:val="center"/>
          </w:tcPr>
          <w:p>
            <w:pPr>
              <w:pStyle w:val="32"/>
            </w:pPr>
            <w:r>
              <w:rPr>
                <w:rFonts w:hint="eastAsia"/>
              </w:rPr>
              <w:t>40.4</w:t>
            </w:r>
          </w:p>
        </w:tc>
        <w:tc>
          <w:tcPr>
            <w:tcW w:w="448" w:type="pct"/>
            <w:vAlign w:val="center"/>
          </w:tcPr>
          <w:p>
            <w:pPr>
              <w:pStyle w:val="32"/>
            </w:pPr>
            <w:r>
              <w:t>50</w:t>
            </w:r>
          </w:p>
        </w:tc>
        <w:tc>
          <w:tcPr>
            <w:tcW w:w="448" w:type="pct"/>
            <w:vAlign w:val="center"/>
          </w:tcPr>
          <w:p>
            <w:pPr>
              <w:pStyle w:val="32"/>
            </w:pPr>
            <w:r>
              <w:t>达标</w:t>
            </w:r>
          </w:p>
        </w:tc>
      </w:tr>
    </w:tbl>
    <w:p>
      <w:pPr>
        <w:pStyle w:val="7"/>
        <w:ind w:firstLine="480"/>
      </w:pPr>
      <w:r>
        <w:t>从表</w:t>
      </w:r>
      <w:r>
        <w:rPr>
          <w:rFonts w:hint="eastAsia"/>
        </w:rPr>
        <w:t>5.3-</w:t>
      </w:r>
      <w:r>
        <w:rPr>
          <w:rFonts w:hint="eastAsia"/>
          <w:lang w:val="en-US" w:eastAsia="zh-CN"/>
        </w:rPr>
        <w:t>21</w:t>
      </w:r>
      <w:r>
        <w:t>可以看出，</w:t>
      </w:r>
      <w:r>
        <w:rPr>
          <w:rFonts w:hint="eastAsia"/>
        </w:rPr>
        <w:t>布标村</w:t>
      </w:r>
      <w:r>
        <w:t>昼、夜间噪声监测值均（GB3096-2008）《声环境质量标准》2类区标准要求。</w:t>
      </w:r>
    </w:p>
    <w:p>
      <w:pPr>
        <w:pStyle w:val="8"/>
      </w:pPr>
      <w:r>
        <w:rPr>
          <w:rFonts w:hint="eastAsia"/>
        </w:rPr>
        <w:t>5.3.5土壤环境质量现状评价</w:t>
      </w:r>
    </w:p>
    <w:p>
      <w:pPr>
        <w:pStyle w:val="7"/>
        <w:ind w:firstLine="480"/>
        <w:rPr>
          <w:bCs/>
        </w:rPr>
      </w:pPr>
      <w:r>
        <w:rPr>
          <w:rFonts w:hint="eastAsia"/>
        </w:rPr>
        <w:t>本项目</w:t>
      </w:r>
      <w:r>
        <w:rPr>
          <w:rFonts w:hint="eastAsia"/>
          <w:lang w:val="en-US" w:eastAsia="zh-CN"/>
        </w:rPr>
        <w:t>厂址</w:t>
      </w:r>
      <w:r>
        <w:rPr>
          <w:rFonts w:hint="eastAsia"/>
        </w:rPr>
        <w:t>原为云南创新合金有限公司“年产10万吨铝合金导线项目”建设用地</w:t>
      </w:r>
      <w:r>
        <w:rPr>
          <w:rFonts w:hint="eastAsia"/>
          <w:lang w:eastAsia="zh-CN"/>
        </w:rPr>
        <w:t>，</w:t>
      </w:r>
      <w:r>
        <w:rPr>
          <w:rFonts w:hint="eastAsia"/>
          <w:lang w:val="en-US" w:eastAsia="zh-CN"/>
        </w:rPr>
        <w:t>该项目还未投入建设，厂址现状为空地。本次土壤环境质量现状评价引用</w:t>
      </w:r>
      <w:r>
        <w:rPr>
          <w:rFonts w:hint="eastAsia"/>
        </w:rPr>
        <w:t>《年产10万吨铝合金导线项目环境影响报告书》</w:t>
      </w:r>
      <w:r>
        <w:rPr>
          <w:rFonts w:hint="eastAsia"/>
          <w:lang w:val="en-US" w:eastAsia="zh-CN"/>
        </w:rPr>
        <w:t>中土壤环境监测数据</w:t>
      </w:r>
      <w:r>
        <w:rPr>
          <w:rFonts w:hint="eastAsia"/>
          <w:lang w:eastAsia="zh-CN"/>
        </w:rPr>
        <w:t>。</w:t>
      </w:r>
      <w:r>
        <w:rPr>
          <w:rFonts w:hint="eastAsia"/>
          <w:lang w:val="en-US" w:eastAsia="zh-CN"/>
        </w:rPr>
        <w:t>该报告中</w:t>
      </w:r>
      <w:r>
        <w:rPr>
          <w:rFonts w:hint="eastAsia"/>
        </w:rPr>
        <w:t>云南创新合金有限公司</w:t>
      </w:r>
      <w:r>
        <w:rPr>
          <w:rFonts w:hint="eastAsia"/>
          <w:lang w:val="en-US" w:eastAsia="zh-CN"/>
        </w:rPr>
        <w:t>委托</w:t>
      </w:r>
      <w:r>
        <w:rPr>
          <w:rFonts w:hint="eastAsia"/>
          <w:kern w:val="0"/>
        </w:rPr>
        <w:t>云南地矿环境检测中心</w:t>
      </w:r>
      <w:r>
        <w:rPr>
          <w:bCs/>
        </w:rPr>
        <w:t>于2020年3月25日对项目所处区域土壤环境质量现状进行了一期监测。</w:t>
      </w:r>
    </w:p>
    <w:p>
      <w:pPr>
        <w:pStyle w:val="7"/>
        <w:numPr>
          <w:ilvl w:val="0"/>
          <w:numId w:val="9"/>
        </w:numPr>
        <w:ind w:firstLine="482"/>
        <w:rPr>
          <w:b/>
          <w:bCs/>
          <w:kern w:val="0"/>
        </w:rPr>
      </w:pPr>
      <w:r>
        <w:rPr>
          <w:b/>
          <w:bCs/>
          <w:kern w:val="0"/>
        </w:rPr>
        <w:t>监测布点</w:t>
      </w:r>
    </w:p>
    <w:p>
      <w:pPr>
        <w:pStyle w:val="7"/>
        <w:ind w:firstLine="480"/>
      </w:pPr>
      <w:r>
        <w:t>布设6个土壤取样点，</w:t>
      </w:r>
      <w:r>
        <w:rPr>
          <w:rFonts w:hint="eastAsia"/>
        </w:rPr>
        <w:t>厂区范围内南侧（1#柱状）、北侧（3#柱状）、东侧（4#表层）；厂区中心（2#柱状）；厂界上风向200米处（5#表层）、厂界下风向200米处（6#表层）；</w:t>
      </w:r>
      <w:r>
        <w:t>监测点位详见表</w:t>
      </w:r>
      <w:r>
        <w:rPr>
          <w:rFonts w:hint="eastAsia"/>
        </w:rPr>
        <w:t>5.3-</w:t>
      </w:r>
      <w:r>
        <w:rPr>
          <w:rFonts w:hint="eastAsia"/>
          <w:lang w:val="en-US" w:eastAsia="zh-CN"/>
        </w:rPr>
        <w:t>22</w:t>
      </w:r>
      <w:r>
        <w:t>。</w:t>
      </w:r>
    </w:p>
    <w:p>
      <w:pPr>
        <w:pStyle w:val="31"/>
        <w:rPr>
          <w:kern w:val="0"/>
        </w:rPr>
      </w:pPr>
      <w:r>
        <w:t>表</w:t>
      </w:r>
      <w:r>
        <w:rPr>
          <w:rFonts w:hint="eastAsia"/>
        </w:rPr>
        <w:t>5.3-</w:t>
      </w:r>
      <w:r>
        <w:rPr>
          <w:rFonts w:hint="eastAsia"/>
          <w:lang w:val="en-US" w:eastAsia="zh-CN"/>
        </w:rPr>
        <w:t>22</w:t>
      </w:r>
      <w:r>
        <w:t xml:space="preserve">  土壤监测布点表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0"/>
        <w:gridCol w:w="2196"/>
        <w:gridCol w:w="3169"/>
        <w:gridCol w:w="1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968" w:type="pct"/>
            <w:vAlign w:val="center"/>
          </w:tcPr>
          <w:p>
            <w:pPr>
              <w:pStyle w:val="32"/>
            </w:pPr>
            <w:r>
              <w:t>点位</w:t>
            </w:r>
          </w:p>
        </w:tc>
        <w:tc>
          <w:tcPr>
            <w:tcW w:w="1288" w:type="pct"/>
            <w:vAlign w:val="center"/>
          </w:tcPr>
          <w:p>
            <w:pPr>
              <w:pStyle w:val="32"/>
            </w:pPr>
            <w:r>
              <w:t>监测点名称</w:t>
            </w:r>
          </w:p>
        </w:tc>
        <w:tc>
          <w:tcPr>
            <w:tcW w:w="1859" w:type="pct"/>
          </w:tcPr>
          <w:p>
            <w:pPr>
              <w:pStyle w:val="32"/>
            </w:pPr>
            <w:r>
              <w:t>采样点</w:t>
            </w:r>
          </w:p>
        </w:tc>
        <w:tc>
          <w:tcPr>
            <w:tcW w:w="884" w:type="pct"/>
          </w:tcPr>
          <w:p>
            <w:pPr>
              <w:pStyle w:val="32"/>
            </w:pPr>
            <w:r>
              <w:rPr>
                <w:rFonts w:hint="eastAsia"/>
              </w:rPr>
              <w:t>土地性质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 w:type="pct"/>
            <w:vAlign w:val="center"/>
          </w:tcPr>
          <w:p>
            <w:pPr>
              <w:pStyle w:val="32"/>
            </w:pPr>
            <w:r>
              <w:t>1</w:t>
            </w:r>
            <w:r>
              <w:rPr>
                <w:rFonts w:hint="eastAsia"/>
              </w:rPr>
              <w:t>#</w:t>
            </w:r>
          </w:p>
        </w:tc>
        <w:tc>
          <w:tcPr>
            <w:tcW w:w="1288" w:type="pct"/>
            <w:vAlign w:val="center"/>
          </w:tcPr>
          <w:p>
            <w:pPr>
              <w:pStyle w:val="32"/>
            </w:pPr>
            <w:r>
              <w:t>项目内</w:t>
            </w:r>
            <w:r>
              <w:rPr>
                <w:rFonts w:hint="eastAsia"/>
              </w:rPr>
              <w:t>南侧</w:t>
            </w:r>
          </w:p>
        </w:tc>
        <w:tc>
          <w:tcPr>
            <w:tcW w:w="1859" w:type="pct"/>
          </w:tcPr>
          <w:p>
            <w:pPr>
              <w:pStyle w:val="32"/>
            </w:pPr>
            <w:r>
              <w:t>柱状（0-0.5、0.5-1.5、1.5-3.0）</w:t>
            </w:r>
          </w:p>
        </w:tc>
        <w:tc>
          <w:tcPr>
            <w:tcW w:w="884" w:type="pct"/>
          </w:tcPr>
          <w:p>
            <w:pPr>
              <w:pStyle w:val="32"/>
            </w:pPr>
            <w:r>
              <w:rPr>
                <w:rFonts w:hint="eastAsia"/>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 w:type="pct"/>
            <w:vAlign w:val="center"/>
          </w:tcPr>
          <w:p>
            <w:pPr>
              <w:pStyle w:val="32"/>
            </w:pPr>
            <w:r>
              <w:rPr>
                <w:rFonts w:hint="eastAsia"/>
              </w:rPr>
              <w:t>2</w:t>
            </w:r>
            <w:r>
              <w:t>#</w:t>
            </w:r>
          </w:p>
        </w:tc>
        <w:tc>
          <w:tcPr>
            <w:tcW w:w="1288" w:type="pct"/>
            <w:vAlign w:val="center"/>
          </w:tcPr>
          <w:p>
            <w:pPr>
              <w:pStyle w:val="32"/>
            </w:pPr>
            <w:r>
              <w:t>项目内</w:t>
            </w:r>
            <w:r>
              <w:rPr>
                <w:rFonts w:hint="eastAsia"/>
              </w:rPr>
              <w:t>厂区中心</w:t>
            </w:r>
          </w:p>
        </w:tc>
        <w:tc>
          <w:tcPr>
            <w:tcW w:w="1859" w:type="pct"/>
          </w:tcPr>
          <w:p>
            <w:pPr>
              <w:pStyle w:val="32"/>
            </w:pPr>
            <w:r>
              <w:t>柱状（0-0.5、0.5-1.5、1.5-3.0）</w:t>
            </w:r>
          </w:p>
        </w:tc>
        <w:tc>
          <w:tcPr>
            <w:tcW w:w="884" w:type="pct"/>
          </w:tcPr>
          <w:p>
            <w:pPr>
              <w:pStyle w:val="32"/>
            </w:pPr>
            <w:r>
              <w:rPr>
                <w:rFonts w:hint="eastAsia"/>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 w:type="pct"/>
            <w:vAlign w:val="center"/>
          </w:tcPr>
          <w:p>
            <w:pPr>
              <w:pStyle w:val="32"/>
            </w:pPr>
            <w:r>
              <w:rPr>
                <w:rFonts w:hint="eastAsia"/>
              </w:rPr>
              <w:t>3</w:t>
            </w:r>
            <w:r>
              <w:t>#</w:t>
            </w:r>
          </w:p>
        </w:tc>
        <w:tc>
          <w:tcPr>
            <w:tcW w:w="1288" w:type="pct"/>
            <w:vAlign w:val="center"/>
          </w:tcPr>
          <w:p>
            <w:pPr>
              <w:pStyle w:val="32"/>
            </w:pPr>
            <w:r>
              <w:t>项目内</w:t>
            </w:r>
            <w:r>
              <w:rPr>
                <w:rFonts w:hint="eastAsia"/>
              </w:rPr>
              <w:t>北侧</w:t>
            </w:r>
          </w:p>
        </w:tc>
        <w:tc>
          <w:tcPr>
            <w:tcW w:w="1859" w:type="pct"/>
          </w:tcPr>
          <w:p>
            <w:pPr>
              <w:pStyle w:val="32"/>
            </w:pPr>
            <w:r>
              <w:t>柱状（0-0.5、0.5-1.5、1.5-3.0）</w:t>
            </w:r>
          </w:p>
        </w:tc>
        <w:tc>
          <w:tcPr>
            <w:tcW w:w="884" w:type="pct"/>
          </w:tcPr>
          <w:p>
            <w:pPr>
              <w:pStyle w:val="32"/>
            </w:pPr>
            <w:r>
              <w:rPr>
                <w:rFonts w:hint="eastAsia"/>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 w:type="pct"/>
            <w:vAlign w:val="center"/>
          </w:tcPr>
          <w:p>
            <w:pPr>
              <w:pStyle w:val="32"/>
            </w:pPr>
            <w:r>
              <w:rPr>
                <w:rFonts w:hint="eastAsia"/>
              </w:rPr>
              <w:t>4</w:t>
            </w:r>
            <w:r>
              <w:t>#</w:t>
            </w:r>
          </w:p>
        </w:tc>
        <w:tc>
          <w:tcPr>
            <w:tcW w:w="1288" w:type="pct"/>
            <w:vAlign w:val="center"/>
          </w:tcPr>
          <w:p>
            <w:pPr>
              <w:pStyle w:val="32"/>
            </w:pPr>
            <w:r>
              <w:t>项目内</w:t>
            </w:r>
            <w:r>
              <w:rPr>
                <w:rFonts w:hint="eastAsia"/>
              </w:rPr>
              <w:t>东侧</w:t>
            </w:r>
          </w:p>
        </w:tc>
        <w:tc>
          <w:tcPr>
            <w:tcW w:w="1859" w:type="pct"/>
          </w:tcPr>
          <w:p>
            <w:pPr>
              <w:pStyle w:val="32"/>
            </w:pPr>
            <w:r>
              <w:rPr>
                <w:rFonts w:hint="eastAsia"/>
              </w:rPr>
              <w:t>表层土</w:t>
            </w:r>
          </w:p>
        </w:tc>
        <w:tc>
          <w:tcPr>
            <w:tcW w:w="884" w:type="pct"/>
          </w:tcPr>
          <w:p>
            <w:pPr>
              <w:pStyle w:val="32"/>
            </w:pPr>
            <w:r>
              <w:rPr>
                <w:rFonts w:hint="eastAsia"/>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 w:type="pct"/>
            <w:vAlign w:val="center"/>
          </w:tcPr>
          <w:p>
            <w:pPr>
              <w:pStyle w:val="32"/>
            </w:pPr>
            <w:r>
              <w:rPr>
                <w:rFonts w:hint="eastAsia"/>
              </w:rPr>
              <w:t>5</w:t>
            </w:r>
            <w:r>
              <w:t>#</w:t>
            </w:r>
          </w:p>
        </w:tc>
        <w:tc>
          <w:tcPr>
            <w:tcW w:w="1288" w:type="pct"/>
            <w:vAlign w:val="center"/>
          </w:tcPr>
          <w:p>
            <w:pPr>
              <w:pStyle w:val="32"/>
            </w:pPr>
            <w:r>
              <w:rPr>
                <w:rFonts w:hint="eastAsia"/>
              </w:rPr>
              <w:t>厂界上风向200米处</w:t>
            </w:r>
          </w:p>
        </w:tc>
        <w:tc>
          <w:tcPr>
            <w:tcW w:w="1859" w:type="pct"/>
          </w:tcPr>
          <w:p>
            <w:pPr>
              <w:pStyle w:val="32"/>
            </w:pPr>
            <w:r>
              <w:rPr>
                <w:rFonts w:hint="eastAsia"/>
              </w:rPr>
              <w:t>表层土</w:t>
            </w:r>
          </w:p>
        </w:tc>
        <w:tc>
          <w:tcPr>
            <w:tcW w:w="884" w:type="pct"/>
          </w:tcPr>
          <w:p>
            <w:pPr>
              <w:pStyle w:val="32"/>
            </w:pPr>
            <w:r>
              <w:rPr>
                <w:rFonts w:hint="eastAsia"/>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8" w:type="pct"/>
            <w:vAlign w:val="center"/>
          </w:tcPr>
          <w:p>
            <w:pPr>
              <w:pStyle w:val="32"/>
            </w:pPr>
            <w:r>
              <w:rPr>
                <w:rFonts w:hint="eastAsia"/>
              </w:rPr>
              <w:t>6</w:t>
            </w:r>
            <w:r>
              <w:t>#</w:t>
            </w:r>
          </w:p>
        </w:tc>
        <w:tc>
          <w:tcPr>
            <w:tcW w:w="1288" w:type="pct"/>
            <w:vAlign w:val="center"/>
          </w:tcPr>
          <w:p>
            <w:pPr>
              <w:pStyle w:val="32"/>
            </w:pPr>
            <w:r>
              <w:rPr>
                <w:rFonts w:hint="eastAsia"/>
              </w:rPr>
              <w:t>厂界下风向200米处</w:t>
            </w:r>
          </w:p>
        </w:tc>
        <w:tc>
          <w:tcPr>
            <w:tcW w:w="1859" w:type="pct"/>
          </w:tcPr>
          <w:p>
            <w:pPr>
              <w:pStyle w:val="32"/>
            </w:pPr>
            <w:r>
              <w:rPr>
                <w:rFonts w:hint="eastAsia"/>
              </w:rPr>
              <w:t>表层土</w:t>
            </w:r>
          </w:p>
        </w:tc>
        <w:tc>
          <w:tcPr>
            <w:tcW w:w="884" w:type="pct"/>
          </w:tcPr>
          <w:p>
            <w:pPr>
              <w:pStyle w:val="32"/>
            </w:pPr>
            <w:r>
              <w:rPr>
                <w:rFonts w:hint="eastAsia"/>
              </w:rPr>
              <w:t>农用地</w:t>
            </w:r>
          </w:p>
        </w:tc>
      </w:tr>
    </w:tbl>
    <w:p>
      <w:pPr>
        <w:pStyle w:val="7"/>
        <w:ind w:firstLine="482"/>
        <w:rPr>
          <w:b/>
          <w:bCs/>
        </w:rPr>
      </w:pPr>
      <w:r>
        <w:rPr>
          <w:rFonts w:hint="eastAsia"/>
          <w:b/>
          <w:bCs/>
        </w:rPr>
        <w:t>2、</w:t>
      </w:r>
      <w:r>
        <w:rPr>
          <w:b/>
          <w:bCs/>
        </w:rPr>
        <w:t>监测项目</w:t>
      </w:r>
    </w:p>
    <w:p>
      <w:pPr>
        <w:pStyle w:val="7"/>
        <w:ind w:firstLine="480"/>
        <w:rPr>
          <w:spacing w:val="3"/>
        </w:rPr>
      </w:pPr>
      <w:r>
        <w:rPr>
          <w:kern w:val="0"/>
        </w:rPr>
        <w:t>2#：</w:t>
      </w:r>
      <w:r>
        <w:rPr>
          <w:snapToGrid w:val="0"/>
          <w:kern w:val="0"/>
        </w:rPr>
        <w:t>镉、汞、砷、铅、六价铬、铜、镍、锌</w:t>
      </w:r>
      <w:r>
        <w:rPr>
          <w:spacing w:val="3"/>
        </w:rPr>
        <w:t>、氟化物</w:t>
      </w:r>
      <w:r>
        <w:rPr>
          <w:kern w:val="0"/>
        </w:rPr>
        <w:t>、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蒽、苯并芘、苯并荧蒽、䓛、二苯并蒽、茚并芘、萘</w:t>
      </w:r>
      <w:r>
        <w:t>。</w:t>
      </w:r>
    </w:p>
    <w:p>
      <w:pPr>
        <w:pStyle w:val="7"/>
        <w:ind w:firstLine="480"/>
        <w:rPr>
          <w:spacing w:val="3"/>
        </w:rPr>
      </w:pPr>
      <w:r>
        <w:rPr>
          <w:rFonts w:hint="eastAsia"/>
        </w:rPr>
        <w:t>1</w:t>
      </w:r>
      <w:r>
        <w:t>#</w:t>
      </w:r>
      <w:r>
        <w:rPr>
          <w:rFonts w:hint="eastAsia"/>
        </w:rPr>
        <w:t>、3</w:t>
      </w:r>
      <w:r>
        <w:t>#</w:t>
      </w:r>
      <w:r>
        <w:rPr>
          <w:rFonts w:hint="eastAsia"/>
        </w:rPr>
        <w:t>、4</w:t>
      </w:r>
      <w:r>
        <w:t>#</w:t>
      </w:r>
      <w:r>
        <w:rPr>
          <w:rFonts w:hint="eastAsia"/>
        </w:rPr>
        <w:t>、5</w:t>
      </w:r>
      <w:r>
        <w:t>#：</w:t>
      </w:r>
      <w:r>
        <w:rPr>
          <w:snapToGrid w:val="0"/>
          <w:kern w:val="0"/>
        </w:rPr>
        <w:t>镉、汞、砷、铅、</w:t>
      </w:r>
      <w:r>
        <w:rPr>
          <w:rFonts w:hint="eastAsia"/>
          <w:snapToGrid w:val="0"/>
          <w:kern w:val="0"/>
        </w:rPr>
        <w:t>六价</w:t>
      </w:r>
      <w:r>
        <w:rPr>
          <w:snapToGrid w:val="0"/>
          <w:kern w:val="0"/>
        </w:rPr>
        <w:t>铬、铜、镍、锌</w:t>
      </w:r>
      <w:r>
        <w:rPr>
          <w:spacing w:val="3"/>
        </w:rPr>
        <w:t>和氟化物</w:t>
      </w:r>
      <w:r>
        <w:rPr>
          <w:rFonts w:hint="eastAsia"/>
          <w:spacing w:val="3"/>
        </w:rPr>
        <w:t>。</w:t>
      </w:r>
    </w:p>
    <w:p>
      <w:pPr>
        <w:pStyle w:val="7"/>
        <w:ind w:firstLine="480"/>
      </w:pPr>
      <w:r>
        <w:rPr>
          <w:rFonts w:hint="eastAsia"/>
        </w:rPr>
        <w:t>6</w:t>
      </w:r>
      <w:r>
        <w:t>#：</w:t>
      </w:r>
      <w:r>
        <w:rPr>
          <w:snapToGrid w:val="0"/>
          <w:kern w:val="0"/>
        </w:rPr>
        <w:t>pH、镉、汞、砷、铅、总铬、铜、镍、锌</w:t>
      </w:r>
      <w:r>
        <w:rPr>
          <w:spacing w:val="3"/>
        </w:rPr>
        <w:t>和氟化物</w:t>
      </w:r>
      <w:r>
        <w:rPr>
          <w:rFonts w:hint="eastAsia"/>
          <w:spacing w:val="3"/>
        </w:rPr>
        <w:t>。</w:t>
      </w:r>
    </w:p>
    <w:p>
      <w:pPr>
        <w:pStyle w:val="7"/>
        <w:ind w:firstLine="492"/>
        <w:rPr>
          <w:spacing w:val="3"/>
        </w:rPr>
      </w:pPr>
      <w:r>
        <w:rPr>
          <w:spacing w:val="3"/>
        </w:rPr>
        <w:t>其中</w:t>
      </w:r>
      <w:r>
        <w:rPr>
          <w:kern w:val="0"/>
        </w:rPr>
        <w:t>2#</w:t>
      </w:r>
      <w:r>
        <w:rPr>
          <w:spacing w:val="3"/>
        </w:rPr>
        <w:t>监测点还需监测pH、阳离子交换量、氧化还原电位、饱和导水率、土壤容重、孔隙度</w:t>
      </w:r>
      <w:r>
        <w:rPr>
          <w:rFonts w:hint="eastAsia"/>
          <w:spacing w:val="3"/>
        </w:rPr>
        <w:t>。</w:t>
      </w:r>
    </w:p>
    <w:p>
      <w:pPr>
        <w:pStyle w:val="7"/>
        <w:ind w:firstLine="482"/>
      </w:pPr>
      <w:r>
        <w:rPr>
          <w:rFonts w:hint="eastAsia"/>
          <w:b/>
          <w:bCs/>
        </w:rPr>
        <w:t>3、</w:t>
      </w:r>
      <w:r>
        <w:rPr>
          <w:b/>
          <w:bCs/>
        </w:rPr>
        <w:t>监测时间与频率：</w:t>
      </w:r>
      <w:r>
        <w:t>2020年3月25日</w:t>
      </w:r>
      <w:r>
        <w:rPr>
          <w:rFonts w:hint="eastAsia"/>
        </w:rPr>
        <w:t>，</w:t>
      </w:r>
      <w:r>
        <w:t>监测一</w:t>
      </w:r>
      <w:r>
        <w:rPr>
          <w:rFonts w:hint="eastAsia"/>
        </w:rPr>
        <w:t>天，每天采样1次</w:t>
      </w:r>
      <w:r>
        <w:t>。</w:t>
      </w:r>
    </w:p>
    <w:p>
      <w:pPr>
        <w:pStyle w:val="7"/>
        <w:ind w:firstLine="482"/>
      </w:pPr>
      <w:r>
        <w:rPr>
          <w:rFonts w:hint="eastAsia"/>
          <w:b/>
          <w:bCs/>
        </w:rPr>
        <w:t>4、</w:t>
      </w:r>
      <w:r>
        <w:rPr>
          <w:b/>
          <w:bCs/>
        </w:rPr>
        <w:t>分析</w:t>
      </w:r>
      <w:r>
        <w:rPr>
          <w:rFonts w:hint="eastAsia"/>
          <w:b/>
          <w:bCs/>
        </w:rPr>
        <w:t>及评价标准</w:t>
      </w:r>
      <w:r>
        <w:rPr>
          <w:b/>
          <w:bCs/>
        </w:rPr>
        <w:t>：</w:t>
      </w:r>
      <w:r>
        <w:rPr>
          <w:rFonts w:hint="eastAsia"/>
        </w:rPr>
        <w:t>1#、2#、3#、4#、5#监测点</w:t>
      </w:r>
      <w:r>
        <w:t>按《土壤环境质量  建设用地土壤污染风险管控标准(试行)》(GB36600-2018)</w:t>
      </w:r>
      <w:r>
        <w:rPr>
          <w:rFonts w:hint="eastAsia"/>
        </w:rPr>
        <w:t>进行分析评价，6#监测点</w:t>
      </w:r>
      <w:r>
        <w:t>按《土壤环境质量 农用地土壤污染风险管控标准（试行）》（GB15618-2018）</w:t>
      </w:r>
      <w:r>
        <w:rPr>
          <w:rFonts w:hint="eastAsia"/>
        </w:rPr>
        <w:t>进行分析评价</w:t>
      </w:r>
      <w:r>
        <w:t>。</w:t>
      </w:r>
    </w:p>
    <w:p>
      <w:pPr>
        <w:widowControl/>
        <w:adjustRightInd w:val="0"/>
        <w:snapToGrid w:val="0"/>
        <w:spacing w:line="360" w:lineRule="auto"/>
        <w:ind w:firstLine="482" w:firstLineChars="200"/>
        <w:jc w:val="left"/>
        <w:rPr>
          <w:b/>
          <w:bCs/>
        </w:rPr>
      </w:pPr>
      <w:r>
        <w:rPr>
          <w:rFonts w:hint="eastAsia"/>
          <w:b/>
          <w:bCs/>
        </w:rPr>
        <w:t>二</w:t>
      </w:r>
      <w:r>
        <w:rPr>
          <w:b/>
          <w:bCs/>
        </w:rPr>
        <w:t>、监测结果及分析</w:t>
      </w:r>
    </w:p>
    <w:p>
      <w:pPr>
        <w:pStyle w:val="31"/>
        <w:bidi w:val="0"/>
      </w:pPr>
      <w:r>
        <w:t>表</w:t>
      </w:r>
      <w:r>
        <w:rPr>
          <w:rFonts w:hint="eastAsia"/>
          <w:lang w:val="en-US" w:eastAsia="zh-CN"/>
        </w:rPr>
        <w:t>5</w:t>
      </w:r>
      <w:r>
        <w:t>.3-2</w:t>
      </w:r>
      <w:r>
        <w:rPr>
          <w:rFonts w:hint="eastAsia"/>
        </w:rPr>
        <w:t>3</w:t>
      </w:r>
      <w:r>
        <w:t xml:space="preserve">  土壤现状监测结果  </w:t>
      </w:r>
      <w:r>
        <w:rPr>
          <w:rFonts w:hint="eastAsia"/>
          <w:lang w:val="en-US" w:eastAsia="zh-CN"/>
        </w:rPr>
        <w:t xml:space="preserve"> </w:t>
      </w:r>
      <w:r>
        <w:t xml:space="preserve"> （单位：mg/Kg）</w:t>
      </w:r>
    </w:p>
    <w:tbl>
      <w:tblPr>
        <w:tblStyle w:val="27"/>
        <w:tblW w:w="48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458"/>
        <w:gridCol w:w="874"/>
        <w:gridCol w:w="975"/>
        <w:gridCol w:w="975"/>
        <w:gridCol w:w="975"/>
        <w:gridCol w:w="975"/>
        <w:gridCol w:w="975"/>
        <w:gridCol w:w="97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91" w:type="pct"/>
            <w:vAlign w:val="center"/>
          </w:tcPr>
          <w:p>
            <w:pPr>
              <w:pStyle w:val="33"/>
              <w:bidi w:val="0"/>
            </w:pPr>
            <w:r>
              <w:t>点 位</w:t>
            </w:r>
          </w:p>
        </w:tc>
        <w:tc>
          <w:tcPr>
            <w:tcW w:w="534" w:type="pct"/>
            <w:vMerge w:val="restart"/>
            <w:vAlign w:val="center"/>
          </w:tcPr>
          <w:p>
            <w:pPr>
              <w:pStyle w:val="33"/>
              <w:bidi w:val="0"/>
            </w:pPr>
            <w:r>
              <w:t>标准值</w:t>
            </w:r>
          </w:p>
        </w:tc>
        <w:tc>
          <w:tcPr>
            <w:tcW w:w="3575" w:type="pct"/>
            <w:gridSpan w:val="6"/>
            <w:vAlign w:val="center"/>
          </w:tcPr>
          <w:p>
            <w:pPr>
              <w:pStyle w:val="33"/>
              <w:bidi w:val="0"/>
            </w:pPr>
            <w:r>
              <w:t>项目内</w:t>
            </w:r>
            <w:r>
              <w:rPr>
                <w:rFonts w:hint="eastAsia"/>
              </w:rPr>
              <w:t>南侧</w:t>
            </w:r>
            <w: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91" w:type="pct"/>
            <w:vMerge w:val="restart"/>
            <w:vAlign w:val="center"/>
          </w:tcPr>
          <w:p>
            <w:pPr>
              <w:pStyle w:val="33"/>
              <w:bidi w:val="0"/>
            </w:pPr>
            <w:r>
              <w:t>项目</w:t>
            </w:r>
          </w:p>
        </w:tc>
        <w:tc>
          <w:tcPr>
            <w:tcW w:w="534" w:type="pct"/>
            <w:vMerge w:val="continue"/>
            <w:vAlign w:val="center"/>
          </w:tcPr>
          <w:p>
            <w:pPr>
              <w:pStyle w:val="33"/>
              <w:bidi w:val="0"/>
            </w:pPr>
          </w:p>
        </w:tc>
        <w:tc>
          <w:tcPr>
            <w:tcW w:w="1192" w:type="pct"/>
            <w:gridSpan w:val="2"/>
            <w:vAlign w:val="center"/>
          </w:tcPr>
          <w:p>
            <w:pPr>
              <w:pStyle w:val="33"/>
              <w:bidi w:val="0"/>
            </w:pPr>
            <w:r>
              <w:t>0~0.5m</w:t>
            </w:r>
          </w:p>
        </w:tc>
        <w:tc>
          <w:tcPr>
            <w:tcW w:w="1192" w:type="pct"/>
            <w:gridSpan w:val="2"/>
          </w:tcPr>
          <w:p>
            <w:pPr>
              <w:pStyle w:val="33"/>
              <w:bidi w:val="0"/>
            </w:pPr>
            <w:r>
              <w:t>0.5~1.5m</w:t>
            </w:r>
          </w:p>
        </w:tc>
        <w:tc>
          <w:tcPr>
            <w:tcW w:w="1191" w:type="pct"/>
            <w:gridSpan w:val="2"/>
          </w:tcPr>
          <w:p>
            <w:pPr>
              <w:pStyle w:val="33"/>
              <w:bidi w:val="0"/>
            </w:pPr>
            <w:r>
              <w:t>1.5~3m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91" w:type="pct"/>
            <w:vMerge w:val="continue"/>
            <w:vAlign w:val="center"/>
          </w:tcPr>
          <w:p>
            <w:pPr>
              <w:pStyle w:val="33"/>
              <w:bidi w:val="0"/>
            </w:pPr>
          </w:p>
        </w:tc>
        <w:tc>
          <w:tcPr>
            <w:tcW w:w="534" w:type="pct"/>
            <w:vMerge w:val="continue"/>
            <w:vAlign w:val="center"/>
          </w:tcPr>
          <w:p>
            <w:pPr>
              <w:pStyle w:val="33"/>
              <w:bidi w:val="0"/>
            </w:pPr>
          </w:p>
        </w:tc>
        <w:tc>
          <w:tcPr>
            <w:tcW w:w="596" w:type="pct"/>
            <w:vAlign w:val="center"/>
          </w:tcPr>
          <w:p>
            <w:pPr>
              <w:pStyle w:val="33"/>
              <w:bidi w:val="0"/>
            </w:pPr>
            <w:r>
              <w:t>监测值</w:t>
            </w:r>
          </w:p>
        </w:tc>
        <w:tc>
          <w:tcPr>
            <w:tcW w:w="596" w:type="pct"/>
            <w:vAlign w:val="center"/>
          </w:tcPr>
          <w:p>
            <w:pPr>
              <w:pStyle w:val="33"/>
              <w:bidi w:val="0"/>
            </w:pPr>
            <w:r>
              <w:t>评价</w:t>
            </w:r>
          </w:p>
        </w:tc>
        <w:tc>
          <w:tcPr>
            <w:tcW w:w="596" w:type="pct"/>
            <w:vAlign w:val="center"/>
          </w:tcPr>
          <w:p>
            <w:pPr>
              <w:pStyle w:val="33"/>
              <w:bidi w:val="0"/>
            </w:pPr>
            <w:r>
              <w:t>监测值</w:t>
            </w:r>
          </w:p>
        </w:tc>
        <w:tc>
          <w:tcPr>
            <w:tcW w:w="596" w:type="pct"/>
            <w:vAlign w:val="center"/>
          </w:tcPr>
          <w:p>
            <w:pPr>
              <w:pStyle w:val="33"/>
              <w:bidi w:val="0"/>
            </w:pPr>
            <w:r>
              <w:t>评价</w:t>
            </w:r>
          </w:p>
        </w:tc>
        <w:tc>
          <w:tcPr>
            <w:tcW w:w="596" w:type="pct"/>
            <w:vAlign w:val="center"/>
          </w:tcPr>
          <w:p>
            <w:pPr>
              <w:pStyle w:val="33"/>
              <w:bidi w:val="0"/>
            </w:pPr>
            <w:r>
              <w:t>监测值</w:t>
            </w:r>
          </w:p>
        </w:tc>
        <w:tc>
          <w:tcPr>
            <w:tcW w:w="595" w:type="pct"/>
            <w:vAlign w:val="center"/>
          </w:tcPr>
          <w:p>
            <w:pPr>
              <w:pStyle w:val="33"/>
              <w:bidi w:val="0"/>
            </w:pPr>
            <w:r>
              <w:t>评价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镉</w:t>
            </w:r>
          </w:p>
        </w:tc>
        <w:tc>
          <w:tcPr>
            <w:tcW w:w="534" w:type="pct"/>
            <w:vAlign w:val="center"/>
          </w:tcPr>
          <w:p>
            <w:pPr>
              <w:pStyle w:val="33"/>
              <w:bidi w:val="0"/>
            </w:pPr>
            <w:r>
              <w:t>65</w:t>
            </w:r>
          </w:p>
        </w:tc>
        <w:tc>
          <w:tcPr>
            <w:tcW w:w="596" w:type="pct"/>
            <w:vAlign w:val="center"/>
          </w:tcPr>
          <w:p>
            <w:pPr>
              <w:pStyle w:val="33"/>
              <w:bidi w:val="0"/>
            </w:pPr>
            <w:r>
              <w:t>0.</w:t>
            </w:r>
            <w:r>
              <w:rPr>
                <w:rFonts w:hint="eastAsia"/>
              </w:rPr>
              <w:t>549</w:t>
            </w:r>
          </w:p>
        </w:tc>
        <w:tc>
          <w:tcPr>
            <w:tcW w:w="596" w:type="pct"/>
            <w:vAlign w:val="center"/>
          </w:tcPr>
          <w:p>
            <w:pPr>
              <w:pStyle w:val="33"/>
              <w:bidi w:val="0"/>
            </w:pPr>
            <w:r>
              <w:t>达标</w:t>
            </w:r>
          </w:p>
        </w:tc>
        <w:tc>
          <w:tcPr>
            <w:tcW w:w="596" w:type="pct"/>
          </w:tcPr>
          <w:p>
            <w:pPr>
              <w:pStyle w:val="33"/>
              <w:bidi w:val="0"/>
            </w:pPr>
            <w:r>
              <w:t>0.</w:t>
            </w:r>
            <w:r>
              <w:rPr>
                <w:rFonts w:hint="eastAsia"/>
              </w:rPr>
              <w:t>338</w:t>
            </w:r>
          </w:p>
        </w:tc>
        <w:tc>
          <w:tcPr>
            <w:tcW w:w="596" w:type="pct"/>
            <w:vAlign w:val="center"/>
          </w:tcPr>
          <w:p>
            <w:pPr>
              <w:pStyle w:val="33"/>
              <w:bidi w:val="0"/>
            </w:pPr>
            <w:r>
              <w:t>达标</w:t>
            </w:r>
          </w:p>
        </w:tc>
        <w:tc>
          <w:tcPr>
            <w:tcW w:w="596" w:type="pct"/>
          </w:tcPr>
          <w:p>
            <w:pPr>
              <w:pStyle w:val="33"/>
              <w:bidi w:val="0"/>
            </w:pPr>
            <w:r>
              <w:t>0.</w:t>
            </w:r>
            <w:r>
              <w:rPr>
                <w:rFonts w:hint="eastAsia"/>
              </w:rPr>
              <w:t>193</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汞</w:t>
            </w:r>
          </w:p>
        </w:tc>
        <w:tc>
          <w:tcPr>
            <w:tcW w:w="534" w:type="pct"/>
            <w:vAlign w:val="center"/>
          </w:tcPr>
          <w:p>
            <w:pPr>
              <w:pStyle w:val="33"/>
              <w:bidi w:val="0"/>
            </w:pPr>
            <w:r>
              <w:t>38</w:t>
            </w:r>
          </w:p>
        </w:tc>
        <w:tc>
          <w:tcPr>
            <w:tcW w:w="596" w:type="pct"/>
            <w:vAlign w:val="center"/>
          </w:tcPr>
          <w:p>
            <w:pPr>
              <w:pStyle w:val="33"/>
              <w:bidi w:val="0"/>
            </w:pPr>
            <w:r>
              <w:t>0.</w:t>
            </w:r>
            <w:r>
              <w:rPr>
                <w:rFonts w:hint="eastAsia"/>
              </w:rPr>
              <w:t>024</w:t>
            </w:r>
          </w:p>
        </w:tc>
        <w:tc>
          <w:tcPr>
            <w:tcW w:w="596" w:type="pct"/>
            <w:vAlign w:val="center"/>
          </w:tcPr>
          <w:p>
            <w:pPr>
              <w:pStyle w:val="33"/>
              <w:bidi w:val="0"/>
            </w:pPr>
            <w:r>
              <w:t>达标</w:t>
            </w:r>
          </w:p>
        </w:tc>
        <w:tc>
          <w:tcPr>
            <w:tcW w:w="596" w:type="pct"/>
          </w:tcPr>
          <w:p>
            <w:pPr>
              <w:pStyle w:val="33"/>
              <w:bidi w:val="0"/>
            </w:pPr>
            <w:r>
              <w:t>0.</w:t>
            </w:r>
            <w:r>
              <w:rPr>
                <w:rFonts w:hint="eastAsia"/>
              </w:rPr>
              <w:t>009</w:t>
            </w:r>
          </w:p>
        </w:tc>
        <w:tc>
          <w:tcPr>
            <w:tcW w:w="596" w:type="pct"/>
            <w:vAlign w:val="center"/>
          </w:tcPr>
          <w:p>
            <w:pPr>
              <w:pStyle w:val="33"/>
              <w:bidi w:val="0"/>
            </w:pPr>
            <w:r>
              <w:t>达标</w:t>
            </w:r>
          </w:p>
        </w:tc>
        <w:tc>
          <w:tcPr>
            <w:tcW w:w="596" w:type="pct"/>
          </w:tcPr>
          <w:p>
            <w:pPr>
              <w:pStyle w:val="33"/>
              <w:bidi w:val="0"/>
            </w:pPr>
            <w:r>
              <w:t>0.</w:t>
            </w:r>
            <w:r>
              <w:rPr>
                <w:rFonts w:hint="eastAsia"/>
              </w:rPr>
              <w:t>008</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砷</w:t>
            </w:r>
          </w:p>
        </w:tc>
        <w:tc>
          <w:tcPr>
            <w:tcW w:w="534" w:type="pct"/>
            <w:vAlign w:val="center"/>
          </w:tcPr>
          <w:p>
            <w:pPr>
              <w:pStyle w:val="33"/>
              <w:bidi w:val="0"/>
            </w:pPr>
            <w:r>
              <w:t>60</w:t>
            </w:r>
          </w:p>
        </w:tc>
        <w:tc>
          <w:tcPr>
            <w:tcW w:w="596" w:type="pct"/>
            <w:vAlign w:val="center"/>
          </w:tcPr>
          <w:p>
            <w:pPr>
              <w:pStyle w:val="33"/>
              <w:bidi w:val="0"/>
            </w:pPr>
            <w:r>
              <w:t>1</w:t>
            </w:r>
            <w:r>
              <w:rPr>
                <w:rFonts w:hint="eastAsia"/>
              </w:rPr>
              <w:t>6.8</w:t>
            </w:r>
          </w:p>
        </w:tc>
        <w:tc>
          <w:tcPr>
            <w:tcW w:w="596" w:type="pct"/>
            <w:vAlign w:val="center"/>
          </w:tcPr>
          <w:p>
            <w:pPr>
              <w:pStyle w:val="33"/>
              <w:bidi w:val="0"/>
            </w:pPr>
            <w:r>
              <w:t>达标</w:t>
            </w:r>
          </w:p>
        </w:tc>
        <w:tc>
          <w:tcPr>
            <w:tcW w:w="596" w:type="pct"/>
          </w:tcPr>
          <w:p>
            <w:pPr>
              <w:pStyle w:val="33"/>
              <w:bidi w:val="0"/>
            </w:pPr>
            <w:r>
              <w:t>1</w:t>
            </w:r>
            <w:r>
              <w:rPr>
                <w:rFonts w:hint="eastAsia"/>
              </w:rPr>
              <w:t>3.8</w:t>
            </w:r>
          </w:p>
        </w:tc>
        <w:tc>
          <w:tcPr>
            <w:tcW w:w="596" w:type="pct"/>
            <w:vAlign w:val="center"/>
          </w:tcPr>
          <w:p>
            <w:pPr>
              <w:pStyle w:val="33"/>
              <w:bidi w:val="0"/>
            </w:pPr>
            <w:r>
              <w:t>达标</w:t>
            </w:r>
          </w:p>
        </w:tc>
        <w:tc>
          <w:tcPr>
            <w:tcW w:w="596" w:type="pct"/>
          </w:tcPr>
          <w:p>
            <w:pPr>
              <w:pStyle w:val="33"/>
              <w:bidi w:val="0"/>
            </w:pPr>
            <w:r>
              <w:t>1</w:t>
            </w:r>
            <w:r>
              <w:rPr>
                <w:rFonts w:hint="eastAsia"/>
              </w:rPr>
              <w:t>2.8</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铅</w:t>
            </w:r>
          </w:p>
        </w:tc>
        <w:tc>
          <w:tcPr>
            <w:tcW w:w="534" w:type="pct"/>
            <w:vAlign w:val="center"/>
          </w:tcPr>
          <w:p>
            <w:pPr>
              <w:pStyle w:val="33"/>
              <w:bidi w:val="0"/>
            </w:pPr>
            <w:r>
              <w:t>800</w:t>
            </w:r>
          </w:p>
        </w:tc>
        <w:tc>
          <w:tcPr>
            <w:tcW w:w="596" w:type="pct"/>
            <w:vAlign w:val="center"/>
          </w:tcPr>
          <w:p>
            <w:pPr>
              <w:pStyle w:val="33"/>
              <w:bidi w:val="0"/>
            </w:pPr>
            <w:r>
              <w:rPr>
                <w:rFonts w:hint="eastAsia"/>
              </w:rPr>
              <w:t>22.8</w:t>
            </w:r>
          </w:p>
        </w:tc>
        <w:tc>
          <w:tcPr>
            <w:tcW w:w="596" w:type="pct"/>
            <w:vAlign w:val="center"/>
          </w:tcPr>
          <w:p>
            <w:pPr>
              <w:pStyle w:val="33"/>
              <w:bidi w:val="0"/>
            </w:pPr>
            <w:r>
              <w:t>达标</w:t>
            </w:r>
          </w:p>
        </w:tc>
        <w:tc>
          <w:tcPr>
            <w:tcW w:w="596" w:type="pct"/>
          </w:tcPr>
          <w:p>
            <w:pPr>
              <w:pStyle w:val="33"/>
              <w:bidi w:val="0"/>
            </w:pPr>
            <w:r>
              <w:rPr>
                <w:rFonts w:hint="eastAsia"/>
              </w:rPr>
              <w:t>22.6</w:t>
            </w:r>
          </w:p>
        </w:tc>
        <w:tc>
          <w:tcPr>
            <w:tcW w:w="596" w:type="pct"/>
            <w:vAlign w:val="center"/>
          </w:tcPr>
          <w:p>
            <w:pPr>
              <w:pStyle w:val="33"/>
              <w:bidi w:val="0"/>
            </w:pPr>
            <w:r>
              <w:t>达标</w:t>
            </w:r>
          </w:p>
        </w:tc>
        <w:tc>
          <w:tcPr>
            <w:tcW w:w="596" w:type="pct"/>
          </w:tcPr>
          <w:p>
            <w:pPr>
              <w:pStyle w:val="33"/>
              <w:bidi w:val="0"/>
            </w:pPr>
            <w:r>
              <w:rPr>
                <w:rFonts w:hint="eastAsia"/>
              </w:rPr>
              <w:t>16.6</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六价铬</w:t>
            </w:r>
          </w:p>
        </w:tc>
        <w:tc>
          <w:tcPr>
            <w:tcW w:w="534" w:type="pct"/>
            <w:vAlign w:val="center"/>
          </w:tcPr>
          <w:p>
            <w:pPr>
              <w:pStyle w:val="33"/>
              <w:bidi w:val="0"/>
            </w:pPr>
            <w:r>
              <w:t>5.7</w:t>
            </w:r>
          </w:p>
        </w:tc>
        <w:tc>
          <w:tcPr>
            <w:tcW w:w="596" w:type="pct"/>
            <w:vAlign w:val="center"/>
          </w:tcPr>
          <w:p>
            <w:pPr>
              <w:pStyle w:val="33"/>
              <w:bidi w:val="0"/>
            </w:pPr>
            <w:r>
              <w:rPr>
                <w:rFonts w:hint="eastAsia"/>
              </w:rPr>
              <w:t>＜2</w:t>
            </w:r>
          </w:p>
        </w:tc>
        <w:tc>
          <w:tcPr>
            <w:tcW w:w="596" w:type="pct"/>
            <w:vAlign w:val="center"/>
          </w:tcPr>
          <w:p>
            <w:pPr>
              <w:pStyle w:val="33"/>
              <w:bidi w:val="0"/>
            </w:pPr>
            <w:r>
              <w:t>达标</w:t>
            </w:r>
          </w:p>
        </w:tc>
        <w:tc>
          <w:tcPr>
            <w:tcW w:w="596" w:type="pct"/>
          </w:tcPr>
          <w:p>
            <w:pPr>
              <w:pStyle w:val="33"/>
              <w:bidi w:val="0"/>
            </w:pPr>
            <w:r>
              <w:rPr>
                <w:rFonts w:hint="eastAsia"/>
              </w:rPr>
              <w:t>＜2</w:t>
            </w:r>
          </w:p>
        </w:tc>
        <w:tc>
          <w:tcPr>
            <w:tcW w:w="596" w:type="pct"/>
            <w:vAlign w:val="center"/>
          </w:tcPr>
          <w:p>
            <w:pPr>
              <w:pStyle w:val="33"/>
              <w:bidi w:val="0"/>
            </w:pPr>
            <w:r>
              <w:t>达标</w:t>
            </w:r>
          </w:p>
        </w:tc>
        <w:tc>
          <w:tcPr>
            <w:tcW w:w="596" w:type="pct"/>
          </w:tcPr>
          <w:p>
            <w:pPr>
              <w:pStyle w:val="33"/>
              <w:bidi w:val="0"/>
            </w:pPr>
            <w:r>
              <w:rPr>
                <w:rFonts w:hint="eastAsia"/>
              </w:rPr>
              <w:t>＜2</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铜</w:t>
            </w:r>
          </w:p>
        </w:tc>
        <w:tc>
          <w:tcPr>
            <w:tcW w:w="534" w:type="pct"/>
            <w:vAlign w:val="center"/>
          </w:tcPr>
          <w:p>
            <w:pPr>
              <w:pStyle w:val="33"/>
              <w:bidi w:val="0"/>
            </w:pPr>
            <w:r>
              <w:t>18000</w:t>
            </w:r>
          </w:p>
        </w:tc>
        <w:tc>
          <w:tcPr>
            <w:tcW w:w="596" w:type="pct"/>
            <w:vAlign w:val="center"/>
          </w:tcPr>
          <w:p>
            <w:pPr>
              <w:pStyle w:val="33"/>
              <w:bidi w:val="0"/>
            </w:pPr>
            <w:r>
              <w:rPr>
                <w:rFonts w:hint="eastAsia"/>
              </w:rPr>
              <w:t>36.3</w:t>
            </w:r>
          </w:p>
        </w:tc>
        <w:tc>
          <w:tcPr>
            <w:tcW w:w="596" w:type="pct"/>
            <w:vAlign w:val="center"/>
          </w:tcPr>
          <w:p>
            <w:pPr>
              <w:pStyle w:val="33"/>
              <w:bidi w:val="0"/>
            </w:pPr>
            <w:r>
              <w:t>达标</w:t>
            </w:r>
          </w:p>
        </w:tc>
        <w:tc>
          <w:tcPr>
            <w:tcW w:w="596" w:type="pct"/>
          </w:tcPr>
          <w:p>
            <w:pPr>
              <w:pStyle w:val="33"/>
              <w:bidi w:val="0"/>
            </w:pPr>
            <w:r>
              <w:rPr>
                <w:rFonts w:hint="eastAsia"/>
              </w:rPr>
              <w:t>39.1</w:t>
            </w:r>
          </w:p>
        </w:tc>
        <w:tc>
          <w:tcPr>
            <w:tcW w:w="596" w:type="pct"/>
            <w:vAlign w:val="center"/>
          </w:tcPr>
          <w:p>
            <w:pPr>
              <w:pStyle w:val="33"/>
              <w:bidi w:val="0"/>
            </w:pPr>
            <w:r>
              <w:t>达标</w:t>
            </w:r>
          </w:p>
        </w:tc>
        <w:tc>
          <w:tcPr>
            <w:tcW w:w="596" w:type="pct"/>
          </w:tcPr>
          <w:p>
            <w:pPr>
              <w:pStyle w:val="33"/>
              <w:bidi w:val="0"/>
            </w:pPr>
            <w:r>
              <w:rPr>
                <w:rFonts w:hint="eastAsia"/>
              </w:rPr>
              <w:t>27.8</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镍</w:t>
            </w:r>
          </w:p>
        </w:tc>
        <w:tc>
          <w:tcPr>
            <w:tcW w:w="534" w:type="pct"/>
            <w:vAlign w:val="center"/>
          </w:tcPr>
          <w:p>
            <w:pPr>
              <w:pStyle w:val="33"/>
              <w:bidi w:val="0"/>
            </w:pPr>
            <w:r>
              <w:t>900</w:t>
            </w:r>
          </w:p>
        </w:tc>
        <w:tc>
          <w:tcPr>
            <w:tcW w:w="596" w:type="pct"/>
            <w:vAlign w:val="center"/>
          </w:tcPr>
          <w:p>
            <w:pPr>
              <w:pStyle w:val="33"/>
              <w:bidi w:val="0"/>
            </w:pPr>
            <w:r>
              <w:rPr>
                <w:rFonts w:hint="eastAsia"/>
              </w:rPr>
              <w:t>41.9</w:t>
            </w:r>
          </w:p>
        </w:tc>
        <w:tc>
          <w:tcPr>
            <w:tcW w:w="596" w:type="pct"/>
            <w:vAlign w:val="center"/>
          </w:tcPr>
          <w:p>
            <w:pPr>
              <w:pStyle w:val="33"/>
              <w:bidi w:val="0"/>
            </w:pPr>
            <w:r>
              <w:t>达标</w:t>
            </w:r>
          </w:p>
        </w:tc>
        <w:tc>
          <w:tcPr>
            <w:tcW w:w="596" w:type="pct"/>
          </w:tcPr>
          <w:p>
            <w:pPr>
              <w:pStyle w:val="33"/>
              <w:bidi w:val="0"/>
            </w:pPr>
            <w:r>
              <w:rPr>
                <w:rFonts w:hint="eastAsia"/>
              </w:rPr>
              <w:t>44.3</w:t>
            </w:r>
          </w:p>
        </w:tc>
        <w:tc>
          <w:tcPr>
            <w:tcW w:w="596" w:type="pct"/>
            <w:vAlign w:val="center"/>
          </w:tcPr>
          <w:p>
            <w:pPr>
              <w:pStyle w:val="33"/>
              <w:bidi w:val="0"/>
            </w:pPr>
            <w:r>
              <w:t>达标</w:t>
            </w:r>
          </w:p>
        </w:tc>
        <w:tc>
          <w:tcPr>
            <w:tcW w:w="596" w:type="pct"/>
          </w:tcPr>
          <w:p>
            <w:pPr>
              <w:pStyle w:val="33"/>
              <w:bidi w:val="0"/>
            </w:pPr>
            <w:r>
              <w:rPr>
                <w:rFonts w:hint="eastAsia"/>
              </w:rPr>
              <w:t>31.9</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氟化物</w:t>
            </w:r>
          </w:p>
        </w:tc>
        <w:tc>
          <w:tcPr>
            <w:tcW w:w="534" w:type="pct"/>
            <w:vAlign w:val="center"/>
          </w:tcPr>
          <w:p>
            <w:pPr>
              <w:pStyle w:val="33"/>
              <w:bidi w:val="0"/>
            </w:pPr>
            <w:r>
              <w:t>/</w:t>
            </w:r>
          </w:p>
        </w:tc>
        <w:tc>
          <w:tcPr>
            <w:tcW w:w="596" w:type="pct"/>
            <w:vAlign w:val="center"/>
          </w:tcPr>
          <w:p>
            <w:pPr>
              <w:pStyle w:val="33"/>
              <w:bidi w:val="0"/>
            </w:pPr>
            <w:r>
              <w:rPr>
                <w:rFonts w:hint="eastAsia"/>
              </w:rPr>
              <w:t>578</w:t>
            </w:r>
          </w:p>
        </w:tc>
        <w:tc>
          <w:tcPr>
            <w:tcW w:w="596" w:type="pct"/>
            <w:vAlign w:val="center"/>
          </w:tcPr>
          <w:p>
            <w:pPr>
              <w:pStyle w:val="33"/>
              <w:bidi w:val="0"/>
            </w:pPr>
            <w:r>
              <w:t>/</w:t>
            </w:r>
          </w:p>
        </w:tc>
        <w:tc>
          <w:tcPr>
            <w:tcW w:w="596" w:type="pct"/>
            <w:vAlign w:val="center"/>
          </w:tcPr>
          <w:p>
            <w:pPr>
              <w:pStyle w:val="33"/>
              <w:bidi w:val="0"/>
            </w:pPr>
            <w:r>
              <w:rPr>
                <w:rFonts w:hint="eastAsia"/>
              </w:rPr>
              <w:t>565</w:t>
            </w:r>
          </w:p>
        </w:tc>
        <w:tc>
          <w:tcPr>
            <w:tcW w:w="596" w:type="pct"/>
            <w:vAlign w:val="center"/>
          </w:tcPr>
          <w:p>
            <w:pPr>
              <w:pStyle w:val="33"/>
              <w:bidi w:val="0"/>
            </w:pPr>
            <w:r>
              <w:t>/</w:t>
            </w:r>
          </w:p>
        </w:tc>
        <w:tc>
          <w:tcPr>
            <w:tcW w:w="596" w:type="pct"/>
            <w:vAlign w:val="center"/>
          </w:tcPr>
          <w:p>
            <w:pPr>
              <w:pStyle w:val="33"/>
              <w:bidi w:val="0"/>
            </w:pPr>
            <w:r>
              <w:rPr>
                <w:rFonts w:hint="eastAsia"/>
              </w:rPr>
              <w:t>437</w:t>
            </w:r>
          </w:p>
        </w:tc>
        <w:tc>
          <w:tcPr>
            <w:tcW w:w="595" w:type="pct"/>
            <w:vAlign w:val="center"/>
          </w:tcPr>
          <w:p>
            <w:pPr>
              <w:pStyle w:val="33"/>
              <w:bidi w:val="0"/>
            </w:pPr>
            <w:r>
              <w:t>/</w:t>
            </w:r>
          </w:p>
        </w:tc>
      </w:tr>
    </w:tbl>
    <w:p>
      <w:pPr>
        <w:pStyle w:val="7"/>
        <w:bidi w:val="0"/>
      </w:pPr>
      <w:r>
        <w:t>监测结果表明，</w:t>
      </w:r>
      <w:r>
        <w:rPr>
          <w:rFonts w:hint="eastAsia"/>
        </w:rPr>
        <w:t>项目内南侧1#</w:t>
      </w:r>
      <w:r>
        <w:t>监测点采样监测的各监测因子均满足《土壤环境质量  建设用地土壤污染风险管控标准(试行)》(GB36600-2018)中第二类用地标准</w:t>
      </w:r>
      <w:r>
        <w:rPr>
          <w:rFonts w:hint="eastAsia"/>
        </w:rPr>
        <w:t>中的筛选值的</w:t>
      </w:r>
      <w:r>
        <w:t>要求。</w:t>
      </w:r>
    </w:p>
    <w:p>
      <w:pPr>
        <w:pStyle w:val="31"/>
        <w:bidi w:val="0"/>
      </w:pPr>
      <w:r>
        <w:t>表</w:t>
      </w:r>
      <w:r>
        <w:rPr>
          <w:rFonts w:hint="eastAsia"/>
          <w:lang w:val="en-US" w:eastAsia="zh-CN"/>
        </w:rPr>
        <w:t>5</w:t>
      </w:r>
      <w:r>
        <w:t>.3-2</w:t>
      </w:r>
      <w:r>
        <w:rPr>
          <w:rFonts w:hint="eastAsia"/>
        </w:rPr>
        <w:t>4</w:t>
      </w:r>
      <w:r>
        <w:t xml:space="preserve">  土壤现状监测结果  </w:t>
      </w:r>
      <w:r>
        <w:rPr>
          <w:rFonts w:hint="eastAsia"/>
          <w:lang w:val="en-US" w:eastAsia="zh-CN"/>
        </w:rPr>
        <w:t xml:space="preserve"> </w:t>
      </w:r>
      <w:r>
        <w:t xml:space="preserve"> （单位：mg/Kg）</w:t>
      </w:r>
    </w:p>
    <w:tbl>
      <w:tblPr>
        <w:tblStyle w:val="27"/>
        <w:tblW w:w="488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895"/>
        <w:gridCol w:w="825"/>
        <w:gridCol w:w="920"/>
        <w:gridCol w:w="887"/>
        <w:gridCol w:w="855"/>
        <w:gridCol w:w="975"/>
        <w:gridCol w:w="976"/>
        <w:gridCol w:w="98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139" w:type="pct"/>
            <w:vAlign w:val="center"/>
          </w:tcPr>
          <w:p>
            <w:pPr>
              <w:pStyle w:val="33"/>
              <w:bidi w:val="0"/>
              <w:jc w:val="center"/>
            </w:pPr>
            <w:r>
              <w:t>点 位</w:t>
            </w:r>
          </w:p>
        </w:tc>
        <w:tc>
          <w:tcPr>
            <w:tcW w:w="496" w:type="pct"/>
            <w:vMerge w:val="restart"/>
            <w:vAlign w:val="center"/>
          </w:tcPr>
          <w:p>
            <w:pPr>
              <w:pStyle w:val="33"/>
              <w:bidi w:val="0"/>
              <w:jc w:val="center"/>
            </w:pPr>
            <w:r>
              <w:t>标准值</w:t>
            </w:r>
          </w:p>
        </w:tc>
        <w:tc>
          <w:tcPr>
            <w:tcW w:w="3363" w:type="pct"/>
            <w:gridSpan w:val="6"/>
            <w:vAlign w:val="center"/>
          </w:tcPr>
          <w:p>
            <w:pPr>
              <w:pStyle w:val="33"/>
              <w:bidi w:val="0"/>
              <w:jc w:val="center"/>
            </w:pPr>
            <w:r>
              <w:t>项目内</w:t>
            </w:r>
            <w:r>
              <w:rPr>
                <w:rFonts w:hint="eastAsia"/>
              </w:rPr>
              <w:t>厂区中心2#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139" w:type="pct"/>
            <w:vMerge w:val="restart"/>
            <w:vAlign w:val="center"/>
          </w:tcPr>
          <w:p>
            <w:pPr>
              <w:pStyle w:val="33"/>
              <w:bidi w:val="0"/>
              <w:jc w:val="center"/>
            </w:pPr>
            <w:r>
              <w:t>项目</w:t>
            </w:r>
          </w:p>
        </w:tc>
        <w:tc>
          <w:tcPr>
            <w:tcW w:w="496" w:type="pct"/>
            <w:vMerge w:val="continue"/>
            <w:vAlign w:val="center"/>
          </w:tcPr>
          <w:p>
            <w:pPr>
              <w:pStyle w:val="33"/>
              <w:bidi w:val="0"/>
              <w:jc w:val="center"/>
            </w:pPr>
          </w:p>
        </w:tc>
        <w:tc>
          <w:tcPr>
            <w:tcW w:w="1086" w:type="pct"/>
            <w:gridSpan w:val="2"/>
            <w:vAlign w:val="center"/>
          </w:tcPr>
          <w:p>
            <w:pPr>
              <w:pStyle w:val="33"/>
              <w:bidi w:val="0"/>
              <w:jc w:val="center"/>
            </w:pPr>
            <w:r>
              <w:t>0~0.5m</w:t>
            </w:r>
          </w:p>
        </w:tc>
        <w:tc>
          <w:tcPr>
            <w:tcW w:w="1100" w:type="pct"/>
            <w:gridSpan w:val="2"/>
            <w:vAlign w:val="center"/>
          </w:tcPr>
          <w:p>
            <w:pPr>
              <w:pStyle w:val="33"/>
              <w:bidi w:val="0"/>
              <w:jc w:val="center"/>
            </w:pPr>
            <w:r>
              <w:t>0.5~1.5m</w:t>
            </w:r>
          </w:p>
        </w:tc>
        <w:tc>
          <w:tcPr>
            <w:tcW w:w="1176" w:type="pct"/>
            <w:gridSpan w:val="2"/>
            <w:vAlign w:val="center"/>
          </w:tcPr>
          <w:p>
            <w:pPr>
              <w:pStyle w:val="33"/>
              <w:bidi w:val="0"/>
              <w:jc w:val="center"/>
            </w:pPr>
            <w:r>
              <w:t>1.5~3m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139" w:type="pct"/>
            <w:vMerge w:val="continue"/>
            <w:vAlign w:val="center"/>
          </w:tcPr>
          <w:p>
            <w:pPr>
              <w:pStyle w:val="33"/>
              <w:bidi w:val="0"/>
              <w:jc w:val="center"/>
            </w:pPr>
          </w:p>
        </w:tc>
        <w:tc>
          <w:tcPr>
            <w:tcW w:w="496" w:type="pct"/>
            <w:vMerge w:val="continue"/>
            <w:vAlign w:val="center"/>
          </w:tcPr>
          <w:p>
            <w:pPr>
              <w:pStyle w:val="33"/>
              <w:bidi w:val="0"/>
              <w:jc w:val="center"/>
            </w:pPr>
          </w:p>
        </w:tc>
        <w:tc>
          <w:tcPr>
            <w:tcW w:w="553" w:type="pct"/>
            <w:vAlign w:val="center"/>
          </w:tcPr>
          <w:p>
            <w:pPr>
              <w:pStyle w:val="33"/>
              <w:bidi w:val="0"/>
              <w:jc w:val="center"/>
            </w:pPr>
            <w:r>
              <w:t>监测值</w:t>
            </w:r>
          </w:p>
        </w:tc>
        <w:tc>
          <w:tcPr>
            <w:tcW w:w="533" w:type="pct"/>
            <w:vAlign w:val="center"/>
          </w:tcPr>
          <w:p>
            <w:pPr>
              <w:pStyle w:val="33"/>
              <w:bidi w:val="0"/>
              <w:jc w:val="center"/>
            </w:pPr>
            <w:r>
              <w:t>评价</w:t>
            </w:r>
          </w:p>
        </w:tc>
        <w:tc>
          <w:tcPr>
            <w:tcW w:w="514" w:type="pct"/>
            <w:vAlign w:val="center"/>
          </w:tcPr>
          <w:p>
            <w:pPr>
              <w:pStyle w:val="33"/>
              <w:bidi w:val="0"/>
              <w:jc w:val="center"/>
            </w:pPr>
            <w:r>
              <w:t>监测值</w:t>
            </w:r>
          </w:p>
        </w:tc>
        <w:tc>
          <w:tcPr>
            <w:tcW w:w="586" w:type="pct"/>
            <w:vAlign w:val="center"/>
          </w:tcPr>
          <w:p>
            <w:pPr>
              <w:pStyle w:val="33"/>
              <w:bidi w:val="0"/>
              <w:jc w:val="center"/>
            </w:pPr>
            <w:r>
              <w:t>评价</w:t>
            </w:r>
          </w:p>
        </w:tc>
        <w:tc>
          <w:tcPr>
            <w:tcW w:w="586" w:type="pct"/>
            <w:vAlign w:val="center"/>
          </w:tcPr>
          <w:p>
            <w:pPr>
              <w:pStyle w:val="33"/>
              <w:bidi w:val="0"/>
              <w:jc w:val="center"/>
            </w:pPr>
            <w:r>
              <w:t>监测值</w:t>
            </w:r>
          </w:p>
        </w:tc>
        <w:tc>
          <w:tcPr>
            <w:tcW w:w="590" w:type="pct"/>
            <w:vAlign w:val="center"/>
          </w:tcPr>
          <w:p>
            <w:pPr>
              <w:pStyle w:val="33"/>
              <w:bidi w:val="0"/>
              <w:jc w:val="center"/>
            </w:pPr>
            <w:r>
              <w:t>评价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镉</w:t>
            </w:r>
          </w:p>
        </w:tc>
        <w:tc>
          <w:tcPr>
            <w:tcW w:w="496" w:type="pct"/>
            <w:vAlign w:val="center"/>
          </w:tcPr>
          <w:p>
            <w:pPr>
              <w:pStyle w:val="33"/>
              <w:bidi w:val="0"/>
              <w:jc w:val="center"/>
            </w:pPr>
            <w:r>
              <w:t>65</w:t>
            </w:r>
          </w:p>
        </w:tc>
        <w:tc>
          <w:tcPr>
            <w:tcW w:w="553" w:type="pct"/>
            <w:vAlign w:val="center"/>
          </w:tcPr>
          <w:p>
            <w:pPr>
              <w:pStyle w:val="33"/>
              <w:bidi w:val="0"/>
              <w:jc w:val="center"/>
            </w:pPr>
            <w:r>
              <w:t>0.</w:t>
            </w:r>
            <w:r>
              <w:rPr>
                <w:rFonts w:hint="eastAsia"/>
              </w:rPr>
              <w:t>102</w:t>
            </w:r>
          </w:p>
        </w:tc>
        <w:tc>
          <w:tcPr>
            <w:tcW w:w="533" w:type="pct"/>
            <w:vAlign w:val="center"/>
          </w:tcPr>
          <w:p>
            <w:pPr>
              <w:pStyle w:val="33"/>
              <w:bidi w:val="0"/>
              <w:jc w:val="center"/>
            </w:pPr>
            <w:r>
              <w:t>达标</w:t>
            </w:r>
          </w:p>
        </w:tc>
        <w:tc>
          <w:tcPr>
            <w:tcW w:w="514" w:type="pct"/>
            <w:vAlign w:val="center"/>
          </w:tcPr>
          <w:p>
            <w:pPr>
              <w:pStyle w:val="33"/>
              <w:bidi w:val="0"/>
              <w:jc w:val="center"/>
            </w:pPr>
            <w:r>
              <w:t>0.</w:t>
            </w:r>
            <w:r>
              <w:rPr>
                <w:rFonts w:hint="eastAsia"/>
              </w:rPr>
              <w:t>122</w:t>
            </w:r>
          </w:p>
        </w:tc>
        <w:tc>
          <w:tcPr>
            <w:tcW w:w="586" w:type="pct"/>
            <w:vAlign w:val="center"/>
          </w:tcPr>
          <w:p>
            <w:pPr>
              <w:pStyle w:val="33"/>
              <w:bidi w:val="0"/>
              <w:jc w:val="center"/>
            </w:pPr>
            <w:r>
              <w:t>达标</w:t>
            </w:r>
          </w:p>
        </w:tc>
        <w:tc>
          <w:tcPr>
            <w:tcW w:w="586" w:type="pct"/>
            <w:vAlign w:val="center"/>
          </w:tcPr>
          <w:p>
            <w:pPr>
              <w:pStyle w:val="33"/>
              <w:bidi w:val="0"/>
              <w:jc w:val="center"/>
            </w:pPr>
            <w:r>
              <w:t>&lt;0.07</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汞</w:t>
            </w:r>
          </w:p>
        </w:tc>
        <w:tc>
          <w:tcPr>
            <w:tcW w:w="496" w:type="pct"/>
            <w:vAlign w:val="center"/>
          </w:tcPr>
          <w:p>
            <w:pPr>
              <w:pStyle w:val="33"/>
              <w:bidi w:val="0"/>
              <w:jc w:val="center"/>
            </w:pPr>
            <w:r>
              <w:t>38</w:t>
            </w:r>
          </w:p>
        </w:tc>
        <w:tc>
          <w:tcPr>
            <w:tcW w:w="553" w:type="pct"/>
            <w:vAlign w:val="center"/>
          </w:tcPr>
          <w:p>
            <w:pPr>
              <w:pStyle w:val="33"/>
              <w:bidi w:val="0"/>
              <w:jc w:val="center"/>
            </w:pPr>
            <w:r>
              <w:t>0.</w:t>
            </w:r>
            <w:r>
              <w:rPr>
                <w:rFonts w:hint="eastAsia"/>
              </w:rPr>
              <w:t>045</w:t>
            </w:r>
          </w:p>
        </w:tc>
        <w:tc>
          <w:tcPr>
            <w:tcW w:w="533" w:type="pct"/>
            <w:vAlign w:val="center"/>
          </w:tcPr>
          <w:p>
            <w:pPr>
              <w:pStyle w:val="33"/>
              <w:bidi w:val="0"/>
              <w:jc w:val="center"/>
            </w:pPr>
            <w:r>
              <w:t>达标</w:t>
            </w:r>
          </w:p>
        </w:tc>
        <w:tc>
          <w:tcPr>
            <w:tcW w:w="514" w:type="pct"/>
            <w:vAlign w:val="center"/>
          </w:tcPr>
          <w:p>
            <w:pPr>
              <w:pStyle w:val="33"/>
              <w:bidi w:val="0"/>
              <w:jc w:val="center"/>
            </w:pPr>
            <w:r>
              <w:t>0.</w:t>
            </w:r>
            <w:r>
              <w:rPr>
                <w:rFonts w:hint="eastAsia"/>
              </w:rPr>
              <w:t>034</w:t>
            </w:r>
          </w:p>
        </w:tc>
        <w:tc>
          <w:tcPr>
            <w:tcW w:w="586" w:type="pct"/>
            <w:vAlign w:val="center"/>
          </w:tcPr>
          <w:p>
            <w:pPr>
              <w:pStyle w:val="33"/>
              <w:bidi w:val="0"/>
              <w:jc w:val="center"/>
            </w:pPr>
            <w:r>
              <w:t>达标</w:t>
            </w:r>
          </w:p>
        </w:tc>
        <w:tc>
          <w:tcPr>
            <w:tcW w:w="586" w:type="pct"/>
            <w:vAlign w:val="center"/>
          </w:tcPr>
          <w:p>
            <w:pPr>
              <w:pStyle w:val="33"/>
              <w:bidi w:val="0"/>
              <w:jc w:val="center"/>
            </w:pPr>
            <w:r>
              <w:t>0.</w:t>
            </w:r>
            <w:r>
              <w:rPr>
                <w:rFonts w:hint="eastAsia"/>
              </w:rPr>
              <w:t>121</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砷</w:t>
            </w:r>
          </w:p>
        </w:tc>
        <w:tc>
          <w:tcPr>
            <w:tcW w:w="496" w:type="pct"/>
            <w:vAlign w:val="center"/>
          </w:tcPr>
          <w:p>
            <w:pPr>
              <w:pStyle w:val="33"/>
              <w:bidi w:val="0"/>
              <w:jc w:val="center"/>
            </w:pPr>
            <w:r>
              <w:t>60</w:t>
            </w:r>
          </w:p>
        </w:tc>
        <w:tc>
          <w:tcPr>
            <w:tcW w:w="553" w:type="pct"/>
            <w:vAlign w:val="center"/>
          </w:tcPr>
          <w:p>
            <w:pPr>
              <w:pStyle w:val="33"/>
              <w:bidi w:val="0"/>
              <w:jc w:val="center"/>
            </w:pPr>
            <w:r>
              <w:rPr>
                <w:rFonts w:hint="eastAsia"/>
              </w:rPr>
              <w:t>17.4</w:t>
            </w:r>
          </w:p>
        </w:tc>
        <w:tc>
          <w:tcPr>
            <w:tcW w:w="533" w:type="pct"/>
            <w:vAlign w:val="center"/>
          </w:tcPr>
          <w:p>
            <w:pPr>
              <w:pStyle w:val="33"/>
              <w:bidi w:val="0"/>
              <w:jc w:val="center"/>
            </w:pPr>
            <w:r>
              <w:t>达标</w:t>
            </w:r>
          </w:p>
        </w:tc>
        <w:tc>
          <w:tcPr>
            <w:tcW w:w="514" w:type="pct"/>
            <w:vAlign w:val="center"/>
          </w:tcPr>
          <w:p>
            <w:pPr>
              <w:pStyle w:val="33"/>
              <w:bidi w:val="0"/>
              <w:jc w:val="center"/>
            </w:pPr>
            <w:r>
              <w:rPr>
                <w:rFonts w:hint="eastAsia"/>
              </w:rPr>
              <w:t>16.3</w:t>
            </w:r>
          </w:p>
        </w:tc>
        <w:tc>
          <w:tcPr>
            <w:tcW w:w="586" w:type="pct"/>
            <w:vAlign w:val="center"/>
          </w:tcPr>
          <w:p>
            <w:pPr>
              <w:pStyle w:val="33"/>
              <w:bidi w:val="0"/>
              <w:jc w:val="center"/>
            </w:pPr>
            <w:r>
              <w:t>达标</w:t>
            </w:r>
          </w:p>
        </w:tc>
        <w:tc>
          <w:tcPr>
            <w:tcW w:w="586" w:type="pct"/>
            <w:vAlign w:val="center"/>
          </w:tcPr>
          <w:p>
            <w:pPr>
              <w:pStyle w:val="33"/>
              <w:bidi w:val="0"/>
              <w:jc w:val="center"/>
            </w:pPr>
            <w:r>
              <w:rPr>
                <w:rFonts w:hint="eastAsia"/>
              </w:rPr>
              <w:t>18.7</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铅</w:t>
            </w:r>
          </w:p>
        </w:tc>
        <w:tc>
          <w:tcPr>
            <w:tcW w:w="496" w:type="pct"/>
            <w:vAlign w:val="center"/>
          </w:tcPr>
          <w:p>
            <w:pPr>
              <w:pStyle w:val="33"/>
              <w:bidi w:val="0"/>
              <w:jc w:val="center"/>
            </w:pPr>
            <w:r>
              <w:t>800</w:t>
            </w:r>
          </w:p>
        </w:tc>
        <w:tc>
          <w:tcPr>
            <w:tcW w:w="553" w:type="pct"/>
            <w:vAlign w:val="center"/>
          </w:tcPr>
          <w:p>
            <w:pPr>
              <w:pStyle w:val="33"/>
              <w:bidi w:val="0"/>
              <w:jc w:val="center"/>
            </w:pPr>
            <w:r>
              <w:rPr>
                <w:rFonts w:hint="eastAsia"/>
              </w:rPr>
              <w:t>35.3</w:t>
            </w:r>
          </w:p>
        </w:tc>
        <w:tc>
          <w:tcPr>
            <w:tcW w:w="533" w:type="pct"/>
            <w:vAlign w:val="center"/>
          </w:tcPr>
          <w:p>
            <w:pPr>
              <w:pStyle w:val="33"/>
              <w:bidi w:val="0"/>
              <w:jc w:val="center"/>
            </w:pPr>
            <w:r>
              <w:t>达标</w:t>
            </w:r>
          </w:p>
        </w:tc>
        <w:tc>
          <w:tcPr>
            <w:tcW w:w="514" w:type="pct"/>
            <w:vAlign w:val="center"/>
          </w:tcPr>
          <w:p>
            <w:pPr>
              <w:pStyle w:val="33"/>
              <w:bidi w:val="0"/>
              <w:jc w:val="center"/>
            </w:pPr>
            <w:r>
              <w:rPr>
                <w:rFonts w:hint="eastAsia"/>
              </w:rPr>
              <w:t>33.7</w:t>
            </w:r>
          </w:p>
        </w:tc>
        <w:tc>
          <w:tcPr>
            <w:tcW w:w="586" w:type="pct"/>
            <w:vAlign w:val="center"/>
          </w:tcPr>
          <w:p>
            <w:pPr>
              <w:pStyle w:val="33"/>
              <w:bidi w:val="0"/>
              <w:jc w:val="center"/>
            </w:pPr>
            <w:r>
              <w:t>达标</w:t>
            </w:r>
          </w:p>
        </w:tc>
        <w:tc>
          <w:tcPr>
            <w:tcW w:w="586" w:type="pct"/>
            <w:vAlign w:val="center"/>
          </w:tcPr>
          <w:p>
            <w:pPr>
              <w:pStyle w:val="33"/>
              <w:bidi w:val="0"/>
              <w:jc w:val="center"/>
            </w:pPr>
            <w:r>
              <w:rPr>
                <w:rFonts w:hint="eastAsia"/>
              </w:rPr>
              <w:t>370</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六价铬</w:t>
            </w:r>
          </w:p>
        </w:tc>
        <w:tc>
          <w:tcPr>
            <w:tcW w:w="496" w:type="pct"/>
            <w:vAlign w:val="center"/>
          </w:tcPr>
          <w:p>
            <w:pPr>
              <w:pStyle w:val="33"/>
              <w:bidi w:val="0"/>
              <w:jc w:val="center"/>
            </w:pPr>
            <w:r>
              <w:t>5.7</w:t>
            </w:r>
          </w:p>
        </w:tc>
        <w:tc>
          <w:tcPr>
            <w:tcW w:w="553" w:type="pct"/>
            <w:vAlign w:val="center"/>
          </w:tcPr>
          <w:p>
            <w:pPr>
              <w:pStyle w:val="33"/>
              <w:bidi w:val="0"/>
              <w:jc w:val="center"/>
            </w:pPr>
            <w:r>
              <w:t>＜</w:t>
            </w:r>
            <w:r>
              <w:rPr>
                <w:rFonts w:hint="eastAsia"/>
              </w:rPr>
              <w:t>2</w:t>
            </w:r>
          </w:p>
        </w:tc>
        <w:tc>
          <w:tcPr>
            <w:tcW w:w="533" w:type="pct"/>
            <w:vAlign w:val="center"/>
          </w:tcPr>
          <w:p>
            <w:pPr>
              <w:pStyle w:val="33"/>
              <w:bidi w:val="0"/>
              <w:jc w:val="center"/>
            </w:pPr>
            <w:r>
              <w:t>达标</w:t>
            </w:r>
          </w:p>
        </w:tc>
        <w:tc>
          <w:tcPr>
            <w:tcW w:w="514" w:type="pct"/>
            <w:vAlign w:val="center"/>
          </w:tcPr>
          <w:p>
            <w:pPr>
              <w:pStyle w:val="33"/>
              <w:bidi w:val="0"/>
              <w:jc w:val="center"/>
            </w:pPr>
            <w:r>
              <w:t>＜</w:t>
            </w:r>
            <w:r>
              <w:rPr>
                <w:rFonts w:hint="eastAsia"/>
              </w:rPr>
              <w:t>2</w:t>
            </w:r>
          </w:p>
        </w:tc>
        <w:tc>
          <w:tcPr>
            <w:tcW w:w="586" w:type="pct"/>
            <w:vAlign w:val="center"/>
          </w:tcPr>
          <w:p>
            <w:pPr>
              <w:pStyle w:val="33"/>
              <w:bidi w:val="0"/>
              <w:jc w:val="center"/>
            </w:pPr>
            <w:r>
              <w:t>达标</w:t>
            </w:r>
          </w:p>
        </w:tc>
        <w:tc>
          <w:tcPr>
            <w:tcW w:w="586" w:type="pct"/>
            <w:vAlign w:val="center"/>
          </w:tcPr>
          <w:p>
            <w:pPr>
              <w:pStyle w:val="33"/>
              <w:bidi w:val="0"/>
              <w:jc w:val="center"/>
            </w:pPr>
            <w:r>
              <w:t>＜</w:t>
            </w:r>
            <w:r>
              <w:rPr>
                <w:rFonts w:hint="eastAsia"/>
              </w:rPr>
              <w:t>2</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铜</w:t>
            </w:r>
          </w:p>
        </w:tc>
        <w:tc>
          <w:tcPr>
            <w:tcW w:w="496" w:type="pct"/>
            <w:vAlign w:val="center"/>
          </w:tcPr>
          <w:p>
            <w:pPr>
              <w:pStyle w:val="33"/>
              <w:bidi w:val="0"/>
              <w:jc w:val="center"/>
            </w:pPr>
            <w:r>
              <w:t>18000</w:t>
            </w:r>
          </w:p>
        </w:tc>
        <w:tc>
          <w:tcPr>
            <w:tcW w:w="553" w:type="pct"/>
            <w:vAlign w:val="center"/>
          </w:tcPr>
          <w:p>
            <w:pPr>
              <w:pStyle w:val="33"/>
              <w:bidi w:val="0"/>
              <w:jc w:val="center"/>
            </w:pPr>
            <w:r>
              <w:rPr>
                <w:rFonts w:hint="eastAsia"/>
              </w:rPr>
              <w:t>33.5</w:t>
            </w:r>
          </w:p>
        </w:tc>
        <w:tc>
          <w:tcPr>
            <w:tcW w:w="533" w:type="pct"/>
            <w:vAlign w:val="center"/>
          </w:tcPr>
          <w:p>
            <w:pPr>
              <w:pStyle w:val="33"/>
              <w:bidi w:val="0"/>
              <w:jc w:val="center"/>
            </w:pPr>
            <w:r>
              <w:t>达标</w:t>
            </w:r>
          </w:p>
        </w:tc>
        <w:tc>
          <w:tcPr>
            <w:tcW w:w="514" w:type="pct"/>
            <w:vAlign w:val="center"/>
          </w:tcPr>
          <w:p>
            <w:pPr>
              <w:pStyle w:val="33"/>
              <w:bidi w:val="0"/>
              <w:jc w:val="center"/>
            </w:pPr>
            <w:r>
              <w:rPr>
                <w:rFonts w:hint="eastAsia"/>
              </w:rPr>
              <w:t>43.8</w:t>
            </w:r>
          </w:p>
        </w:tc>
        <w:tc>
          <w:tcPr>
            <w:tcW w:w="586" w:type="pct"/>
            <w:vAlign w:val="center"/>
          </w:tcPr>
          <w:p>
            <w:pPr>
              <w:pStyle w:val="33"/>
              <w:bidi w:val="0"/>
              <w:jc w:val="center"/>
            </w:pPr>
            <w:r>
              <w:t>达标</w:t>
            </w:r>
          </w:p>
        </w:tc>
        <w:tc>
          <w:tcPr>
            <w:tcW w:w="586" w:type="pct"/>
            <w:vAlign w:val="center"/>
          </w:tcPr>
          <w:p>
            <w:pPr>
              <w:pStyle w:val="33"/>
              <w:bidi w:val="0"/>
              <w:jc w:val="center"/>
            </w:pPr>
            <w:r>
              <w:rPr>
                <w:rFonts w:hint="eastAsia"/>
              </w:rPr>
              <w:t>25.1</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镍</w:t>
            </w:r>
          </w:p>
        </w:tc>
        <w:tc>
          <w:tcPr>
            <w:tcW w:w="496" w:type="pct"/>
            <w:vAlign w:val="center"/>
          </w:tcPr>
          <w:p>
            <w:pPr>
              <w:pStyle w:val="33"/>
              <w:bidi w:val="0"/>
              <w:jc w:val="center"/>
            </w:pPr>
            <w:r>
              <w:t>900</w:t>
            </w:r>
          </w:p>
        </w:tc>
        <w:tc>
          <w:tcPr>
            <w:tcW w:w="553" w:type="pct"/>
            <w:vAlign w:val="center"/>
          </w:tcPr>
          <w:p>
            <w:pPr>
              <w:pStyle w:val="33"/>
              <w:bidi w:val="0"/>
              <w:jc w:val="center"/>
            </w:pPr>
            <w:r>
              <w:rPr>
                <w:rFonts w:hint="eastAsia"/>
              </w:rPr>
              <w:t>29.2</w:t>
            </w:r>
          </w:p>
        </w:tc>
        <w:tc>
          <w:tcPr>
            <w:tcW w:w="533" w:type="pct"/>
            <w:vAlign w:val="center"/>
          </w:tcPr>
          <w:p>
            <w:pPr>
              <w:pStyle w:val="33"/>
              <w:bidi w:val="0"/>
              <w:jc w:val="center"/>
            </w:pPr>
            <w:r>
              <w:t>达标</w:t>
            </w:r>
          </w:p>
        </w:tc>
        <w:tc>
          <w:tcPr>
            <w:tcW w:w="514" w:type="pct"/>
            <w:vAlign w:val="center"/>
          </w:tcPr>
          <w:p>
            <w:pPr>
              <w:pStyle w:val="33"/>
              <w:bidi w:val="0"/>
              <w:jc w:val="center"/>
            </w:pPr>
            <w:r>
              <w:rPr>
                <w:rFonts w:hint="eastAsia"/>
              </w:rPr>
              <w:t>43.7</w:t>
            </w:r>
          </w:p>
        </w:tc>
        <w:tc>
          <w:tcPr>
            <w:tcW w:w="586" w:type="pct"/>
            <w:vAlign w:val="center"/>
          </w:tcPr>
          <w:p>
            <w:pPr>
              <w:pStyle w:val="33"/>
              <w:bidi w:val="0"/>
              <w:jc w:val="center"/>
            </w:pPr>
            <w:r>
              <w:t>达标</w:t>
            </w:r>
          </w:p>
        </w:tc>
        <w:tc>
          <w:tcPr>
            <w:tcW w:w="586" w:type="pct"/>
            <w:vAlign w:val="center"/>
          </w:tcPr>
          <w:p>
            <w:pPr>
              <w:pStyle w:val="33"/>
              <w:bidi w:val="0"/>
              <w:jc w:val="center"/>
            </w:pPr>
            <w:r>
              <w:rPr>
                <w:rFonts w:hint="eastAsia"/>
              </w:rPr>
              <w:t>23.5</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氟化物</w:t>
            </w:r>
          </w:p>
        </w:tc>
        <w:tc>
          <w:tcPr>
            <w:tcW w:w="496" w:type="pct"/>
            <w:vAlign w:val="center"/>
          </w:tcPr>
          <w:p>
            <w:pPr>
              <w:pStyle w:val="33"/>
              <w:bidi w:val="0"/>
              <w:jc w:val="center"/>
            </w:pPr>
            <w:r>
              <w:t>/</w:t>
            </w:r>
          </w:p>
        </w:tc>
        <w:tc>
          <w:tcPr>
            <w:tcW w:w="553" w:type="pct"/>
            <w:vAlign w:val="center"/>
          </w:tcPr>
          <w:p>
            <w:pPr>
              <w:pStyle w:val="33"/>
              <w:bidi w:val="0"/>
              <w:jc w:val="center"/>
            </w:pPr>
            <w:r>
              <w:rPr>
                <w:rFonts w:hint="eastAsia"/>
              </w:rPr>
              <w:t>692</w:t>
            </w:r>
          </w:p>
        </w:tc>
        <w:tc>
          <w:tcPr>
            <w:tcW w:w="533" w:type="pct"/>
            <w:vAlign w:val="center"/>
          </w:tcPr>
          <w:p>
            <w:pPr>
              <w:pStyle w:val="33"/>
              <w:bidi w:val="0"/>
              <w:jc w:val="center"/>
            </w:pPr>
            <w:r>
              <w:t>/</w:t>
            </w:r>
          </w:p>
        </w:tc>
        <w:tc>
          <w:tcPr>
            <w:tcW w:w="514" w:type="pct"/>
            <w:vAlign w:val="center"/>
          </w:tcPr>
          <w:p>
            <w:pPr>
              <w:pStyle w:val="33"/>
              <w:bidi w:val="0"/>
              <w:jc w:val="center"/>
            </w:pPr>
            <w:r>
              <w:rPr>
                <w:rFonts w:hint="eastAsia"/>
              </w:rPr>
              <w:t>758</w:t>
            </w:r>
          </w:p>
        </w:tc>
        <w:tc>
          <w:tcPr>
            <w:tcW w:w="586" w:type="pct"/>
            <w:vAlign w:val="center"/>
          </w:tcPr>
          <w:p>
            <w:pPr>
              <w:pStyle w:val="33"/>
              <w:bidi w:val="0"/>
              <w:jc w:val="center"/>
            </w:pPr>
            <w:r>
              <w:t>/</w:t>
            </w:r>
          </w:p>
        </w:tc>
        <w:tc>
          <w:tcPr>
            <w:tcW w:w="586" w:type="pct"/>
            <w:vAlign w:val="center"/>
          </w:tcPr>
          <w:p>
            <w:pPr>
              <w:pStyle w:val="33"/>
              <w:bidi w:val="0"/>
              <w:jc w:val="center"/>
            </w:pPr>
            <w:r>
              <w:rPr>
                <w:rFonts w:hint="eastAsia"/>
              </w:rPr>
              <w:t>811</w:t>
            </w:r>
          </w:p>
        </w:tc>
        <w:tc>
          <w:tcPr>
            <w:tcW w:w="590" w:type="pct"/>
            <w:vAlign w:val="center"/>
          </w:tcPr>
          <w:p>
            <w:pPr>
              <w:pStyle w:val="33"/>
              <w:bidi w:val="0"/>
              <w:jc w:val="center"/>
            </w:pP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四氯化碳</w:t>
            </w:r>
          </w:p>
        </w:tc>
        <w:tc>
          <w:tcPr>
            <w:tcW w:w="496" w:type="pct"/>
            <w:vAlign w:val="center"/>
          </w:tcPr>
          <w:p>
            <w:pPr>
              <w:pStyle w:val="33"/>
              <w:bidi w:val="0"/>
              <w:jc w:val="center"/>
            </w:pPr>
            <w:r>
              <w:t>2.8</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氯仿</w:t>
            </w:r>
          </w:p>
        </w:tc>
        <w:tc>
          <w:tcPr>
            <w:tcW w:w="496" w:type="pct"/>
            <w:vAlign w:val="center"/>
          </w:tcPr>
          <w:p>
            <w:pPr>
              <w:pStyle w:val="33"/>
              <w:bidi w:val="0"/>
              <w:jc w:val="center"/>
            </w:pPr>
            <w:r>
              <w:t>0.9</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1,1-二氯乙烷</w:t>
            </w:r>
          </w:p>
        </w:tc>
        <w:tc>
          <w:tcPr>
            <w:tcW w:w="496" w:type="pct"/>
            <w:vAlign w:val="center"/>
          </w:tcPr>
          <w:p>
            <w:pPr>
              <w:pStyle w:val="33"/>
              <w:bidi w:val="0"/>
              <w:jc w:val="center"/>
            </w:pPr>
            <w:r>
              <w:t>9</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1,2-二氯乙烷</w:t>
            </w:r>
          </w:p>
        </w:tc>
        <w:tc>
          <w:tcPr>
            <w:tcW w:w="496" w:type="pct"/>
            <w:vAlign w:val="center"/>
          </w:tcPr>
          <w:p>
            <w:pPr>
              <w:pStyle w:val="33"/>
              <w:bidi w:val="0"/>
              <w:jc w:val="center"/>
            </w:pPr>
            <w:r>
              <w:t>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1,1-二氯乙烯</w:t>
            </w:r>
          </w:p>
        </w:tc>
        <w:tc>
          <w:tcPr>
            <w:tcW w:w="496" w:type="pct"/>
            <w:vAlign w:val="center"/>
          </w:tcPr>
          <w:p>
            <w:pPr>
              <w:pStyle w:val="33"/>
              <w:bidi w:val="0"/>
              <w:jc w:val="center"/>
            </w:pPr>
            <w:r>
              <w:t>66</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顺-1,2-二氯乙烯</w:t>
            </w:r>
          </w:p>
        </w:tc>
        <w:tc>
          <w:tcPr>
            <w:tcW w:w="496" w:type="pct"/>
            <w:vAlign w:val="center"/>
          </w:tcPr>
          <w:p>
            <w:pPr>
              <w:pStyle w:val="33"/>
              <w:bidi w:val="0"/>
              <w:jc w:val="center"/>
            </w:pPr>
            <w:r>
              <w:t>596</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反-1,2-二氯乙烯</w:t>
            </w:r>
          </w:p>
        </w:tc>
        <w:tc>
          <w:tcPr>
            <w:tcW w:w="496" w:type="pct"/>
            <w:vAlign w:val="center"/>
          </w:tcPr>
          <w:p>
            <w:pPr>
              <w:pStyle w:val="33"/>
              <w:bidi w:val="0"/>
              <w:jc w:val="center"/>
            </w:pPr>
            <w:r>
              <w:t>54</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二氯甲烷</w:t>
            </w:r>
          </w:p>
        </w:tc>
        <w:tc>
          <w:tcPr>
            <w:tcW w:w="496" w:type="pct"/>
            <w:vAlign w:val="center"/>
          </w:tcPr>
          <w:p>
            <w:pPr>
              <w:pStyle w:val="33"/>
              <w:bidi w:val="0"/>
              <w:jc w:val="center"/>
            </w:pPr>
            <w:r>
              <w:t>616</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1,2-二氯丙烷</w:t>
            </w:r>
          </w:p>
        </w:tc>
        <w:tc>
          <w:tcPr>
            <w:tcW w:w="496" w:type="pct"/>
            <w:vAlign w:val="center"/>
          </w:tcPr>
          <w:p>
            <w:pPr>
              <w:pStyle w:val="33"/>
              <w:bidi w:val="0"/>
              <w:jc w:val="center"/>
            </w:pPr>
            <w:r>
              <w:t>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1,1,1,2-四氯乙烷</w:t>
            </w:r>
          </w:p>
        </w:tc>
        <w:tc>
          <w:tcPr>
            <w:tcW w:w="496" w:type="pct"/>
            <w:vAlign w:val="center"/>
          </w:tcPr>
          <w:p>
            <w:pPr>
              <w:pStyle w:val="33"/>
              <w:bidi w:val="0"/>
              <w:jc w:val="center"/>
            </w:pPr>
            <w:r>
              <w:t>10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1,1,2,2-四氯乙烷</w:t>
            </w:r>
          </w:p>
        </w:tc>
        <w:tc>
          <w:tcPr>
            <w:tcW w:w="496" w:type="pct"/>
            <w:vAlign w:val="center"/>
          </w:tcPr>
          <w:p>
            <w:pPr>
              <w:pStyle w:val="33"/>
              <w:bidi w:val="0"/>
              <w:jc w:val="center"/>
            </w:pPr>
            <w:r>
              <w:t>6.8</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四氯乙烯</w:t>
            </w:r>
          </w:p>
        </w:tc>
        <w:tc>
          <w:tcPr>
            <w:tcW w:w="496" w:type="pct"/>
            <w:vAlign w:val="center"/>
          </w:tcPr>
          <w:p>
            <w:pPr>
              <w:pStyle w:val="33"/>
              <w:bidi w:val="0"/>
              <w:jc w:val="center"/>
            </w:pPr>
            <w:r>
              <w:t>53</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1,1,1-三氯乙烷</w:t>
            </w:r>
          </w:p>
        </w:tc>
        <w:tc>
          <w:tcPr>
            <w:tcW w:w="496" w:type="pct"/>
            <w:vAlign w:val="center"/>
          </w:tcPr>
          <w:p>
            <w:pPr>
              <w:pStyle w:val="33"/>
              <w:bidi w:val="0"/>
              <w:jc w:val="center"/>
            </w:pPr>
            <w:r>
              <w:t>840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1,1,2-三氯乙烷</w:t>
            </w:r>
          </w:p>
        </w:tc>
        <w:tc>
          <w:tcPr>
            <w:tcW w:w="496" w:type="pct"/>
            <w:vAlign w:val="center"/>
          </w:tcPr>
          <w:p>
            <w:pPr>
              <w:pStyle w:val="33"/>
              <w:bidi w:val="0"/>
              <w:jc w:val="center"/>
            </w:pPr>
            <w:r>
              <w:t>2.8</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三氯乙烯</w:t>
            </w:r>
          </w:p>
        </w:tc>
        <w:tc>
          <w:tcPr>
            <w:tcW w:w="496" w:type="pct"/>
            <w:vAlign w:val="center"/>
          </w:tcPr>
          <w:p>
            <w:pPr>
              <w:pStyle w:val="33"/>
              <w:bidi w:val="0"/>
              <w:jc w:val="center"/>
            </w:pPr>
            <w:r>
              <w:t>2.8</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1,2,3-三氯丙烷</w:t>
            </w:r>
          </w:p>
        </w:tc>
        <w:tc>
          <w:tcPr>
            <w:tcW w:w="496" w:type="pct"/>
            <w:vAlign w:val="center"/>
          </w:tcPr>
          <w:p>
            <w:pPr>
              <w:pStyle w:val="33"/>
              <w:bidi w:val="0"/>
              <w:jc w:val="center"/>
            </w:pPr>
            <w:r>
              <w:t>0.5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氯乙烯</w:t>
            </w:r>
          </w:p>
        </w:tc>
        <w:tc>
          <w:tcPr>
            <w:tcW w:w="496" w:type="pct"/>
            <w:vAlign w:val="center"/>
          </w:tcPr>
          <w:p>
            <w:pPr>
              <w:pStyle w:val="33"/>
              <w:bidi w:val="0"/>
              <w:jc w:val="center"/>
            </w:pPr>
            <w:r>
              <w:t>0.43</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w:t>
            </w:r>
          </w:p>
        </w:tc>
        <w:tc>
          <w:tcPr>
            <w:tcW w:w="496" w:type="pct"/>
            <w:vAlign w:val="center"/>
          </w:tcPr>
          <w:p>
            <w:pPr>
              <w:pStyle w:val="33"/>
              <w:bidi w:val="0"/>
              <w:jc w:val="center"/>
            </w:pPr>
            <w:r>
              <w:t>4</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氯苯</w:t>
            </w:r>
          </w:p>
        </w:tc>
        <w:tc>
          <w:tcPr>
            <w:tcW w:w="496" w:type="pct"/>
            <w:vAlign w:val="center"/>
          </w:tcPr>
          <w:p>
            <w:pPr>
              <w:pStyle w:val="33"/>
              <w:bidi w:val="0"/>
              <w:jc w:val="center"/>
            </w:pPr>
            <w:r>
              <w:t>270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1,2-二氯苯</w:t>
            </w:r>
          </w:p>
        </w:tc>
        <w:tc>
          <w:tcPr>
            <w:tcW w:w="496" w:type="pct"/>
            <w:vAlign w:val="center"/>
          </w:tcPr>
          <w:p>
            <w:pPr>
              <w:pStyle w:val="33"/>
              <w:bidi w:val="0"/>
              <w:jc w:val="center"/>
            </w:pPr>
            <w:r>
              <w:t>560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1,4-二氯苯</w:t>
            </w:r>
          </w:p>
        </w:tc>
        <w:tc>
          <w:tcPr>
            <w:tcW w:w="496" w:type="pct"/>
            <w:vAlign w:val="center"/>
          </w:tcPr>
          <w:p>
            <w:pPr>
              <w:pStyle w:val="33"/>
              <w:bidi w:val="0"/>
              <w:jc w:val="center"/>
            </w:pPr>
            <w:r>
              <w:t>20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乙苯</w:t>
            </w:r>
          </w:p>
        </w:tc>
        <w:tc>
          <w:tcPr>
            <w:tcW w:w="496" w:type="pct"/>
            <w:vAlign w:val="center"/>
          </w:tcPr>
          <w:p>
            <w:pPr>
              <w:pStyle w:val="33"/>
              <w:bidi w:val="0"/>
              <w:jc w:val="center"/>
            </w:pPr>
            <w:r>
              <w:t>28</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苯乙烯</w:t>
            </w:r>
          </w:p>
        </w:tc>
        <w:tc>
          <w:tcPr>
            <w:tcW w:w="496" w:type="pct"/>
            <w:vAlign w:val="center"/>
          </w:tcPr>
          <w:p>
            <w:pPr>
              <w:pStyle w:val="33"/>
              <w:bidi w:val="0"/>
              <w:jc w:val="center"/>
            </w:pPr>
            <w:r>
              <w:t>1290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甲苯</w:t>
            </w:r>
          </w:p>
        </w:tc>
        <w:tc>
          <w:tcPr>
            <w:tcW w:w="496" w:type="pct"/>
            <w:vAlign w:val="center"/>
          </w:tcPr>
          <w:p>
            <w:pPr>
              <w:pStyle w:val="33"/>
              <w:bidi w:val="0"/>
              <w:jc w:val="center"/>
            </w:pPr>
            <w:r>
              <w:t>1200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间二甲苯+对二甲苯</w:t>
            </w:r>
          </w:p>
        </w:tc>
        <w:tc>
          <w:tcPr>
            <w:tcW w:w="496" w:type="pct"/>
            <w:vAlign w:val="center"/>
          </w:tcPr>
          <w:p>
            <w:pPr>
              <w:pStyle w:val="33"/>
              <w:bidi w:val="0"/>
              <w:jc w:val="center"/>
            </w:pPr>
            <w:r>
              <w:t>570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邻二甲苯</w:t>
            </w:r>
          </w:p>
        </w:tc>
        <w:tc>
          <w:tcPr>
            <w:tcW w:w="496" w:type="pct"/>
            <w:vAlign w:val="center"/>
          </w:tcPr>
          <w:p>
            <w:pPr>
              <w:pStyle w:val="33"/>
              <w:bidi w:val="0"/>
              <w:jc w:val="center"/>
            </w:pPr>
            <w:r>
              <w:t>640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硝基苯</w:t>
            </w:r>
          </w:p>
        </w:tc>
        <w:tc>
          <w:tcPr>
            <w:tcW w:w="496" w:type="pct"/>
            <w:vAlign w:val="center"/>
          </w:tcPr>
          <w:p>
            <w:pPr>
              <w:pStyle w:val="33"/>
              <w:bidi w:val="0"/>
              <w:jc w:val="center"/>
            </w:pPr>
            <w:r>
              <w:t>76</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苯胺</w:t>
            </w:r>
          </w:p>
        </w:tc>
        <w:tc>
          <w:tcPr>
            <w:tcW w:w="496" w:type="pct"/>
            <w:vAlign w:val="center"/>
          </w:tcPr>
          <w:p>
            <w:pPr>
              <w:pStyle w:val="33"/>
              <w:bidi w:val="0"/>
              <w:jc w:val="center"/>
            </w:pPr>
            <w:r>
              <w:t>260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rPr>
                <w:rFonts w:hint="eastAsia"/>
              </w:rPr>
              <w:t>0.035</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2-氯酚</w:t>
            </w:r>
          </w:p>
        </w:tc>
        <w:tc>
          <w:tcPr>
            <w:tcW w:w="496" w:type="pct"/>
            <w:vAlign w:val="center"/>
          </w:tcPr>
          <w:p>
            <w:pPr>
              <w:pStyle w:val="33"/>
              <w:bidi w:val="0"/>
              <w:jc w:val="center"/>
            </w:pPr>
            <w:r>
              <w:t>2256</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苯并[a]蒽</w:t>
            </w:r>
          </w:p>
        </w:tc>
        <w:tc>
          <w:tcPr>
            <w:tcW w:w="496" w:type="pct"/>
            <w:vAlign w:val="center"/>
          </w:tcPr>
          <w:p>
            <w:pPr>
              <w:pStyle w:val="33"/>
              <w:bidi w:val="0"/>
              <w:jc w:val="center"/>
            </w:pPr>
            <w:r>
              <w:t>15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苯并[a]芘</w:t>
            </w:r>
          </w:p>
        </w:tc>
        <w:tc>
          <w:tcPr>
            <w:tcW w:w="496" w:type="pct"/>
            <w:vAlign w:val="center"/>
          </w:tcPr>
          <w:p>
            <w:pPr>
              <w:pStyle w:val="33"/>
              <w:bidi w:val="0"/>
              <w:jc w:val="center"/>
            </w:pPr>
            <w:r>
              <w:t>1.5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苯并[b]荧蒽</w:t>
            </w:r>
          </w:p>
        </w:tc>
        <w:tc>
          <w:tcPr>
            <w:tcW w:w="496" w:type="pct"/>
            <w:vAlign w:val="center"/>
          </w:tcPr>
          <w:p>
            <w:pPr>
              <w:pStyle w:val="33"/>
              <w:bidi w:val="0"/>
              <w:jc w:val="center"/>
            </w:pPr>
            <w:r>
              <w:t>15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苯并[k]荧蒽</w:t>
            </w:r>
          </w:p>
        </w:tc>
        <w:tc>
          <w:tcPr>
            <w:tcW w:w="496" w:type="pct"/>
            <w:vAlign w:val="center"/>
          </w:tcPr>
          <w:p>
            <w:pPr>
              <w:pStyle w:val="33"/>
              <w:bidi w:val="0"/>
              <w:jc w:val="center"/>
            </w:pPr>
            <w:r>
              <w:t>151</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䓛</w:t>
            </w:r>
          </w:p>
        </w:tc>
        <w:tc>
          <w:tcPr>
            <w:tcW w:w="496" w:type="pct"/>
            <w:vAlign w:val="center"/>
          </w:tcPr>
          <w:p>
            <w:pPr>
              <w:pStyle w:val="33"/>
              <w:bidi w:val="0"/>
              <w:jc w:val="center"/>
            </w:pPr>
            <w:r>
              <w:t>1293</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二苯并[a,h]蒽</w:t>
            </w:r>
          </w:p>
        </w:tc>
        <w:tc>
          <w:tcPr>
            <w:tcW w:w="496" w:type="pct"/>
            <w:vAlign w:val="center"/>
          </w:tcPr>
          <w:p>
            <w:pPr>
              <w:pStyle w:val="33"/>
              <w:bidi w:val="0"/>
              <w:jc w:val="center"/>
            </w:pPr>
            <w:r>
              <w:t>1.5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139" w:type="pct"/>
            <w:vAlign w:val="center"/>
          </w:tcPr>
          <w:p>
            <w:pPr>
              <w:pStyle w:val="33"/>
              <w:bidi w:val="0"/>
              <w:jc w:val="center"/>
            </w:pPr>
            <w:r>
              <w:t>茚并[1,2,3-cd]芘</w:t>
            </w:r>
          </w:p>
        </w:tc>
        <w:tc>
          <w:tcPr>
            <w:tcW w:w="496" w:type="pct"/>
            <w:vAlign w:val="center"/>
          </w:tcPr>
          <w:p>
            <w:pPr>
              <w:pStyle w:val="33"/>
              <w:bidi w:val="0"/>
              <w:jc w:val="center"/>
            </w:pPr>
            <w:r>
              <w:t>15</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3" w:hRule="atLeast"/>
          <w:jc w:val="center"/>
        </w:trPr>
        <w:tc>
          <w:tcPr>
            <w:tcW w:w="1139" w:type="pct"/>
            <w:vAlign w:val="center"/>
          </w:tcPr>
          <w:p>
            <w:pPr>
              <w:pStyle w:val="33"/>
              <w:bidi w:val="0"/>
              <w:jc w:val="center"/>
            </w:pPr>
            <w:r>
              <w:t>萘</w:t>
            </w:r>
          </w:p>
        </w:tc>
        <w:tc>
          <w:tcPr>
            <w:tcW w:w="496" w:type="pct"/>
            <w:vAlign w:val="center"/>
          </w:tcPr>
          <w:p>
            <w:pPr>
              <w:pStyle w:val="33"/>
              <w:bidi w:val="0"/>
              <w:jc w:val="center"/>
            </w:pPr>
            <w:r>
              <w:t>70</w:t>
            </w:r>
          </w:p>
        </w:tc>
        <w:tc>
          <w:tcPr>
            <w:tcW w:w="553" w:type="pct"/>
            <w:vAlign w:val="center"/>
          </w:tcPr>
          <w:p>
            <w:pPr>
              <w:pStyle w:val="33"/>
              <w:bidi w:val="0"/>
              <w:jc w:val="center"/>
            </w:pPr>
            <w:r>
              <w:t>ND</w:t>
            </w:r>
          </w:p>
        </w:tc>
        <w:tc>
          <w:tcPr>
            <w:tcW w:w="533" w:type="pct"/>
            <w:vAlign w:val="center"/>
          </w:tcPr>
          <w:p>
            <w:pPr>
              <w:pStyle w:val="33"/>
              <w:bidi w:val="0"/>
              <w:jc w:val="center"/>
            </w:pPr>
            <w:r>
              <w:t>达标</w:t>
            </w:r>
          </w:p>
        </w:tc>
        <w:tc>
          <w:tcPr>
            <w:tcW w:w="514" w:type="pct"/>
            <w:vAlign w:val="center"/>
          </w:tcPr>
          <w:p>
            <w:pPr>
              <w:pStyle w:val="33"/>
              <w:bidi w:val="0"/>
              <w:jc w:val="center"/>
            </w:pPr>
            <w:r>
              <w:t>ND</w:t>
            </w:r>
          </w:p>
        </w:tc>
        <w:tc>
          <w:tcPr>
            <w:tcW w:w="586" w:type="pct"/>
            <w:vAlign w:val="center"/>
          </w:tcPr>
          <w:p>
            <w:pPr>
              <w:pStyle w:val="33"/>
              <w:bidi w:val="0"/>
              <w:jc w:val="center"/>
            </w:pPr>
            <w:r>
              <w:t>达标</w:t>
            </w:r>
          </w:p>
        </w:tc>
        <w:tc>
          <w:tcPr>
            <w:tcW w:w="586" w:type="pct"/>
            <w:vAlign w:val="center"/>
          </w:tcPr>
          <w:p>
            <w:pPr>
              <w:pStyle w:val="33"/>
              <w:bidi w:val="0"/>
              <w:jc w:val="center"/>
            </w:pPr>
            <w:r>
              <w:t>ND</w:t>
            </w:r>
          </w:p>
        </w:tc>
        <w:tc>
          <w:tcPr>
            <w:tcW w:w="590" w:type="pct"/>
            <w:vAlign w:val="center"/>
          </w:tcPr>
          <w:p>
            <w:pPr>
              <w:pStyle w:val="33"/>
              <w:bidi w:val="0"/>
              <w:jc w:val="center"/>
            </w:pPr>
            <w:r>
              <w:t>达标</w:t>
            </w:r>
          </w:p>
        </w:tc>
      </w:tr>
    </w:tbl>
    <w:p>
      <w:pPr>
        <w:pStyle w:val="44"/>
        <w:bidi w:val="0"/>
        <w:jc w:val="both"/>
      </w:pPr>
      <w:r>
        <w:rPr>
          <w:rFonts w:hint="eastAsia"/>
        </w:rPr>
        <w:t>注：“N</w:t>
      </w:r>
      <w:r>
        <w:t>D</w:t>
      </w:r>
      <w:r>
        <w:rPr>
          <w:rFonts w:hint="eastAsia"/>
        </w:rPr>
        <w:t>”表示低于检出限。</w:t>
      </w:r>
    </w:p>
    <w:p>
      <w:pPr>
        <w:pStyle w:val="7"/>
        <w:bidi w:val="0"/>
      </w:pPr>
      <w:r>
        <w:t>监测结果表明，</w:t>
      </w:r>
      <w:r>
        <w:rPr>
          <w:rFonts w:hint="eastAsia"/>
        </w:rPr>
        <w:t>项目内厂区中心2#</w:t>
      </w:r>
      <w:r>
        <w:t>监测点采样监测的各监测因子均满足《土壤环境质量 建设用地土壤污染风险管控标准(试行)》(GB36600-2018)中第二类用地标准</w:t>
      </w:r>
      <w:r>
        <w:rPr>
          <w:rFonts w:hint="eastAsia"/>
        </w:rPr>
        <w:t>中筛选值</w:t>
      </w:r>
      <w:r>
        <w:t>要求。</w:t>
      </w:r>
    </w:p>
    <w:p>
      <w:pPr>
        <w:pStyle w:val="7"/>
        <w:bidi w:val="0"/>
        <w:ind w:left="0" w:leftChars="0" w:firstLine="0" w:firstLineChars="0"/>
      </w:pPr>
    </w:p>
    <w:p>
      <w:pPr>
        <w:pStyle w:val="41"/>
        <w:bidi w:val="0"/>
      </w:pPr>
      <w:r>
        <w:t>表</w:t>
      </w:r>
      <w:r>
        <w:rPr>
          <w:rFonts w:hint="eastAsia"/>
          <w:lang w:val="en-US" w:eastAsia="zh-CN"/>
        </w:rPr>
        <w:t>5</w:t>
      </w:r>
      <w:r>
        <w:t>.3-2</w:t>
      </w:r>
      <w:r>
        <w:rPr>
          <w:rFonts w:hint="eastAsia"/>
        </w:rPr>
        <w:t>5</w:t>
      </w:r>
      <w:r>
        <w:t xml:space="preserve">  土壤现状监测结果  </w:t>
      </w:r>
      <w:r>
        <w:rPr>
          <w:rFonts w:hint="eastAsia"/>
          <w:lang w:val="en-US" w:eastAsia="zh-CN"/>
        </w:rPr>
        <w:t xml:space="preserve"> </w:t>
      </w:r>
      <w:r>
        <w:t xml:space="preserve"> （单位：mg/Kg）</w:t>
      </w:r>
    </w:p>
    <w:tbl>
      <w:tblPr>
        <w:tblStyle w:val="27"/>
        <w:tblW w:w="48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458"/>
        <w:gridCol w:w="874"/>
        <w:gridCol w:w="975"/>
        <w:gridCol w:w="975"/>
        <w:gridCol w:w="975"/>
        <w:gridCol w:w="975"/>
        <w:gridCol w:w="975"/>
        <w:gridCol w:w="97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91" w:type="pct"/>
            <w:vAlign w:val="center"/>
          </w:tcPr>
          <w:p>
            <w:pPr>
              <w:pStyle w:val="33"/>
              <w:bidi w:val="0"/>
            </w:pPr>
            <w:r>
              <w:t>点 位</w:t>
            </w:r>
          </w:p>
        </w:tc>
        <w:tc>
          <w:tcPr>
            <w:tcW w:w="534" w:type="pct"/>
            <w:vMerge w:val="restart"/>
            <w:vAlign w:val="center"/>
          </w:tcPr>
          <w:p>
            <w:pPr>
              <w:pStyle w:val="33"/>
              <w:bidi w:val="0"/>
            </w:pPr>
            <w:r>
              <w:t>标准值</w:t>
            </w:r>
          </w:p>
        </w:tc>
        <w:tc>
          <w:tcPr>
            <w:tcW w:w="3575" w:type="pct"/>
            <w:gridSpan w:val="6"/>
            <w:vAlign w:val="center"/>
          </w:tcPr>
          <w:p>
            <w:pPr>
              <w:pStyle w:val="33"/>
              <w:bidi w:val="0"/>
            </w:pPr>
            <w:r>
              <w:t>项目内</w:t>
            </w:r>
            <w:r>
              <w:rPr>
                <w:rFonts w:hint="eastAsia"/>
              </w:rPr>
              <w:t>北侧3</w:t>
            </w:r>
            <w: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91" w:type="pct"/>
            <w:vMerge w:val="restart"/>
            <w:vAlign w:val="center"/>
          </w:tcPr>
          <w:p>
            <w:pPr>
              <w:pStyle w:val="33"/>
              <w:bidi w:val="0"/>
            </w:pPr>
            <w:r>
              <w:t>项目</w:t>
            </w:r>
          </w:p>
        </w:tc>
        <w:tc>
          <w:tcPr>
            <w:tcW w:w="534" w:type="pct"/>
            <w:vMerge w:val="continue"/>
            <w:vAlign w:val="center"/>
          </w:tcPr>
          <w:p>
            <w:pPr>
              <w:pStyle w:val="33"/>
              <w:bidi w:val="0"/>
            </w:pPr>
          </w:p>
        </w:tc>
        <w:tc>
          <w:tcPr>
            <w:tcW w:w="1192" w:type="pct"/>
            <w:gridSpan w:val="2"/>
            <w:vAlign w:val="center"/>
          </w:tcPr>
          <w:p>
            <w:pPr>
              <w:pStyle w:val="33"/>
              <w:bidi w:val="0"/>
            </w:pPr>
            <w:r>
              <w:t>0~0.5m</w:t>
            </w:r>
          </w:p>
        </w:tc>
        <w:tc>
          <w:tcPr>
            <w:tcW w:w="1192" w:type="pct"/>
            <w:gridSpan w:val="2"/>
          </w:tcPr>
          <w:p>
            <w:pPr>
              <w:pStyle w:val="33"/>
              <w:bidi w:val="0"/>
            </w:pPr>
            <w:r>
              <w:t>0.5~1.5m</w:t>
            </w:r>
          </w:p>
        </w:tc>
        <w:tc>
          <w:tcPr>
            <w:tcW w:w="1191" w:type="pct"/>
            <w:gridSpan w:val="2"/>
          </w:tcPr>
          <w:p>
            <w:pPr>
              <w:pStyle w:val="33"/>
              <w:bidi w:val="0"/>
            </w:pPr>
            <w:r>
              <w:t>1.5~3m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891" w:type="pct"/>
            <w:vMerge w:val="continue"/>
            <w:vAlign w:val="center"/>
          </w:tcPr>
          <w:p>
            <w:pPr>
              <w:pStyle w:val="33"/>
              <w:bidi w:val="0"/>
            </w:pPr>
          </w:p>
        </w:tc>
        <w:tc>
          <w:tcPr>
            <w:tcW w:w="534" w:type="pct"/>
            <w:vMerge w:val="continue"/>
            <w:vAlign w:val="center"/>
          </w:tcPr>
          <w:p>
            <w:pPr>
              <w:pStyle w:val="33"/>
              <w:bidi w:val="0"/>
            </w:pPr>
          </w:p>
        </w:tc>
        <w:tc>
          <w:tcPr>
            <w:tcW w:w="596" w:type="pct"/>
            <w:vAlign w:val="center"/>
          </w:tcPr>
          <w:p>
            <w:pPr>
              <w:pStyle w:val="33"/>
              <w:bidi w:val="0"/>
            </w:pPr>
            <w:r>
              <w:t>监测值</w:t>
            </w:r>
          </w:p>
        </w:tc>
        <w:tc>
          <w:tcPr>
            <w:tcW w:w="596" w:type="pct"/>
            <w:vAlign w:val="center"/>
          </w:tcPr>
          <w:p>
            <w:pPr>
              <w:pStyle w:val="33"/>
              <w:bidi w:val="0"/>
            </w:pPr>
            <w:r>
              <w:t>评价</w:t>
            </w:r>
          </w:p>
        </w:tc>
        <w:tc>
          <w:tcPr>
            <w:tcW w:w="596" w:type="pct"/>
            <w:vAlign w:val="center"/>
          </w:tcPr>
          <w:p>
            <w:pPr>
              <w:pStyle w:val="33"/>
              <w:bidi w:val="0"/>
            </w:pPr>
            <w:r>
              <w:t>监测值</w:t>
            </w:r>
          </w:p>
        </w:tc>
        <w:tc>
          <w:tcPr>
            <w:tcW w:w="596" w:type="pct"/>
            <w:vAlign w:val="center"/>
          </w:tcPr>
          <w:p>
            <w:pPr>
              <w:pStyle w:val="33"/>
              <w:bidi w:val="0"/>
            </w:pPr>
            <w:r>
              <w:t>评价</w:t>
            </w:r>
          </w:p>
        </w:tc>
        <w:tc>
          <w:tcPr>
            <w:tcW w:w="596" w:type="pct"/>
            <w:vAlign w:val="center"/>
          </w:tcPr>
          <w:p>
            <w:pPr>
              <w:pStyle w:val="33"/>
              <w:bidi w:val="0"/>
            </w:pPr>
            <w:r>
              <w:t>监测值</w:t>
            </w:r>
          </w:p>
        </w:tc>
        <w:tc>
          <w:tcPr>
            <w:tcW w:w="595" w:type="pct"/>
            <w:vAlign w:val="center"/>
          </w:tcPr>
          <w:p>
            <w:pPr>
              <w:pStyle w:val="33"/>
              <w:bidi w:val="0"/>
            </w:pPr>
            <w:r>
              <w:t>评价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镉</w:t>
            </w:r>
          </w:p>
        </w:tc>
        <w:tc>
          <w:tcPr>
            <w:tcW w:w="534" w:type="pct"/>
            <w:vAlign w:val="center"/>
          </w:tcPr>
          <w:p>
            <w:pPr>
              <w:pStyle w:val="33"/>
              <w:bidi w:val="0"/>
            </w:pPr>
            <w:r>
              <w:t>65</w:t>
            </w:r>
          </w:p>
        </w:tc>
        <w:tc>
          <w:tcPr>
            <w:tcW w:w="596" w:type="pct"/>
            <w:vAlign w:val="center"/>
          </w:tcPr>
          <w:p>
            <w:pPr>
              <w:pStyle w:val="33"/>
              <w:bidi w:val="0"/>
            </w:pPr>
            <w:r>
              <w:rPr>
                <w:rFonts w:hint="eastAsia"/>
              </w:rPr>
              <w:t>0.176</w:t>
            </w:r>
          </w:p>
        </w:tc>
        <w:tc>
          <w:tcPr>
            <w:tcW w:w="596" w:type="pct"/>
            <w:vAlign w:val="center"/>
          </w:tcPr>
          <w:p>
            <w:pPr>
              <w:pStyle w:val="33"/>
              <w:bidi w:val="0"/>
            </w:pPr>
            <w:r>
              <w:t>达标</w:t>
            </w:r>
          </w:p>
        </w:tc>
        <w:tc>
          <w:tcPr>
            <w:tcW w:w="596" w:type="pct"/>
          </w:tcPr>
          <w:p>
            <w:pPr>
              <w:pStyle w:val="33"/>
              <w:bidi w:val="0"/>
            </w:pPr>
            <w:r>
              <w:t>&lt;0.07</w:t>
            </w:r>
          </w:p>
        </w:tc>
        <w:tc>
          <w:tcPr>
            <w:tcW w:w="596" w:type="pct"/>
            <w:vAlign w:val="center"/>
          </w:tcPr>
          <w:p>
            <w:pPr>
              <w:pStyle w:val="33"/>
              <w:bidi w:val="0"/>
            </w:pPr>
            <w:r>
              <w:t>达标</w:t>
            </w:r>
          </w:p>
        </w:tc>
        <w:tc>
          <w:tcPr>
            <w:tcW w:w="596" w:type="pct"/>
          </w:tcPr>
          <w:p>
            <w:pPr>
              <w:pStyle w:val="33"/>
              <w:bidi w:val="0"/>
            </w:pPr>
            <w:r>
              <w:t>0.</w:t>
            </w:r>
            <w:r>
              <w:rPr>
                <w:rFonts w:hint="eastAsia"/>
              </w:rPr>
              <w:t>073</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汞</w:t>
            </w:r>
          </w:p>
        </w:tc>
        <w:tc>
          <w:tcPr>
            <w:tcW w:w="534" w:type="pct"/>
            <w:vAlign w:val="center"/>
          </w:tcPr>
          <w:p>
            <w:pPr>
              <w:pStyle w:val="33"/>
              <w:bidi w:val="0"/>
            </w:pPr>
            <w:r>
              <w:t>38</w:t>
            </w:r>
          </w:p>
        </w:tc>
        <w:tc>
          <w:tcPr>
            <w:tcW w:w="596" w:type="pct"/>
            <w:vAlign w:val="center"/>
          </w:tcPr>
          <w:p>
            <w:pPr>
              <w:pStyle w:val="33"/>
              <w:bidi w:val="0"/>
            </w:pPr>
            <w:r>
              <w:rPr>
                <w:rFonts w:hint="eastAsia"/>
              </w:rPr>
              <w:t>0.054</w:t>
            </w:r>
          </w:p>
        </w:tc>
        <w:tc>
          <w:tcPr>
            <w:tcW w:w="596" w:type="pct"/>
            <w:vAlign w:val="center"/>
          </w:tcPr>
          <w:p>
            <w:pPr>
              <w:pStyle w:val="33"/>
              <w:bidi w:val="0"/>
            </w:pPr>
            <w:r>
              <w:t>达标</w:t>
            </w:r>
          </w:p>
        </w:tc>
        <w:tc>
          <w:tcPr>
            <w:tcW w:w="596" w:type="pct"/>
          </w:tcPr>
          <w:p>
            <w:pPr>
              <w:pStyle w:val="33"/>
              <w:bidi w:val="0"/>
            </w:pPr>
            <w:r>
              <w:t>0.</w:t>
            </w:r>
            <w:r>
              <w:rPr>
                <w:rFonts w:hint="eastAsia"/>
              </w:rPr>
              <w:t>092</w:t>
            </w:r>
          </w:p>
        </w:tc>
        <w:tc>
          <w:tcPr>
            <w:tcW w:w="596" w:type="pct"/>
            <w:vAlign w:val="center"/>
          </w:tcPr>
          <w:p>
            <w:pPr>
              <w:pStyle w:val="33"/>
              <w:bidi w:val="0"/>
            </w:pPr>
            <w:r>
              <w:t>达标</w:t>
            </w:r>
          </w:p>
        </w:tc>
        <w:tc>
          <w:tcPr>
            <w:tcW w:w="596" w:type="pct"/>
          </w:tcPr>
          <w:p>
            <w:pPr>
              <w:pStyle w:val="33"/>
              <w:bidi w:val="0"/>
            </w:pPr>
            <w:r>
              <w:t>0.</w:t>
            </w:r>
            <w:r>
              <w:rPr>
                <w:rFonts w:hint="eastAsia"/>
              </w:rPr>
              <w:t>094</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砷</w:t>
            </w:r>
          </w:p>
        </w:tc>
        <w:tc>
          <w:tcPr>
            <w:tcW w:w="534" w:type="pct"/>
            <w:vAlign w:val="center"/>
          </w:tcPr>
          <w:p>
            <w:pPr>
              <w:pStyle w:val="33"/>
              <w:bidi w:val="0"/>
            </w:pPr>
            <w:r>
              <w:t>60</w:t>
            </w:r>
          </w:p>
        </w:tc>
        <w:tc>
          <w:tcPr>
            <w:tcW w:w="596" w:type="pct"/>
            <w:vAlign w:val="center"/>
          </w:tcPr>
          <w:p>
            <w:pPr>
              <w:pStyle w:val="33"/>
              <w:bidi w:val="0"/>
            </w:pPr>
            <w:r>
              <w:rPr>
                <w:rFonts w:hint="eastAsia"/>
              </w:rPr>
              <w:t>20.0</w:t>
            </w:r>
          </w:p>
        </w:tc>
        <w:tc>
          <w:tcPr>
            <w:tcW w:w="596" w:type="pct"/>
            <w:vAlign w:val="center"/>
          </w:tcPr>
          <w:p>
            <w:pPr>
              <w:pStyle w:val="33"/>
              <w:bidi w:val="0"/>
            </w:pPr>
            <w:r>
              <w:t>达标</w:t>
            </w:r>
          </w:p>
        </w:tc>
        <w:tc>
          <w:tcPr>
            <w:tcW w:w="596" w:type="pct"/>
          </w:tcPr>
          <w:p>
            <w:pPr>
              <w:pStyle w:val="33"/>
              <w:bidi w:val="0"/>
            </w:pPr>
            <w:r>
              <w:rPr>
                <w:rFonts w:hint="eastAsia"/>
              </w:rPr>
              <w:t>24.4</w:t>
            </w:r>
          </w:p>
        </w:tc>
        <w:tc>
          <w:tcPr>
            <w:tcW w:w="596" w:type="pct"/>
            <w:vAlign w:val="center"/>
          </w:tcPr>
          <w:p>
            <w:pPr>
              <w:pStyle w:val="33"/>
              <w:bidi w:val="0"/>
            </w:pPr>
            <w:r>
              <w:t>达标</w:t>
            </w:r>
          </w:p>
        </w:tc>
        <w:tc>
          <w:tcPr>
            <w:tcW w:w="596" w:type="pct"/>
          </w:tcPr>
          <w:p>
            <w:pPr>
              <w:pStyle w:val="33"/>
              <w:bidi w:val="0"/>
            </w:pPr>
            <w:r>
              <w:rPr>
                <w:rFonts w:hint="eastAsia"/>
              </w:rPr>
              <w:t>23.7</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铅</w:t>
            </w:r>
          </w:p>
        </w:tc>
        <w:tc>
          <w:tcPr>
            <w:tcW w:w="534" w:type="pct"/>
            <w:vAlign w:val="center"/>
          </w:tcPr>
          <w:p>
            <w:pPr>
              <w:pStyle w:val="33"/>
              <w:bidi w:val="0"/>
            </w:pPr>
            <w:r>
              <w:t>800</w:t>
            </w:r>
          </w:p>
        </w:tc>
        <w:tc>
          <w:tcPr>
            <w:tcW w:w="596" w:type="pct"/>
            <w:vAlign w:val="center"/>
          </w:tcPr>
          <w:p>
            <w:pPr>
              <w:pStyle w:val="33"/>
              <w:bidi w:val="0"/>
            </w:pPr>
            <w:r>
              <w:rPr>
                <w:rFonts w:hint="eastAsia"/>
              </w:rPr>
              <w:t>38.4</w:t>
            </w:r>
          </w:p>
        </w:tc>
        <w:tc>
          <w:tcPr>
            <w:tcW w:w="596" w:type="pct"/>
            <w:vAlign w:val="center"/>
          </w:tcPr>
          <w:p>
            <w:pPr>
              <w:pStyle w:val="33"/>
              <w:bidi w:val="0"/>
            </w:pPr>
            <w:r>
              <w:t>达标</w:t>
            </w:r>
          </w:p>
        </w:tc>
        <w:tc>
          <w:tcPr>
            <w:tcW w:w="596" w:type="pct"/>
          </w:tcPr>
          <w:p>
            <w:pPr>
              <w:pStyle w:val="33"/>
              <w:bidi w:val="0"/>
            </w:pPr>
            <w:r>
              <w:rPr>
                <w:rFonts w:hint="eastAsia"/>
              </w:rPr>
              <w:t>22.0</w:t>
            </w:r>
          </w:p>
        </w:tc>
        <w:tc>
          <w:tcPr>
            <w:tcW w:w="596" w:type="pct"/>
            <w:vAlign w:val="center"/>
          </w:tcPr>
          <w:p>
            <w:pPr>
              <w:pStyle w:val="33"/>
              <w:bidi w:val="0"/>
            </w:pPr>
            <w:r>
              <w:t>达标</w:t>
            </w:r>
          </w:p>
        </w:tc>
        <w:tc>
          <w:tcPr>
            <w:tcW w:w="596" w:type="pct"/>
          </w:tcPr>
          <w:p>
            <w:pPr>
              <w:pStyle w:val="33"/>
              <w:bidi w:val="0"/>
            </w:pPr>
            <w:r>
              <w:rPr>
                <w:rFonts w:hint="eastAsia"/>
              </w:rPr>
              <w:t>20.1</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六价铬</w:t>
            </w:r>
          </w:p>
        </w:tc>
        <w:tc>
          <w:tcPr>
            <w:tcW w:w="534" w:type="pct"/>
            <w:vAlign w:val="center"/>
          </w:tcPr>
          <w:p>
            <w:pPr>
              <w:pStyle w:val="33"/>
              <w:bidi w:val="0"/>
            </w:pPr>
            <w:r>
              <w:t>5.7</w:t>
            </w:r>
          </w:p>
        </w:tc>
        <w:tc>
          <w:tcPr>
            <w:tcW w:w="596" w:type="pct"/>
            <w:vAlign w:val="center"/>
          </w:tcPr>
          <w:p>
            <w:pPr>
              <w:pStyle w:val="33"/>
              <w:bidi w:val="0"/>
            </w:pPr>
            <w:r>
              <w:t>＜</w:t>
            </w:r>
            <w:r>
              <w:rPr>
                <w:rFonts w:hint="eastAsia"/>
              </w:rPr>
              <w:t>2</w:t>
            </w:r>
          </w:p>
        </w:tc>
        <w:tc>
          <w:tcPr>
            <w:tcW w:w="596" w:type="pct"/>
            <w:vAlign w:val="center"/>
          </w:tcPr>
          <w:p>
            <w:pPr>
              <w:pStyle w:val="33"/>
              <w:bidi w:val="0"/>
            </w:pPr>
            <w:r>
              <w:t>达标</w:t>
            </w:r>
          </w:p>
        </w:tc>
        <w:tc>
          <w:tcPr>
            <w:tcW w:w="596" w:type="pct"/>
          </w:tcPr>
          <w:p>
            <w:pPr>
              <w:pStyle w:val="33"/>
              <w:bidi w:val="0"/>
            </w:pPr>
            <w:r>
              <w:t>＜</w:t>
            </w:r>
            <w:r>
              <w:rPr>
                <w:rFonts w:hint="eastAsia"/>
              </w:rPr>
              <w:t>2</w:t>
            </w:r>
          </w:p>
        </w:tc>
        <w:tc>
          <w:tcPr>
            <w:tcW w:w="596" w:type="pct"/>
            <w:vAlign w:val="center"/>
          </w:tcPr>
          <w:p>
            <w:pPr>
              <w:pStyle w:val="33"/>
              <w:bidi w:val="0"/>
            </w:pPr>
            <w:r>
              <w:t>达标</w:t>
            </w:r>
          </w:p>
        </w:tc>
        <w:tc>
          <w:tcPr>
            <w:tcW w:w="596" w:type="pct"/>
          </w:tcPr>
          <w:p>
            <w:pPr>
              <w:pStyle w:val="33"/>
              <w:bidi w:val="0"/>
            </w:pPr>
            <w:r>
              <w:t>＜</w:t>
            </w:r>
            <w:r>
              <w:rPr>
                <w:rFonts w:hint="eastAsia"/>
              </w:rPr>
              <w:t>2</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铜</w:t>
            </w:r>
          </w:p>
        </w:tc>
        <w:tc>
          <w:tcPr>
            <w:tcW w:w="534" w:type="pct"/>
            <w:vAlign w:val="center"/>
          </w:tcPr>
          <w:p>
            <w:pPr>
              <w:pStyle w:val="33"/>
              <w:bidi w:val="0"/>
            </w:pPr>
            <w:r>
              <w:t>18000</w:t>
            </w:r>
          </w:p>
        </w:tc>
        <w:tc>
          <w:tcPr>
            <w:tcW w:w="596" w:type="pct"/>
            <w:vAlign w:val="center"/>
          </w:tcPr>
          <w:p>
            <w:pPr>
              <w:pStyle w:val="33"/>
              <w:bidi w:val="0"/>
            </w:pPr>
            <w:r>
              <w:rPr>
                <w:rFonts w:hint="eastAsia"/>
              </w:rPr>
              <w:t>77.8</w:t>
            </w:r>
          </w:p>
        </w:tc>
        <w:tc>
          <w:tcPr>
            <w:tcW w:w="596" w:type="pct"/>
            <w:vAlign w:val="center"/>
          </w:tcPr>
          <w:p>
            <w:pPr>
              <w:pStyle w:val="33"/>
              <w:bidi w:val="0"/>
            </w:pPr>
            <w:r>
              <w:t>达标</w:t>
            </w:r>
          </w:p>
        </w:tc>
        <w:tc>
          <w:tcPr>
            <w:tcW w:w="596" w:type="pct"/>
          </w:tcPr>
          <w:p>
            <w:pPr>
              <w:pStyle w:val="33"/>
              <w:bidi w:val="0"/>
            </w:pPr>
            <w:r>
              <w:rPr>
                <w:rFonts w:hint="eastAsia"/>
              </w:rPr>
              <w:t>84.2</w:t>
            </w:r>
          </w:p>
        </w:tc>
        <w:tc>
          <w:tcPr>
            <w:tcW w:w="596" w:type="pct"/>
            <w:vAlign w:val="center"/>
          </w:tcPr>
          <w:p>
            <w:pPr>
              <w:pStyle w:val="33"/>
              <w:bidi w:val="0"/>
            </w:pPr>
            <w:r>
              <w:t>达标</w:t>
            </w:r>
          </w:p>
        </w:tc>
        <w:tc>
          <w:tcPr>
            <w:tcW w:w="596" w:type="pct"/>
          </w:tcPr>
          <w:p>
            <w:pPr>
              <w:pStyle w:val="33"/>
              <w:bidi w:val="0"/>
            </w:pPr>
            <w:r>
              <w:rPr>
                <w:rFonts w:hint="eastAsia"/>
              </w:rPr>
              <w:t>83.8</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镍</w:t>
            </w:r>
          </w:p>
        </w:tc>
        <w:tc>
          <w:tcPr>
            <w:tcW w:w="534" w:type="pct"/>
            <w:vAlign w:val="center"/>
          </w:tcPr>
          <w:p>
            <w:pPr>
              <w:pStyle w:val="33"/>
              <w:bidi w:val="0"/>
            </w:pPr>
            <w:r>
              <w:t>900</w:t>
            </w:r>
          </w:p>
        </w:tc>
        <w:tc>
          <w:tcPr>
            <w:tcW w:w="596" w:type="pct"/>
            <w:vAlign w:val="center"/>
          </w:tcPr>
          <w:p>
            <w:pPr>
              <w:pStyle w:val="33"/>
              <w:bidi w:val="0"/>
            </w:pPr>
            <w:r>
              <w:rPr>
                <w:rFonts w:hint="eastAsia"/>
              </w:rPr>
              <w:t>78.5</w:t>
            </w:r>
          </w:p>
        </w:tc>
        <w:tc>
          <w:tcPr>
            <w:tcW w:w="596" w:type="pct"/>
            <w:vAlign w:val="center"/>
          </w:tcPr>
          <w:p>
            <w:pPr>
              <w:pStyle w:val="33"/>
              <w:bidi w:val="0"/>
            </w:pPr>
            <w:r>
              <w:t>达标</w:t>
            </w:r>
          </w:p>
        </w:tc>
        <w:tc>
          <w:tcPr>
            <w:tcW w:w="596" w:type="pct"/>
          </w:tcPr>
          <w:p>
            <w:pPr>
              <w:pStyle w:val="33"/>
              <w:bidi w:val="0"/>
            </w:pPr>
            <w:r>
              <w:rPr>
                <w:rFonts w:hint="eastAsia"/>
              </w:rPr>
              <w:t>92.4</w:t>
            </w:r>
          </w:p>
        </w:tc>
        <w:tc>
          <w:tcPr>
            <w:tcW w:w="596" w:type="pct"/>
            <w:vAlign w:val="center"/>
          </w:tcPr>
          <w:p>
            <w:pPr>
              <w:pStyle w:val="33"/>
              <w:bidi w:val="0"/>
            </w:pPr>
            <w:r>
              <w:t>达标</w:t>
            </w:r>
          </w:p>
        </w:tc>
        <w:tc>
          <w:tcPr>
            <w:tcW w:w="596" w:type="pct"/>
          </w:tcPr>
          <w:p>
            <w:pPr>
              <w:pStyle w:val="33"/>
              <w:bidi w:val="0"/>
            </w:pPr>
            <w:r>
              <w:rPr>
                <w:rFonts w:hint="eastAsia"/>
              </w:rPr>
              <w:t>91.5</w:t>
            </w:r>
          </w:p>
        </w:tc>
        <w:tc>
          <w:tcPr>
            <w:tcW w:w="595"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891" w:type="pct"/>
            <w:vAlign w:val="center"/>
          </w:tcPr>
          <w:p>
            <w:pPr>
              <w:pStyle w:val="33"/>
              <w:bidi w:val="0"/>
            </w:pPr>
            <w:r>
              <w:t>氟化物</w:t>
            </w:r>
          </w:p>
        </w:tc>
        <w:tc>
          <w:tcPr>
            <w:tcW w:w="534" w:type="pct"/>
            <w:vAlign w:val="center"/>
          </w:tcPr>
          <w:p>
            <w:pPr>
              <w:pStyle w:val="33"/>
              <w:bidi w:val="0"/>
            </w:pPr>
            <w:r>
              <w:t>/</w:t>
            </w:r>
          </w:p>
        </w:tc>
        <w:tc>
          <w:tcPr>
            <w:tcW w:w="596" w:type="pct"/>
            <w:vAlign w:val="center"/>
          </w:tcPr>
          <w:p>
            <w:pPr>
              <w:pStyle w:val="33"/>
              <w:bidi w:val="0"/>
            </w:pPr>
            <w:r>
              <w:rPr>
                <w:rFonts w:hint="eastAsia"/>
              </w:rPr>
              <w:t>801</w:t>
            </w:r>
          </w:p>
        </w:tc>
        <w:tc>
          <w:tcPr>
            <w:tcW w:w="596" w:type="pct"/>
            <w:vAlign w:val="center"/>
          </w:tcPr>
          <w:p>
            <w:pPr>
              <w:pStyle w:val="33"/>
              <w:bidi w:val="0"/>
            </w:pPr>
            <w:r>
              <w:t>/</w:t>
            </w:r>
          </w:p>
        </w:tc>
        <w:tc>
          <w:tcPr>
            <w:tcW w:w="596" w:type="pct"/>
            <w:vAlign w:val="center"/>
          </w:tcPr>
          <w:p>
            <w:pPr>
              <w:pStyle w:val="33"/>
              <w:bidi w:val="0"/>
            </w:pPr>
            <w:r>
              <w:rPr>
                <w:rFonts w:hint="eastAsia"/>
              </w:rPr>
              <w:t>1279</w:t>
            </w:r>
          </w:p>
        </w:tc>
        <w:tc>
          <w:tcPr>
            <w:tcW w:w="596" w:type="pct"/>
            <w:vAlign w:val="center"/>
          </w:tcPr>
          <w:p>
            <w:pPr>
              <w:pStyle w:val="33"/>
              <w:bidi w:val="0"/>
            </w:pPr>
            <w:r>
              <w:t>/</w:t>
            </w:r>
          </w:p>
        </w:tc>
        <w:tc>
          <w:tcPr>
            <w:tcW w:w="596" w:type="pct"/>
            <w:vAlign w:val="center"/>
          </w:tcPr>
          <w:p>
            <w:pPr>
              <w:pStyle w:val="33"/>
              <w:bidi w:val="0"/>
            </w:pPr>
            <w:r>
              <w:rPr>
                <w:rFonts w:hint="eastAsia"/>
              </w:rPr>
              <w:t>1228</w:t>
            </w:r>
          </w:p>
        </w:tc>
        <w:tc>
          <w:tcPr>
            <w:tcW w:w="595" w:type="pct"/>
            <w:vAlign w:val="center"/>
          </w:tcPr>
          <w:p>
            <w:pPr>
              <w:pStyle w:val="33"/>
              <w:bidi w:val="0"/>
            </w:pPr>
            <w:r>
              <w:t>/</w:t>
            </w:r>
          </w:p>
        </w:tc>
      </w:tr>
    </w:tbl>
    <w:p>
      <w:pPr>
        <w:pStyle w:val="7"/>
        <w:bidi w:val="0"/>
      </w:pPr>
      <w:r>
        <w:t>监测结果表明，</w:t>
      </w:r>
      <w:r>
        <w:rPr>
          <w:rFonts w:hint="eastAsia"/>
        </w:rPr>
        <w:t>项目内北侧3#</w:t>
      </w:r>
      <w:r>
        <w:t>监测点采样监测的各监测因子均满足《土壤环境质量 建设用地土壤污染风险管控标准(试行)》(GB36600-2018)中第二类用地标准</w:t>
      </w:r>
      <w:r>
        <w:rPr>
          <w:rFonts w:hint="eastAsia"/>
        </w:rPr>
        <w:t>中筛选值的</w:t>
      </w:r>
      <w:r>
        <w:t>要求。</w:t>
      </w:r>
    </w:p>
    <w:p>
      <w:pPr>
        <w:pStyle w:val="31"/>
        <w:bidi w:val="0"/>
      </w:pPr>
      <w:r>
        <w:t>表</w:t>
      </w:r>
      <w:r>
        <w:rPr>
          <w:rFonts w:hint="eastAsia"/>
          <w:lang w:val="en-US" w:eastAsia="zh-CN"/>
        </w:rPr>
        <w:t>5</w:t>
      </w:r>
      <w:r>
        <w:t>.3-2</w:t>
      </w:r>
      <w:r>
        <w:rPr>
          <w:rFonts w:hint="eastAsia"/>
        </w:rPr>
        <w:t>6</w:t>
      </w:r>
      <w:r>
        <w:t xml:space="preserve">  土壤现状监测结果 </w:t>
      </w:r>
      <w:r>
        <w:rPr>
          <w:rFonts w:hint="eastAsia"/>
          <w:lang w:val="en-US" w:eastAsia="zh-CN"/>
        </w:rPr>
        <w:t xml:space="preserve"> </w:t>
      </w:r>
      <w:r>
        <w:t xml:space="preserve">  （单位：mg/Kg）</w:t>
      </w: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073"/>
        <w:gridCol w:w="1976"/>
        <w:gridCol w:w="1137"/>
        <w:gridCol w:w="939"/>
        <w:gridCol w:w="1463"/>
        <w:gridCol w:w="93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216" w:type="pct"/>
            <w:vAlign w:val="center"/>
          </w:tcPr>
          <w:p>
            <w:pPr>
              <w:pStyle w:val="33"/>
              <w:bidi w:val="0"/>
            </w:pPr>
            <w:r>
              <w:t>点 位</w:t>
            </w:r>
          </w:p>
        </w:tc>
        <w:tc>
          <w:tcPr>
            <w:tcW w:w="1159" w:type="pct"/>
            <w:vMerge w:val="restart"/>
            <w:vAlign w:val="center"/>
          </w:tcPr>
          <w:p>
            <w:pPr>
              <w:pStyle w:val="33"/>
              <w:bidi w:val="0"/>
            </w:pPr>
            <w:r>
              <w:t>标准值</w:t>
            </w:r>
          </w:p>
        </w:tc>
        <w:tc>
          <w:tcPr>
            <w:tcW w:w="1218" w:type="pct"/>
            <w:gridSpan w:val="2"/>
            <w:vAlign w:val="center"/>
          </w:tcPr>
          <w:p>
            <w:pPr>
              <w:pStyle w:val="33"/>
              <w:bidi w:val="0"/>
            </w:pPr>
            <w:r>
              <w:t>项目内</w:t>
            </w:r>
            <w:r>
              <w:rPr>
                <w:rFonts w:hint="eastAsia"/>
              </w:rPr>
              <w:t>东侧4#</w:t>
            </w:r>
          </w:p>
        </w:tc>
        <w:tc>
          <w:tcPr>
            <w:tcW w:w="1406" w:type="pct"/>
            <w:gridSpan w:val="2"/>
            <w:vAlign w:val="center"/>
          </w:tcPr>
          <w:p>
            <w:pPr>
              <w:pStyle w:val="33"/>
              <w:bidi w:val="0"/>
            </w:pPr>
            <w:r>
              <w:rPr>
                <w:rFonts w:hint="eastAsia"/>
              </w:rPr>
              <w:t>厂界上风向200米处5#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216" w:type="pct"/>
            <w:vMerge w:val="restart"/>
            <w:vAlign w:val="center"/>
          </w:tcPr>
          <w:p>
            <w:pPr>
              <w:pStyle w:val="33"/>
              <w:bidi w:val="0"/>
            </w:pPr>
            <w:r>
              <w:t>项目</w:t>
            </w:r>
          </w:p>
        </w:tc>
        <w:tc>
          <w:tcPr>
            <w:tcW w:w="1159" w:type="pct"/>
            <w:vMerge w:val="continue"/>
            <w:vAlign w:val="center"/>
          </w:tcPr>
          <w:p>
            <w:pPr>
              <w:pStyle w:val="33"/>
              <w:bidi w:val="0"/>
            </w:pPr>
          </w:p>
        </w:tc>
        <w:tc>
          <w:tcPr>
            <w:tcW w:w="1218" w:type="pct"/>
            <w:gridSpan w:val="2"/>
            <w:vAlign w:val="center"/>
          </w:tcPr>
          <w:p>
            <w:pPr>
              <w:pStyle w:val="33"/>
              <w:bidi w:val="0"/>
            </w:pPr>
            <w:r>
              <w:t>0~0.5m</w:t>
            </w:r>
          </w:p>
        </w:tc>
        <w:tc>
          <w:tcPr>
            <w:tcW w:w="1406" w:type="pct"/>
            <w:gridSpan w:val="2"/>
            <w:vAlign w:val="center"/>
          </w:tcPr>
          <w:p>
            <w:pPr>
              <w:pStyle w:val="33"/>
              <w:bidi w:val="0"/>
            </w:pPr>
            <w:r>
              <w:t>0~0.5m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216" w:type="pct"/>
            <w:vMerge w:val="continue"/>
            <w:vAlign w:val="center"/>
          </w:tcPr>
          <w:p>
            <w:pPr>
              <w:pStyle w:val="33"/>
              <w:bidi w:val="0"/>
            </w:pPr>
          </w:p>
        </w:tc>
        <w:tc>
          <w:tcPr>
            <w:tcW w:w="1159" w:type="pct"/>
            <w:vMerge w:val="continue"/>
            <w:vAlign w:val="center"/>
          </w:tcPr>
          <w:p>
            <w:pPr>
              <w:pStyle w:val="33"/>
              <w:bidi w:val="0"/>
            </w:pPr>
          </w:p>
        </w:tc>
        <w:tc>
          <w:tcPr>
            <w:tcW w:w="667" w:type="pct"/>
            <w:vAlign w:val="center"/>
          </w:tcPr>
          <w:p>
            <w:pPr>
              <w:pStyle w:val="33"/>
              <w:bidi w:val="0"/>
            </w:pPr>
            <w:r>
              <w:t>监测值</w:t>
            </w:r>
          </w:p>
        </w:tc>
        <w:tc>
          <w:tcPr>
            <w:tcW w:w="550" w:type="pct"/>
            <w:vAlign w:val="center"/>
          </w:tcPr>
          <w:p>
            <w:pPr>
              <w:pStyle w:val="33"/>
              <w:bidi w:val="0"/>
            </w:pPr>
            <w:r>
              <w:t>评价</w:t>
            </w:r>
          </w:p>
        </w:tc>
        <w:tc>
          <w:tcPr>
            <w:tcW w:w="858" w:type="pct"/>
            <w:vAlign w:val="center"/>
          </w:tcPr>
          <w:p>
            <w:pPr>
              <w:pStyle w:val="33"/>
              <w:bidi w:val="0"/>
            </w:pPr>
            <w:r>
              <w:t>监测值</w:t>
            </w:r>
          </w:p>
        </w:tc>
        <w:tc>
          <w:tcPr>
            <w:tcW w:w="547" w:type="pct"/>
            <w:vAlign w:val="center"/>
          </w:tcPr>
          <w:p>
            <w:pPr>
              <w:pStyle w:val="33"/>
              <w:bidi w:val="0"/>
            </w:pPr>
            <w:r>
              <w:t>评价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镉</w:t>
            </w:r>
          </w:p>
        </w:tc>
        <w:tc>
          <w:tcPr>
            <w:tcW w:w="1159" w:type="pct"/>
            <w:vAlign w:val="center"/>
          </w:tcPr>
          <w:p>
            <w:pPr>
              <w:pStyle w:val="33"/>
              <w:bidi w:val="0"/>
            </w:pPr>
            <w:r>
              <w:t>65</w:t>
            </w:r>
          </w:p>
        </w:tc>
        <w:tc>
          <w:tcPr>
            <w:tcW w:w="667" w:type="pct"/>
            <w:vAlign w:val="center"/>
          </w:tcPr>
          <w:p>
            <w:pPr>
              <w:pStyle w:val="33"/>
              <w:bidi w:val="0"/>
            </w:pPr>
            <w:r>
              <w:rPr>
                <w:rFonts w:hint="eastAsia"/>
              </w:rPr>
              <w:t>0.375</w:t>
            </w:r>
          </w:p>
        </w:tc>
        <w:tc>
          <w:tcPr>
            <w:tcW w:w="550" w:type="pct"/>
            <w:vAlign w:val="center"/>
          </w:tcPr>
          <w:p>
            <w:pPr>
              <w:pStyle w:val="33"/>
              <w:bidi w:val="0"/>
            </w:pPr>
            <w:r>
              <w:t>达标</w:t>
            </w:r>
          </w:p>
        </w:tc>
        <w:tc>
          <w:tcPr>
            <w:tcW w:w="858" w:type="pct"/>
            <w:vAlign w:val="center"/>
          </w:tcPr>
          <w:p>
            <w:pPr>
              <w:pStyle w:val="33"/>
              <w:bidi w:val="0"/>
            </w:pPr>
            <w:r>
              <w:t>0.2</w:t>
            </w:r>
            <w:r>
              <w:rPr>
                <w:rFonts w:hint="eastAsia"/>
              </w:rPr>
              <w:t>10</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汞</w:t>
            </w:r>
          </w:p>
        </w:tc>
        <w:tc>
          <w:tcPr>
            <w:tcW w:w="1159" w:type="pct"/>
            <w:vAlign w:val="center"/>
          </w:tcPr>
          <w:p>
            <w:pPr>
              <w:pStyle w:val="33"/>
              <w:bidi w:val="0"/>
            </w:pPr>
            <w:r>
              <w:t>38</w:t>
            </w:r>
          </w:p>
        </w:tc>
        <w:tc>
          <w:tcPr>
            <w:tcW w:w="667" w:type="pct"/>
            <w:vAlign w:val="center"/>
          </w:tcPr>
          <w:p>
            <w:pPr>
              <w:pStyle w:val="33"/>
              <w:bidi w:val="0"/>
            </w:pPr>
            <w:r>
              <w:rPr>
                <w:rFonts w:hint="eastAsia"/>
              </w:rPr>
              <w:t>0.022</w:t>
            </w:r>
          </w:p>
        </w:tc>
        <w:tc>
          <w:tcPr>
            <w:tcW w:w="550" w:type="pct"/>
            <w:vAlign w:val="center"/>
          </w:tcPr>
          <w:p>
            <w:pPr>
              <w:pStyle w:val="33"/>
              <w:bidi w:val="0"/>
            </w:pPr>
            <w:r>
              <w:t>达标</w:t>
            </w:r>
          </w:p>
        </w:tc>
        <w:tc>
          <w:tcPr>
            <w:tcW w:w="858" w:type="pct"/>
            <w:vAlign w:val="center"/>
          </w:tcPr>
          <w:p>
            <w:pPr>
              <w:pStyle w:val="33"/>
              <w:bidi w:val="0"/>
            </w:pPr>
            <w:r>
              <w:t>0.</w:t>
            </w:r>
            <w:r>
              <w:rPr>
                <w:rFonts w:hint="eastAsia"/>
              </w:rPr>
              <w:t>038</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砷</w:t>
            </w:r>
          </w:p>
        </w:tc>
        <w:tc>
          <w:tcPr>
            <w:tcW w:w="1159" w:type="pct"/>
            <w:vAlign w:val="center"/>
          </w:tcPr>
          <w:p>
            <w:pPr>
              <w:pStyle w:val="33"/>
              <w:bidi w:val="0"/>
            </w:pPr>
            <w:r>
              <w:t>60</w:t>
            </w:r>
          </w:p>
        </w:tc>
        <w:tc>
          <w:tcPr>
            <w:tcW w:w="667" w:type="pct"/>
            <w:vAlign w:val="center"/>
          </w:tcPr>
          <w:p>
            <w:pPr>
              <w:pStyle w:val="33"/>
              <w:bidi w:val="0"/>
            </w:pPr>
            <w:r>
              <w:rPr>
                <w:rFonts w:hint="eastAsia"/>
              </w:rPr>
              <w:t>13.6</w:t>
            </w:r>
          </w:p>
        </w:tc>
        <w:tc>
          <w:tcPr>
            <w:tcW w:w="550" w:type="pct"/>
            <w:vAlign w:val="center"/>
          </w:tcPr>
          <w:p>
            <w:pPr>
              <w:pStyle w:val="33"/>
              <w:bidi w:val="0"/>
            </w:pPr>
            <w:r>
              <w:t>达标</w:t>
            </w:r>
          </w:p>
        </w:tc>
        <w:tc>
          <w:tcPr>
            <w:tcW w:w="858" w:type="pct"/>
            <w:vAlign w:val="center"/>
          </w:tcPr>
          <w:p>
            <w:pPr>
              <w:pStyle w:val="33"/>
              <w:bidi w:val="0"/>
            </w:pPr>
            <w:r>
              <w:rPr>
                <w:rFonts w:hint="eastAsia"/>
              </w:rPr>
              <w:t>24.6</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铅</w:t>
            </w:r>
          </w:p>
        </w:tc>
        <w:tc>
          <w:tcPr>
            <w:tcW w:w="1159" w:type="pct"/>
            <w:vAlign w:val="center"/>
          </w:tcPr>
          <w:p>
            <w:pPr>
              <w:pStyle w:val="33"/>
              <w:bidi w:val="0"/>
            </w:pPr>
            <w:r>
              <w:t>800</w:t>
            </w:r>
          </w:p>
        </w:tc>
        <w:tc>
          <w:tcPr>
            <w:tcW w:w="667" w:type="pct"/>
            <w:vAlign w:val="center"/>
          </w:tcPr>
          <w:p>
            <w:pPr>
              <w:pStyle w:val="33"/>
              <w:bidi w:val="0"/>
            </w:pPr>
            <w:r>
              <w:rPr>
                <w:rFonts w:hint="eastAsia"/>
              </w:rPr>
              <w:t>31.9</w:t>
            </w:r>
          </w:p>
        </w:tc>
        <w:tc>
          <w:tcPr>
            <w:tcW w:w="550" w:type="pct"/>
            <w:vAlign w:val="center"/>
          </w:tcPr>
          <w:p>
            <w:pPr>
              <w:pStyle w:val="33"/>
              <w:bidi w:val="0"/>
            </w:pPr>
            <w:r>
              <w:t>达标</w:t>
            </w:r>
          </w:p>
        </w:tc>
        <w:tc>
          <w:tcPr>
            <w:tcW w:w="858" w:type="pct"/>
            <w:vAlign w:val="center"/>
          </w:tcPr>
          <w:p>
            <w:pPr>
              <w:pStyle w:val="33"/>
              <w:bidi w:val="0"/>
            </w:pPr>
            <w:r>
              <w:rPr>
                <w:rFonts w:hint="eastAsia"/>
              </w:rPr>
              <w:t>38.5</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铜</w:t>
            </w:r>
          </w:p>
        </w:tc>
        <w:tc>
          <w:tcPr>
            <w:tcW w:w="1159" w:type="pct"/>
            <w:vAlign w:val="center"/>
          </w:tcPr>
          <w:p>
            <w:pPr>
              <w:pStyle w:val="33"/>
              <w:bidi w:val="0"/>
            </w:pPr>
            <w:r>
              <w:rPr>
                <w:rFonts w:hint="eastAsia"/>
              </w:rPr>
              <w:t>18000</w:t>
            </w:r>
          </w:p>
        </w:tc>
        <w:tc>
          <w:tcPr>
            <w:tcW w:w="667" w:type="pct"/>
            <w:vAlign w:val="center"/>
          </w:tcPr>
          <w:p>
            <w:pPr>
              <w:pStyle w:val="33"/>
              <w:bidi w:val="0"/>
            </w:pPr>
            <w:r>
              <w:rPr>
                <w:rFonts w:hint="eastAsia"/>
              </w:rPr>
              <w:t>43.9</w:t>
            </w:r>
          </w:p>
        </w:tc>
        <w:tc>
          <w:tcPr>
            <w:tcW w:w="550" w:type="pct"/>
            <w:vAlign w:val="center"/>
          </w:tcPr>
          <w:p>
            <w:pPr>
              <w:pStyle w:val="33"/>
              <w:bidi w:val="0"/>
            </w:pPr>
            <w:r>
              <w:t>达标</w:t>
            </w:r>
          </w:p>
        </w:tc>
        <w:tc>
          <w:tcPr>
            <w:tcW w:w="858" w:type="pct"/>
            <w:vAlign w:val="center"/>
          </w:tcPr>
          <w:p>
            <w:pPr>
              <w:pStyle w:val="33"/>
              <w:bidi w:val="0"/>
            </w:pPr>
            <w:r>
              <w:rPr>
                <w:rFonts w:hint="eastAsia"/>
              </w:rPr>
              <w:t>32.5</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rPr>
                <w:rFonts w:hint="eastAsia"/>
              </w:rPr>
              <w:t>六价铬</w:t>
            </w:r>
          </w:p>
        </w:tc>
        <w:tc>
          <w:tcPr>
            <w:tcW w:w="1159" w:type="pct"/>
            <w:vAlign w:val="center"/>
          </w:tcPr>
          <w:p>
            <w:pPr>
              <w:pStyle w:val="33"/>
              <w:bidi w:val="0"/>
            </w:pPr>
            <w:r>
              <w:rPr>
                <w:rFonts w:hint="eastAsia"/>
              </w:rPr>
              <w:t>5.7</w:t>
            </w:r>
          </w:p>
        </w:tc>
        <w:tc>
          <w:tcPr>
            <w:tcW w:w="667" w:type="pct"/>
            <w:vAlign w:val="center"/>
          </w:tcPr>
          <w:p>
            <w:pPr>
              <w:pStyle w:val="33"/>
              <w:bidi w:val="0"/>
            </w:pPr>
            <w:r>
              <w:rPr>
                <w:rFonts w:hint="eastAsia"/>
              </w:rPr>
              <w:t>＜2</w:t>
            </w:r>
          </w:p>
        </w:tc>
        <w:tc>
          <w:tcPr>
            <w:tcW w:w="550" w:type="pct"/>
            <w:vAlign w:val="center"/>
          </w:tcPr>
          <w:p>
            <w:pPr>
              <w:pStyle w:val="33"/>
              <w:bidi w:val="0"/>
            </w:pPr>
            <w:r>
              <w:t>达标</w:t>
            </w:r>
          </w:p>
        </w:tc>
        <w:tc>
          <w:tcPr>
            <w:tcW w:w="858" w:type="pct"/>
            <w:vAlign w:val="center"/>
          </w:tcPr>
          <w:p>
            <w:pPr>
              <w:pStyle w:val="33"/>
              <w:bidi w:val="0"/>
            </w:pPr>
            <w:r>
              <w:rPr>
                <w:rFonts w:hint="eastAsia"/>
              </w:rPr>
              <w:t>＜2</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镍</w:t>
            </w:r>
          </w:p>
        </w:tc>
        <w:tc>
          <w:tcPr>
            <w:tcW w:w="1159" w:type="pct"/>
            <w:vAlign w:val="center"/>
          </w:tcPr>
          <w:p>
            <w:pPr>
              <w:pStyle w:val="33"/>
              <w:bidi w:val="0"/>
            </w:pPr>
            <w:r>
              <w:rPr>
                <w:rFonts w:hint="eastAsia"/>
              </w:rPr>
              <w:t>900</w:t>
            </w:r>
          </w:p>
        </w:tc>
        <w:tc>
          <w:tcPr>
            <w:tcW w:w="667" w:type="pct"/>
            <w:vAlign w:val="center"/>
          </w:tcPr>
          <w:p>
            <w:pPr>
              <w:pStyle w:val="33"/>
              <w:bidi w:val="0"/>
            </w:pPr>
            <w:r>
              <w:rPr>
                <w:rFonts w:hint="eastAsia"/>
              </w:rPr>
              <w:t>48.8</w:t>
            </w:r>
          </w:p>
        </w:tc>
        <w:tc>
          <w:tcPr>
            <w:tcW w:w="550" w:type="pct"/>
            <w:vAlign w:val="center"/>
          </w:tcPr>
          <w:p>
            <w:pPr>
              <w:pStyle w:val="33"/>
              <w:bidi w:val="0"/>
            </w:pPr>
            <w:r>
              <w:t>达标</w:t>
            </w:r>
          </w:p>
        </w:tc>
        <w:tc>
          <w:tcPr>
            <w:tcW w:w="858" w:type="pct"/>
            <w:vAlign w:val="center"/>
          </w:tcPr>
          <w:p>
            <w:pPr>
              <w:pStyle w:val="33"/>
              <w:bidi w:val="0"/>
            </w:pPr>
            <w:r>
              <w:rPr>
                <w:rFonts w:hint="eastAsia"/>
              </w:rPr>
              <w:t>35.3</w:t>
            </w:r>
          </w:p>
        </w:tc>
        <w:tc>
          <w:tcPr>
            <w:tcW w:w="547"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216" w:type="pct"/>
            <w:vAlign w:val="center"/>
          </w:tcPr>
          <w:p>
            <w:pPr>
              <w:pStyle w:val="33"/>
              <w:bidi w:val="0"/>
            </w:pPr>
            <w:r>
              <w:t>氟化物</w:t>
            </w:r>
          </w:p>
        </w:tc>
        <w:tc>
          <w:tcPr>
            <w:tcW w:w="1159" w:type="pct"/>
            <w:vAlign w:val="center"/>
          </w:tcPr>
          <w:p>
            <w:pPr>
              <w:pStyle w:val="33"/>
              <w:bidi w:val="0"/>
            </w:pPr>
            <w:r>
              <w:t>/</w:t>
            </w:r>
          </w:p>
        </w:tc>
        <w:tc>
          <w:tcPr>
            <w:tcW w:w="667" w:type="pct"/>
            <w:vAlign w:val="center"/>
          </w:tcPr>
          <w:p>
            <w:pPr>
              <w:pStyle w:val="33"/>
              <w:bidi w:val="0"/>
            </w:pPr>
            <w:r>
              <w:rPr>
                <w:rFonts w:hint="eastAsia"/>
              </w:rPr>
              <w:t>601</w:t>
            </w:r>
          </w:p>
        </w:tc>
        <w:tc>
          <w:tcPr>
            <w:tcW w:w="550" w:type="pct"/>
            <w:vAlign w:val="center"/>
          </w:tcPr>
          <w:p>
            <w:pPr>
              <w:pStyle w:val="33"/>
              <w:bidi w:val="0"/>
            </w:pPr>
            <w:r>
              <w:t>/</w:t>
            </w:r>
          </w:p>
        </w:tc>
        <w:tc>
          <w:tcPr>
            <w:tcW w:w="858" w:type="pct"/>
            <w:vAlign w:val="center"/>
          </w:tcPr>
          <w:p>
            <w:pPr>
              <w:pStyle w:val="33"/>
              <w:bidi w:val="0"/>
            </w:pPr>
            <w:r>
              <w:rPr>
                <w:rFonts w:hint="eastAsia"/>
              </w:rPr>
              <w:t>651</w:t>
            </w:r>
          </w:p>
        </w:tc>
        <w:tc>
          <w:tcPr>
            <w:tcW w:w="547" w:type="pct"/>
            <w:vAlign w:val="center"/>
          </w:tcPr>
          <w:p>
            <w:pPr>
              <w:pStyle w:val="33"/>
              <w:bidi w:val="0"/>
            </w:pPr>
            <w:r>
              <w:t>/</w:t>
            </w:r>
          </w:p>
        </w:tc>
      </w:tr>
    </w:tbl>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监测结果表明，</w:t>
      </w:r>
      <w:r>
        <w:rPr>
          <w:rFonts w:hint="eastAsia"/>
          <w:color w:val="000000" w:themeColor="text1"/>
          <w:sz w:val="24"/>
          <w14:textFill>
            <w14:solidFill>
              <w14:schemeClr w14:val="tx1"/>
            </w14:solidFill>
          </w14:textFill>
        </w:rPr>
        <w:t>项目内东侧4#、厂界上风向200米处5#</w:t>
      </w:r>
      <w:r>
        <w:rPr>
          <w:color w:val="000000" w:themeColor="text1"/>
          <w:sz w:val="24"/>
          <w14:textFill>
            <w14:solidFill>
              <w14:schemeClr w14:val="tx1"/>
            </w14:solidFill>
          </w14:textFill>
        </w:rPr>
        <w:t>采样监测的各监测因子均满足</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土壤环境质量 建设用地土壤污染风险管控标准(试行)》(GB36600-2018)中第二类用地标准</w:t>
      </w:r>
      <w:r>
        <w:rPr>
          <w:rFonts w:hint="eastAsia"/>
          <w:color w:val="000000" w:themeColor="text1"/>
          <w:sz w:val="24"/>
          <w14:textFill>
            <w14:solidFill>
              <w14:schemeClr w14:val="tx1"/>
            </w14:solidFill>
          </w14:textFill>
        </w:rPr>
        <w:t>中筛选值</w:t>
      </w:r>
      <w:r>
        <w:rPr>
          <w:color w:val="000000" w:themeColor="text1"/>
          <w:sz w:val="24"/>
          <w14:textFill>
            <w14:solidFill>
              <w14:schemeClr w14:val="tx1"/>
            </w14:solidFill>
          </w14:textFill>
        </w:rPr>
        <w:t>要求。</w:t>
      </w:r>
    </w:p>
    <w:p>
      <w:pPr>
        <w:pStyle w:val="31"/>
        <w:bidi w:val="0"/>
      </w:pPr>
      <w:r>
        <w:t>表</w:t>
      </w:r>
      <w:r>
        <w:rPr>
          <w:rFonts w:hint="eastAsia"/>
          <w:lang w:val="en-US" w:eastAsia="zh-CN"/>
        </w:rPr>
        <w:t>5</w:t>
      </w:r>
      <w:r>
        <w:rPr>
          <w:rFonts w:hint="eastAsia"/>
        </w:rPr>
        <w:t>.3-27</w:t>
      </w:r>
      <w:r>
        <w:t xml:space="preserve">  </w:t>
      </w:r>
      <w:r>
        <w:rPr>
          <w:rFonts w:hint="eastAsia"/>
        </w:rPr>
        <w:t>6#</w:t>
      </w:r>
      <w:r>
        <w:t xml:space="preserve">土壤现状监测结果   </w:t>
      </w:r>
      <w:r>
        <w:rPr>
          <w:rFonts w:hint="eastAsia"/>
          <w:lang w:val="en-US" w:eastAsia="zh-CN"/>
        </w:rPr>
        <w:t xml:space="preserve"> </w:t>
      </w:r>
      <w:r>
        <w:t>（单位：mg/Kg）</w:t>
      </w: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809"/>
        <w:gridCol w:w="2680"/>
        <w:gridCol w:w="1765"/>
        <w:gridCol w:w="126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点 位</w:t>
            </w:r>
          </w:p>
        </w:tc>
        <w:tc>
          <w:tcPr>
            <w:tcW w:w="1160" w:type="pct"/>
            <w:vMerge w:val="restart"/>
            <w:vAlign w:val="center"/>
          </w:tcPr>
          <w:p>
            <w:pPr>
              <w:pStyle w:val="33"/>
              <w:bidi w:val="0"/>
            </w:pPr>
            <w:r>
              <w:t>标准值</w:t>
            </w:r>
            <w:r>
              <w:rPr>
                <w:rFonts w:hint="eastAsia"/>
              </w:rPr>
              <w:t>（6.5＜p</w:t>
            </w:r>
            <w:r>
              <w:t>H</w:t>
            </w:r>
            <w:r>
              <w:rPr>
                <w:rFonts w:hint="eastAsia"/>
              </w:rPr>
              <w:t>≤7.5）</w:t>
            </w:r>
          </w:p>
        </w:tc>
        <w:tc>
          <w:tcPr>
            <w:tcW w:w="1313" w:type="pct"/>
            <w:gridSpan w:val="2"/>
            <w:vAlign w:val="center"/>
          </w:tcPr>
          <w:p>
            <w:pPr>
              <w:pStyle w:val="33"/>
              <w:bidi w:val="0"/>
            </w:pPr>
            <w:r>
              <w:rPr>
                <w:rFonts w:hint="eastAsia"/>
              </w:rPr>
              <w:t>厂界下风向200米处6#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Merge w:val="restart"/>
            <w:vAlign w:val="center"/>
          </w:tcPr>
          <w:p>
            <w:pPr>
              <w:pStyle w:val="33"/>
              <w:bidi w:val="0"/>
            </w:pPr>
            <w:r>
              <w:t>项目</w:t>
            </w:r>
          </w:p>
        </w:tc>
        <w:tc>
          <w:tcPr>
            <w:tcW w:w="1160" w:type="pct"/>
            <w:vMerge w:val="continue"/>
            <w:vAlign w:val="center"/>
          </w:tcPr>
          <w:p>
            <w:pPr>
              <w:pStyle w:val="33"/>
              <w:bidi w:val="0"/>
            </w:pPr>
          </w:p>
        </w:tc>
        <w:tc>
          <w:tcPr>
            <w:tcW w:w="1313" w:type="pct"/>
            <w:gridSpan w:val="2"/>
            <w:vAlign w:val="center"/>
          </w:tcPr>
          <w:p>
            <w:pPr>
              <w:pStyle w:val="33"/>
              <w:bidi w:val="0"/>
            </w:pPr>
            <w:r>
              <w:t>0~0.5m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Merge w:val="continue"/>
            <w:vAlign w:val="center"/>
          </w:tcPr>
          <w:p>
            <w:pPr>
              <w:pStyle w:val="33"/>
              <w:bidi w:val="0"/>
            </w:pPr>
          </w:p>
        </w:tc>
        <w:tc>
          <w:tcPr>
            <w:tcW w:w="1160" w:type="pct"/>
            <w:vMerge w:val="continue"/>
            <w:vAlign w:val="center"/>
          </w:tcPr>
          <w:p>
            <w:pPr>
              <w:pStyle w:val="33"/>
              <w:bidi w:val="0"/>
            </w:pPr>
          </w:p>
        </w:tc>
        <w:tc>
          <w:tcPr>
            <w:tcW w:w="764" w:type="pct"/>
            <w:vAlign w:val="center"/>
          </w:tcPr>
          <w:p>
            <w:pPr>
              <w:pStyle w:val="33"/>
              <w:bidi w:val="0"/>
            </w:pPr>
            <w:r>
              <w:t>监测值</w:t>
            </w:r>
          </w:p>
        </w:tc>
        <w:tc>
          <w:tcPr>
            <w:tcW w:w="549" w:type="pct"/>
            <w:vAlign w:val="center"/>
          </w:tcPr>
          <w:p>
            <w:pPr>
              <w:pStyle w:val="33"/>
              <w:bidi w:val="0"/>
            </w:pPr>
            <w:r>
              <w:t>评价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pH</w:t>
            </w:r>
          </w:p>
        </w:tc>
        <w:tc>
          <w:tcPr>
            <w:tcW w:w="1160" w:type="pct"/>
            <w:vAlign w:val="center"/>
          </w:tcPr>
          <w:p>
            <w:pPr>
              <w:pStyle w:val="33"/>
              <w:bidi w:val="0"/>
            </w:pPr>
            <w:r>
              <w:rPr>
                <w:rFonts w:hint="eastAsia"/>
              </w:rPr>
              <w:t>/</w:t>
            </w:r>
          </w:p>
        </w:tc>
        <w:tc>
          <w:tcPr>
            <w:tcW w:w="764" w:type="pct"/>
            <w:vAlign w:val="center"/>
          </w:tcPr>
          <w:p>
            <w:pPr>
              <w:pStyle w:val="33"/>
              <w:bidi w:val="0"/>
            </w:pPr>
            <w:r>
              <w:rPr>
                <w:rFonts w:hint="eastAsia"/>
              </w:rPr>
              <w:t>7.12</w:t>
            </w:r>
          </w:p>
        </w:tc>
        <w:tc>
          <w:tcPr>
            <w:tcW w:w="549" w:type="pct"/>
            <w:vAlign w:val="center"/>
          </w:tcPr>
          <w:p>
            <w:pPr>
              <w:pStyle w:val="33"/>
              <w:bidi w:val="0"/>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镉</w:t>
            </w:r>
          </w:p>
        </w:tc>
        <w:tc>
          <w:tcPr>
            <w:tcW w:w="1160" w:type="pct"/>
            <w:vAlign w:val="center"/>
          </w:tcPr>
          <w:p>
            <w:pPr>
              <w:pStyle w:val="33"/>
              <w:bidi w:val="0"/>
            </w:pPr>
            <w:r>
              <w:rPr>
                <w:rFonts w:hint="eastAsia"/>
              </w:rPr>
              <w:t>0.3</w:t>
            </w:r>
          </w:p>
        </w:tc>
        <w:tc>
          <w:tcPr>
            <w:tcW w:w="764" w:type="pct"/>
            <w:vAlign w:val="center"/>
          </w:tcPr>
          <w:p>
            <w:pPr>
              <w:pStyle w:val="33"/>
              <w:bidi w:val="0"/>
            </w:pPr>
            <w:r>
              <w:rPr>
                <w:rFonts w:hint="eastAsia"/>
              </w:rPr>
              <w:t>＜0.07</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汞</w:t>
            </w:r>
          </w:p>
        </w:tc>
        <w:tc>
          <w:tcPr>
            <w:tcW w:w="1160" w:type="pct"/>
            <w:vAlign w:val="center"/>
          </w:tcPr>
          <w:p>
            <w:pPr>
              <w:pStyle w:val="33"/>
              <w:bidi w:val="0"/>
            </w:pPr>
            <w:r>
              <w:rPr>
                <w:rFonts w:hint="eastAsia"/>
              </w:rPr>
              <w:t>2.4</w:t>
            </w:r>
          </w:p>
        </w:tc>
        <w:tc>
          <w:tcPr>
            <w:tcW w:w="764" w:type="pct"/>
            <w:vAlign w:val="center"/>
          </w:tcPr>
          <w:p>
            <w:pPr>
              <w:pStyle w:val="33"/>
              <w:bidi w:val="0"/>
            </w:pPr>
            <w:r>
              <w:rPr>
                <w:rFonts w:hint="eastAsia"/>
              </w:rPr>
              <w:t>0.014</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砷</w:t>
            </w:r>
          </w:p>
        </w:tc>
        <w:tc>
          <w:tcPr>
            <w:tcW w:w="1160" w:type="pct"/>
            <w:vAlign w:val="center"/>
          </w:tcPr>
          <w:p>
            <w:pPr>
              <w:pStyle w:val="33"/>
              <w:bidi w:val="0"/>
            </w:pPr>
            <w:r>
              <w:rPr>
                <w:rFonts w:hint="eastAsia"/>
              </w:rPr>
              <w:t>30</w:t>
            </w:r>
          </w:p>
        </w:tc>
        <w:tc>
          <w:tcPr>
            <w:tcW w:w="764" w:type="pct"/>
            <w:vAlign w:val="center"/>
          </w:tcPr>
          <w:p>
            <w:pPr>
              <w:pStyle w:val="33"/>
              <w:bidi w:val="0"/>
            </w:pPr>
            <w:r>
              <w:rPr>
                <w:rFonts w:hint="eastAsia"/>
              </w:rPr>
              <w:t>7.31</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铅</w:t>
            </w:r>
          </w:p>
        </w:tc>
        <w:tc>
          <w:tcPr>
            <w:tcW w:w="1160" w:type="pct"/>
            <w:vAlign w:val="center"/>
          </w:tcPr>
          <w:p>
            <w:pPr>
              <w:pStyle w:val="33"/>
              <w:bidi w:val="0"/>
            </w:pPr>
            <w:r>
              <w:rPr>
                <w:rFonts w:hint="eastAsia"/>
              </w:rPr>
              <w:t>120</w:t>
            </w:r>
          </w:p>
        </w:tc>
        <w:tc>
          <w:tcPr>
            <w:tcW w:w="764" w:type="pct"/>
            <w:vAlign w:val="center"/>
          </w:tcPr>
          <w:p>
            <w:pPr>
              <w:pStyle w:val="33"/>
              <w:bidi w:val="0"/>
            </w:pPr>
            <w:r>
              <w:rPr>
                <w:rFonts w:hint="eastAsia"/>
              </w:rPr>
              <w:t>22.7</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铜</w:t>
            </w:r>
          </w:p>
        </w:tc>
        <w:tc>
          <w:tcPr>
            <w:tcW w:w="1160" w:type="pct"/>
            <w:vAlign w:val="center"/>
          </w:tcPr>
          <w:p>
            <w:pPr>
              <w:pStyle w:val="33"/>
              <w:bidi w:val="0"/>
            </w:pPr>
            <w:r>
              <w:rPr>
                <w:rFonts w:hint="eastAsia"/>
              </w:rPr>
              <w:t>100</w:t>
            </w:r>
          </w:p>
        </w:tc>
        <w:tc>
          <w:tcPr>
            <w:tcW w:w="764" w:type="pct"/>
            <w:vAlign w:val="center"/>
          </w:tcPr>
          <w:p>
            <w:pPr>
              <w:pStyle w:val="33"/>
              <w:bidi w:val="0"/>
            </w:pPr>
            <w:r>
              <w:rPr>
                <w:rFonts w:hint="eastAsia"/>
              </w:rPr>
              <w:t>17.0</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rPr>
                <w:rFonts w:hint="eastAsia"/>
              </w:rPr>
              <w:t>铬</w:t>
            </w:r>
          </w:p>
        </w:tc>
        <w:tc>
          <w:tcPr>
            <w:tcW w:w="1160" w:type="pct"/>
            <w:vAlign w:val="center"/>
          </w:tcPr>
          <w:p>
            <w:pPr>
              <w:pStyle w:val="33"/>
              <w:bidi w:val="0"/>
            </w:pPr>
            <w:r>
              <w:rPr>
                <w:rFonts w:hint="eastAsia"/>
              </w:rPr>
              <w:t>200</w:t>
            </w:r>
          </w:p>
        </w:tc>
        <w:tc>
          <w:tcPr>
            <w:tcW w:w="764" w:type="pct"/>
            <w:vAlign w:val="center"/>
          </w:tcPr>
          <w:p>
            <w:pPr>
              <w:pStyle w:val="33"/>
              <w:bidi w:val="0"/>
            </w:pPr>
            <w:r>
              <w:rPr>
                <w:rFonts w:hint="eastAsia"/>
              </w:rPr>
              <w:t>72.2</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镍</w:t>
            </w:r>
          </w:p>
        </w:tc>
        <w:tc>
          <w:tcPr>
            <w:tcW w:w="1160" w:type="pct"/>
            <w:vAlign w:val="center"/>
          </w:tcPr>
          <w:p>
            <w:pPr>
              <w:pStyle w:val="33"/>
              <w:bidi w:val="0"/>
            </w:pPr>
            <w:r>
              <w:rPr>
                <w:rFonts w:hint="eastAsia"/>
              </w:rPr>
              <w:t>100</w:t>
            </w:r>
          </w:p>
        </w:tc>
        <w:tc>
          <w:tcPr>
            <w:tcW w:w="764" w:type="pct"/>
            <w:vAlign w:val="center"/>
          </w:tcPr>
          <w:p>
            <w:pPr>
              <w:pStyle w:val="33"/>
              <w:bidi w:val="0"/>
            </w:pPr>
            <w:r>
              <w:rPr>
                <w:rFonts w:hint="eastAsia"/>
              </w:rPr>
              <w:t>12.4</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rPr>
                <w:rFonts w:hint="eastAsia"/>
              </w:rPr>
              <w:t>锌</w:t>
            </w:r>
          </w:p>
        </w:tc>
        <w:tc>
          <w:tcPr>
            <w:tcW w:w="1160" w:type="pct"/>
            <w:vAlign w:val="center"/>
          </w:tcPr>
          <w:p>
            <w:pPr>
              <w:pStyle w:val="33"/>
              <w:bidi w:val="0"/>
            </w:pPr>
            <w:r>
              <w:rPr>
                <w:rFonts w:hint="eastAsia"/>
              </w:rPr>
              <w:t>250</w:t>
            </w:r>
          </w:p>
        </w:tc>
        <w:tc>
          <w:tcPr>
            <w:tcW w:w="764" w:type="pct"/>
            <w:vAlign w:val="center"/>
          </w:tcPr>
          <w:p>
            <w:pPr>
              <w:pStyle w:val="33"/>
              <w:bidi w:val="0"/>
            </w:pPr>
            <w:r>
              <w:rPr>
                <w:rFonts w:hint="eastAsia"/>
              </w:rPr>
              <w:t>42.1</w:t>
            </w:r>
          </w:p>
        </w:tc>
        <w:tc>
          <w:tcPr>
            <w:tcW w:w="549" w:type="pct"/>
            <w:vAlign w:val="center"/>
          </w:tcPr>
          <w:p>
            <w:pPr>
              <w:pStyle w:val="33"/>
              <w:bidi w:val="0"/>
            </w:pPr>
            <w: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216" w:type="pct"/>
            <w:vAlign w:val="center"/>
          </w:tcPr>
          <w:p>
            <w:pPr>
              <w:pStyle w:val="33"/>
              <w:bidi w:val="0"/>
            </w:pPr>
            <w:r>
              <w:t>氟化物</w:t>
            </w:r>
          </w:p>
        </w:tc>
        <w:tc>
          <w:tcPr>
            <w:tcW w:w="1160" w:type="pct"/>
            <w:vAlign w:val="center"/>
          </w:tcPr>
          <w:p>
            <w:pPr>
              <w:pStyle w:val="33"/>
              <w:bidi w:val="0"/>
            </w:pPr>
            <w:r>
              <w:t>/</w:t>
            </w:r>
          </w:p>
        </w:tc>
        <w:tc>
          <w:tcPr>
            <w:tcW w:w="764" w:type="pct"/>
            <w:vAlign w:val="center"/>
          </w:tcPr>
          <w:p>
            <w:pPr>
              <w:pStyle w:val="33"/>
              <w:bidi w:val="0"/>
            </w:pPr>
            <w:r>
              <w:rPr>
                <w:rFonts w:hint="eastAsia"/>
              </w:rPr>
              <w:t>485</w:t>
            </w:r>
          </w:p>
        </w:tc>
        <w:tc>
          <w:tcPr>
            <w:tcW w:w="549" w:type="pct"/>
            <w:vAlign w:val="center"/>
          </w:tcPr>
          <w:p>
            <w:pPr>
              <w:pStyle w:val="33"/>
              <w:bidi w:val="0"/>
            </w:pPr>
            <w:r>
              <w:t>/</w:t>
            </w:r>
          </w:p>
        </w:tc>
      </w:tr>
    </w:tbl>
    <w:p>
      <w:pPr>
        <w:spacing w:line="360" w:lineRule="auto"/>
        <w:ind w:firstLine="480" w:firstLineChars="200"/>
        <w:rPr>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根据表</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.3-2</w:t>
      </w:r>
      <w:r>
        <w:rPr>
          <w:rFonts w:hint="eastAsia"/>
          <w:color w:val="000000" w:themeColor="text1"/>
          <w:sz w:val="24"/>
          <w14:textFill>
            <w14:solidFill>
              <w14:schemeClr w14:val="tx1"/>
            </w14:solidFill>
          </w14:textFill>
        </w:rPr>
        <w:t>7，项目厂界下风向200米处</w:t>
      </w:r>
      <w:r>
        <w:rPr>
          <w:color w:val="000000" w:themeColor="text1"/>
          <w:sz w:val="24"/>
          <w14:textFill>
            <w14:solidFill>
              <w14:schemeClr w14:val="tx1"/>
            </w14:solidFill>
          </w14:textFill>
        </w:rPr>
        <w:t>6</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监测点的各监测因子均满足《土壤环境质量 农用地土壤污染风险管控标准（试行）》（GB15618-2018）</w:t>
      </w:r>
      <w:r>
        <w:rPr>
          <w:rFonts w:hint="eastAsia"/>
          <w:color w:val="000000" w:themeColor="text1"/>
          <w:sz w:val="24"/>
          <w14:textFill>
            <w14:solidFill>
              <w14:schemeClr w14:val="tx1"/>
            </w14:solidFill>
          </w14:textFill>
        </w:rPr>
        <w:t>中风险筛选值的</w:t>
      </w:r>
      <w:r>
        <w:rPr>
          <w:color w:val="000000" w:themeColor="text1"/>
          <w:sz w:val="24"/>
          <w14:textFill>
            <w14:solidFill>
              <w14:schemeClr w14:val="tx1"/>
            </w14:solidFill>
          </w14:textFill>
        </w:rPr>
        <w:t>要求</w:t>
      </w:r>
    </w:p>
    <w:p>
      <w:pPr>
        <w:pStyle w:val="8"/>
      </w:pPr>
      <w:r>
        <w:rPr>
          <w:rFonts w:hint="eastAsia"/>
        </w:rPr>
        <w:t>5.3.6生态环境现状调查</w:t>
      </w:r>
    </w:p>
    <w:p>
      <w:pPr>
        <w:pStyle w:val="7"/>
        <w:ind w:firstLine="482"/>
        <w:rPr>
          <w:b/>
          <w:bCs/>
        </w:rPr>
      </w:pPr>
      <w:r>
        <w:rPr>
          <w:rFonts w:hint="eastAsia"/>
          <w:b/>
          <w:bCs/>
        </w:rPr>
        <w:t>1、植被现状</w:t>
      </w:r>
    </w:p>
    <w:p>
      <w:pPr>
        <w:pStyle w:val="7"/>
        <w:ind w:firstLine="480"/>
      </w:pPr>
      <w:r>
        <w:rPr>
          <w:rFonts w:hint="eastAsia"/>
        </w:rPr>
        <w:t>砚山县具有复杂多变的地形地貌特征和北亚热带、中亚热带、南温带等立体气候，生物资源丰富。在389种栽培植物中，除三七初步开发了医药、保健类的10多个系列40余种产品和辣椒初步开发6个系列10多个品种外，对100多种中草药材都有待于进行深入开发和综合利用。县境内植物资源丰富，树种主要有云南松，油杉、思茅松、杉木、麻栎、栓皮栎、樟木、夜合欢、黄杨木，还有国家列为一类、二类保护树种的水杉、银杏等。</w:t>
      </w:r>
    </w:p>
    <w:p>
      <w:pPr>
        <w:pStyle w:val="7"/>
        <w:ind w:firstLine="480"/>
      </w:pPr>
      <w:r>
        <w:rPr>
          <w:rFonts w:hint="eastAsia"/>
        </w:rPr>
        <w:t>通过野外初步调查园区及周边的植被主要有农田。</w:t>
      </w:r>
    </w:p>
    <w:p>
      <w:pPr>
        <w:pStyle w:val="7"/>
        <w:ind w:firstLine="482"/>
        <w:rPr>
          <w:b/>
          <w:bCs/>
        </w:rPr>
      </w:pPr>
      <w:r>
        <w:rPr>
          <w:rFonts w:hint="eastAsia"/>
          <w:b/>
          <w:bCs/>
        </w:rPr>
        <w:t>2、动物现状</w:t>
      </w:r>
    </w:p>
    <w:p>
      <w:pPr>
        <w:pStyle w:val="7"/>
        <w:ind w:firstLine="480"/>
      </w:pPr>
      <w:r>
        <w:rPr>
          <w:rFonts w:hint="eastAsia"/>
        </w:rPr>
        <w:t>规划的工业园区内人类活动频繁，区内内基本没有大型野生哺乳动物分布。根据现场调查和文献记载，工业园区有野兔、田鼠、家鼠、菜花蛇等小型动物。根据调查和访问，工业园区区域内没有发现珍稀濒危野生动物。</w:t>
      </w:r>
    </w:p>
    <w:p>
      <w:pPr>
        <w:pStyle w:val="7"/>
        <w:ind w:firstLine="480"/>
      </w:pPr>
      <w:r>
        <w:rPr>
          <w:rFonts w:hint="eastAsia"/>
        </w:rPr>
        <w:t>评价范围无特殊生态敏感区，无云南省重点保护野生植物分布，无古树和名木，区域水土流失为轻度侵蚀。</w:t>
      </w:r>
    </w:p>
    <w:p>
      <w:pPr>
        <w:pStyle w:val="7"/>
        <w:ind w:firstLine="480"/>
      </w:pPr>
      <w:r>
        <w:rPr>
          <w:rFonts w:hint="eastAsia"/>
        </w:rPr>
        <w:t>本项目建设区域已属于建设用地。</w:t>
      </w:r>
    </w:p>
    <w:p>
      <w:pPr>
        <w:pStyle w:val="5"/>
      </w:pPr>
      <w:bookmarkStart w:id="123" w:name="_Toc17069"/>
      <w:r>
        <w:rPr>
          <w:rFonts w:hint="eastAsia"/>
        </w:rPr>
        <w:t>5.4浴仙湖风景名胜区</w:t>
      </w:r>
      <w:bookmarkEnd w:id="123"/>
    </w:p>
    <w:p>
      <w:pPr>
        <w:pStyle w:val="7"/>
        <w:ind w:firstLine="480"/>
      </w:pPr>
      <w:r>
        <w:rPr>
          <w:rFonts w:hint="eastAsia"/>
        </w:rPr>
        <w:t>砚山浴仙湖风景名胜区于1993年被云南省人民政府批准设立为省级风景名胜区云政发[1993]199号），现无经审批的《总体规划》。其中听湖片区距本项目直线距离约1.4公里。</w:t>
      </w:r>
    </w:p>
    <w:p>
      <w:pPr>
        <w:pStyle w:val="5"/>
      </w:pPr>
      <w:bookmarkStart w:id="124" w:name="_Toc26616"/>
      <w:r>
        <w:rPr>
          <w:rFonts w:hint="eastAsia"/>
        </w:rPr>
        <w:t>5.5项目周边污染源现状调查</w:t>
      </w:r>
      <w:bookmarkEnd w:id="124"/>
    </w:p>
    <w:p>
      <w:pPr>
        <w:pStyle w:val="7"/>
        <w:ind w:firstLine="480"/>
      </w:pPr>
      <w:r>
        <w:rPr>
          <w:rFonts w:hint="eastAsia"/>
        </w:rPr>
        <w:t>根据现场调查评价范围内企业主要分布于砚山工业园区现有规划范围内，根据园区2019年统计现有园区共有企业37户。</w:t>
      </w:r>
    </w:p>
    <w:p>
      <w:pPr>
        <w:pStyle w:val="7"/>
        <w:ind w:firstLine="482"/>
        <w:rPr>
          <w:b/>
          <w:bCs/>
        </w:rPr>
      </w:pPr>
      <w:r>
        <w:rPr>
          <w:rFonts w:hint="eastAsia"/>
          <w:b/>
          <w:bCs/>
        </w:rPr>
        <w:t>1、承接产业加工区</w:t>
      </w:r>
    </w:p>
    <w:p>
      <w:pPr>
        <w:pStyle w:val="7"/>
        <w:ind w:firstLine="480"/>
      </w:pPr>
      <w:r>
        <w:rPr>
          <w:rFonts w:hint="eastAsia"/>
        </w:rPr>
        <w:t>片区共有企业33个，主要为电子加工企业，现有企业情况见表5.5-1。</w:t>
      </w:r>
    </w:p>
    <w:p>
      <w:pPr>
        <w:pStyle w:val="31"/>
      </w:pPr>
      <w:r>
        <w:t>表</w:t>
      </w:r>
      <w:r>
        <w:rPr>
          <w:rFonts w:hint="eastAsia"/>
        </w:rPr>
        <w:t>5</w:t>
      </w:r>
      <w:r>
        <w:t>.5-1  片区现有企业情况</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3256"/>
        <w:gridCol w:w="1582"/>
        <w:gridCol w:w="1294"/>
        <w:gridCol w:w="1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390" w:type="pct"/>
            <w:vAlign w:val="center"/>
          </w:tcPr>
          <w:p>
            <w:pPr>
              <w:pStyle w:val="33"/>
            </w:pPr>
            <w:r>
              <w:t>序号</w:t>
            </w:r>
          </w:p>
        </w:tc>
        <w:tc>
          <w:tcPr>
            <w:tcW w:w="1910" w:type="pct"/>
            <w:vAlign w:val="center"/>
          </w:tcPr>
          <w:p>
            <w:pPr>
              <w:pStyle w:val="33"/>
            </w:pPr>
            <w:r>
              <w:t>企业名称</w:t>
            </w:r>
          </w:p>
        </w:tc>
        <w:tc>
          <w:tcPr>
            <w:tcW w:w="928" w:type="pct"/>
            <w:vAlign w:val="center"/>
          </w:tcPr>
          <w:p>
            <w:pPr>
              <w:pStyle w:val="33"/>
            </w:pPr>
            <w:r>
              <w:t>所属行业</w:t>
            </w:r>
          </w:p>
        </w:tc>
        <w:tc>
          <w:tcPr>
            <w:tcW w:w="759" w:type="pct"/>
            <w:vAlign w:val="center"/>
          </w:tcPr>
          <w:p>
            <w:pPr>
              <w:pStyle w:val="33"/>
            </w:pPr>
            <w:r>
              <w:t>所在片区</w:t>
            </w:r>
          </w:p>
        </w:tc>
        <w:tc>
          <w:tcPr>
            <w:tcW w:w="1012" w:type="pct"/>
          </w:tcPr>
          <w:p>
            <w:pPr>
              <w:pStyle w:val="33"/>
            </w:pPr>
            <w:r>
              <w:t>生产建设情况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0" w:type="pct"/>
            <w:vAlign w:val="center"/>
          </w:tcPr>
          <w:p>
            <w:pPr>
              <w:pStyle w:val="33"/>
            </w:pPr>
            <w:r>
              <w:t>1</w:t>
            </w:r>
          </w:p>
        </w:tc>
        <w:tc>
          <w:tcPr>
            <w:tcW w:w="1910" w:type="pct"/>
            <w:vAlign w:val="center"/>
          </w:tcPr>
          <w:p>
            <w:pPr>
              <w:pStyle w:val="33"/>
            </w:pPr>
            <w:r>
              <w:t>云南砚山永盛杰科技有限公司</w:t>
            </w:r>
          </w:p>
        </w:tc>
        <w:tc>
          <w:tcPr>
            <w:tcW w:w="928" w:type="pct"/>
            <w:vAlign w:val="center"/>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0" w:type="pct"/>
            <w:vAlign w:val="center"/>
          </w:tcPr>
          <w:p>
            <w:pPr>
              <w:pStyle w:val="33"/>
            </w:pPr>
            <w:r>
              <w:t>2</w:t>
            </w:r>
          </w:p>
        </w:tc>
        <w:tc>
          <w:tcPr>
            <w:tcW w:w="1910" w:type="pct"/>
            <w:vAlign w:val="center"/>
          </w:tcPr>
          <w:p>
            <w:pPr>
              <w:pStyle w:val="33"/>
            </w:pPr>
            <w:r>
              <w:t>云南丹妙音响有限公司</w:t>
            </w:r>
          </w:p>
        </w:tc>
        <w:tc>
          <w:tcPr>
            <w:tcW w:w="928" w:type="pct"/>
            <w:vAlign w:val="center"/>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390" w:type="pct"/>
            <w:vAlign w:val="center"/>
          </w:tcPr>
          <w:p>
            <w:pPr>
              <w:pStyle w:val="33"/>
            </w:pPr>
            <w:r>
              <w:t>3</w:t>
            </w:r>
          </w:p>
        </w:tc>
        <w:tc>
          <w:tcPr>
            <w:tcW w:w="1910" w:type="pct"/>
            <w:vAlign w:val="center"/>
          </w:tcPr>
          <w:p>
            <w:pPr>
              <w:pStyle w:val="33"/>
            </w:pPr>
            <w:r>
              <w:t>文山路华电子科技有限公司</w:t>
            </w:r>
          </w:p>
        </w:tc>
        <w:tc>
          <w:tcPr>
            <w:tcW w:w="928" w:type="pct"/>
            <w:vAlign w:val="center"/>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390" w:type="pct"/>
            <w:vAlign w:val="center"/>
          </w:tcPr>
          <w:p>
            <w:pPr>
              <w:pStyle w:val="33"/>
            </w:pPr>
            <w:r>
              <w:t>4</w:t>
            </w:r>
          </w:p>
        </w:tc>
        <w:tc>
          <w:tcPr>
            <w:tcW w:w="1910" w:type="pct"/>
            <w:vAlign w:val="center"/>
          </w:tcPr>
          <w:p>
            <w:pPr>
              <w:pStyle w:val="33"/>
            </w:pPr>
            <w:r>
              <w:t>云南中恒科技有限公司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90" w:type="pct"/>
            <w:vAlign w:val="center"/>
          </w:tcPr>
          <w:p>
            <w:pPr>
              <w:pStyle w:val="33"/>
            </w:pPr>
            <w:r>
              <w:t>5</w:t>
            </w:r>
          </w:p>
        </w:tc>
        <w:tc>
          <w:tcPr>
            <w:tcW w:w="1910" w:type="pct"/>
            <w:vAlign w:val="center"/>
          </w:tcPr>
          <w:p>
            <w:pPr>
              <w:pStyle w:val="33"/>
            </w:pPr>
            <w:r>
              <w:t>云南中触光电有限公司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390" w:type="pct"/>
            <w:vAlign w:val="center"/>
          </w:tcPr>
          <w:p>
            <w:pPr>
              <w:pStyle w:val="33"/>
            </w:pPr>
            <w:r>
              <w:t>6</w:t>
            </w:r>
          </w:p>
        </w:tc>
        <w:tc>
          <w:tcPr>
            <w:tcW w:w="1910" w:type="pct"/>
            <w:vAlign w:val="center"/>
          </w:tcPr>
          <w:p>
            <w:pPr>
              <w:pStyle w:val="33"/>
            </w:pPr>
            <w:r>
              <w:t>砚山世邦同创科技有限公司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390" w:type="pct"/>
            <w:vAlign w:val="center"/>
          </w:tcPr>
          <w:p>
            <w:pPr>
              <w:pStyle w:val="33"/>
            </w:pPr>
            <w:r>
              <w:t>7</w:t>
            </w:r>
          </w:p>
        </w:tc>
        <w:tc>
          <w:tcPr>
            <w:tcW w:w="1910" w:type="pct"/>
            <w:vAlign w:val="center"/>
          </w:tcPr>
          <w:p>
            <w:pPr>
              <w:pStyle w:val="33"/>
            </w:pPr>
            <w:r>
              <w:t>文山科泰丰电子有限公司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390" w:type="pct"/>
            <w:vAlign w:val="center"/>
          </w:tcPr>
          <w:p>
            <w:pPr>
              <w:pStyle w:val="33"/>
            </w:pPr>
            <w:r>
              <w:t>8</w:t>
            </w:r>
          </w:p>
        </w:tc>
        <w:tc>
          <w:tcPr>
            <w:tcW w:w="1910" w:type="pct"/>
            <w:vAlign w:val="center"/>
          </w:tcPr>
          <w:p>
            <w:pPr>
              <w:pStyle w:val="33"/>
            </w:pPr>
            <w:r>
              <w:t>文山嘉鑫科技有限公司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390" w:type="pct"/>
            <w:vAlign w:val="center"/>
          </w:tcPr>
          <w:p>
            <w:pPr>
              <w:pStyle w:val="33"/>
            </w:pPr>
            <w:r>
              <w:t>9</w:t>
            </w:r>
          </w:p>
        </w:tc>
        <w:tc>
          <w:tcPr>
            <w:tcW w:w="1910" w:type="pct"/>
            <w:vAlign w:val="center"/>
          </w:tcPr>
          <w:p>
            <w:pPr>
              <w:pStyle w:val="33"/>
            </w:pPr>
            <w:r>
              <w:t>砚山富临特电子科技有限公司</w:t>
            </w:r>
          </w:p>
        </w:tc>
        <w:tc>
          <w:tcPr>
            <w:tcW w:w="928" w:type="pct"/>
            <w:vAlign w:val="center"/>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0" w:type="pct"/>
            <w:vAlign w:val="center"/>
          </w:tcPr>
          <w:p>
            <w:pPr>
              <w:pStyle w:val="33"/>
            </w:pPr>
            <w:r>
              <w:t>10</w:t>
            </w:r>
          </w:p>
        </w:tc>
        <w:tc>
          <w:tcPr>
            <w:tcW w:w="1910" w:type="pct"/>
            <w:vAlign w:val="center"/>
          </w:tcPr>
          <w:p>
            <w:pPr>
              <w:pStyle w:val="33"/>
            </w:pPr>
            <w:r>
              <w:t>文山乐伟电子科技有限公司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390" w:type="pct"/>
            <w:vAlign w:val="center"/>
          </w:tcPr>
          <w:p>
            <w:pPr>
              <w:pStyle w:val="33"/>
            </w:pPr>
            <w:r>
              <w:t>11</w:t>
            </w:r>
          </w:p>
        </w:tc>
        <w:tc>
          <w:tcPr>
            <w:tcW w:w="1910" w:type="pct"/>
            <w:vAlign w:val="center"/>
          </w:tcPr>
          <w:p>
            <w:pPr>
              <w:pStyle w:val="33"/>
            </w:pPr>
            <w:r>
              <w:t>砚山骏迪杰科技有限公司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90" w:type="pct"/>
            <w:vAlign w:val="center"/>
          </w:tcPr>
          <w:p>
            <w:pPr>
              <w:pStyle w:val="33"/>
            </w:pPr>
            <w:r>
              <w:t>12</w:t>
            </w:r>
          </w:p>
        </w:tc>
        <w:tc>
          <w:tcPr>
            <w:tcW w:w="1910" w:type="pct"/>
            <w:vAlign w:val="center"/>
          </w:tcPr>
          <w:p>
            <w:pPr>
              <w:pStyle w:val="33"/>
            </w:pPr>
            <w:r>
              <w:t>仁贤通电子科技有限公司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0" w:type="pct"/>
            <w:vAlign w:val="center"/>
          </w:tcPr>
          <w:p>
            <w:pPr>
              <w:pStyle w:val="33"/>
            </w:pPr>
            <w:r>
              <w:t>13</w:t>
            </w:r>
          </w:p>
        </w:tc>
        <w:tc>
          <w:tcPr>
            <w:tcW w:w="1910" w:type="pct"/>
            <w:vAlign w:val="center"/>
          </w:tcPr>
          <w:p>
            <w:pPr>
              <w:pStyle w:val="33"/>
            </w:pPr>
            <w:r>
              <w:t>云南广富龙包装材料有限公司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390" w:type="pct"/>
            <w:vAlign w:val="center"/>
          </w:tcPr>
          <w:p>
            <w:pPr>
              <w:pStyle w:val="33"/>
            </w:pPr>
            <w:r>
              <w:t>14</w:t>
            </w:r>
          </w:p>
        </w:tc>
        <w:tc>
          <w:tcPr>
            <w:tcW w:w="1910" w:type="pct"/>
            <w:vAlign w:val="center"/>
          </w:tcPr>
          <w:p>
            <w:pPr>
              <w:pStyle w:val="33"/>
            </w:pPr>
            <w:r>
              <w:t>云南兴乐线缆有限公司</w:t>
            </w:r>
          </w:p>
        </w:tc>
        <w:tc>
          <w:tcPr>
            <w:tcW w:w="928" w:type="pct"/>
            <w:vAlign w:val="center"/>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390" w:type="pct"/>
            <w:vAlign w:val="center"/>
          </w:tcPr>
          <w:p>
            <w:pPr>
              <w:pStyle w:val="33"/>
            </w:pPr>
            <w:r>
              <w:t>15</w:t>
            </w:r>
          </w:p>
        </w:tc>
        <w:tc>
          <w:tcPr>
            <w:tcW w:w="1910" w:type="pct"/>
            <w:vAlign w:val="center"/>
          </w:tcPr>
          <w:p>
            <w:pPr>
              <w:pStyle w:val="33"/>
            </w:pPr>
            <w:r>
              <w:t>云南大地飞歌科技有限公司</w:t>
            </w:r>
          </w:p>
        </w:tc>
        <w:tc>
          <w:tcPr>
            <w:tcW w:w="928" w:type="pct"/>
            <w:vAlign w:val="center"/>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390" w:type="pct"/>
            <w:vAlign w:val="center"/>
          </w:tcPr>
          <w:p>
            <w:pPr>
              <w:pStyle w:val="33"/>
            </w:pPr>
            <w:r>
              <w:t>16</w:t>
            </w:r>
          </w:p>
        </w:tc>
        <w:tc>
          <w:tcPr>
            <w:tcW w:w="1910" w:type="pct"/>
            <w:vAlign w:val="center"/>
          </w:tcPr>
          <w:p>
            <w:pPr>
              <w:pStyle w:val="33"/>
            </w:pPr>
            <w:r>
              <w:t>砚山乐航智讯科技有限公司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390" w:type="pct"/>
            <w:vAlign w:val="center"/>
          </w:tcPr>
          <w:p>
            <w:pPr>
              <w:pStyle w:val="33"/>
            </w:pPr>
            <w:r>
              <w:t>17</w:t>
            </w:r>
          </w:p>
        </w:tc>
        <w:tc>
          <w:tcPr>
            <w:tcW w:w="1910" w:type="pct"/>
            <w:vAlign w:val="center"/>
          </w:tcPr>
          <w:p>
            <w:pPr>
              <w:pStyle w:val="33"/>
            </w:pPr>
            <w:r>
              <w:t>砚山途畅乐享科技有限公司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390" w:type="pct"/>
            <w:vAlign w:val="center"/>
          </w:tcPr>
          <w:p>
            <w:pPr>
              <w:pStyle w:val="33"/>
            </w:pPr>
            <w:r>
              <w:t>18</w:t>
            </w:r>
          </w:p>
        </w:tc>
        <w:tc>
          <w:tcPr>
            <w:tcW w:w="1910" w:type="pct"/>
            <w:vAlign w:val="center"/>
          </w:tcPr>
          <w:p>
            <w:pPr>
              <w:pStyle w:val="33"/>
            </w:pPr>
            <w:r>
              <w:t>砚山格仕特通讯设备有限公司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90" w:type="pct"/>
            <w:vAlign w:val="center"/>
          </w:tcPr>
          <w:p>
            <w:pPr>
              <w:pStyle w:val="33"/>
            </w:pPr>
            <w:r>
              <w:t>19</w:t>
            </w:r>
          </w:p>
        </w:tc>
        <w:tc>
          <w:tcPr>
            <w:tcW w:w="1910" w:type="pct"/>
            <w:vAlign w:val="center"/>
          </w:tcPr>
          <w:p>
            <w:pPr>
              <w:pStyle w:val="33"/>
            </w:pPr>
            <w:r>
              <w:t xml:space="preserve">砚山乐旅科技有限公司 </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390" w:type="pct"/>
            <w:vAlign w:val="center"/>
          </w:tcPr>
          <w:p>
            <w:pPr>
              <w:pStyle w:val="33"/>
            </w:pPr>
            <w:r>
              <w:t>20</w:t>
            </w:r>
          </w:p>
        </w:tc>
        <w:tc>
          <w:tcPr>
            <w:tcW w:w="1910" w:type="pct"/>
            <w:vAlign w:val="center"/>
          </w:tcPr>
          <w:p>
            <w:pPr>
              <w:pStyle w:val="33"/>
            </w:pPr>
            <w:r>
              <w:t>砚山聚森实业有限公司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90" w:type="pct"/>
            <w:vAlign w:val="center"/>
          </w:tcPr>
          <w:p>
            <w:pPr>
              <w:pStyle w:val="33"/>
            </w:pPr>
            <w:r>
              <w:t>21</w:t>
            </w:r>
          </w:p>
        </w:tc>
        <w:tc>
          <w:tcPr>
            <w:tcW w:w="1910" w:type="pct"/>
            <w:vAlign w:val="center"/>
          </w:tcPr>
          <w:p>
            <w:pPr>
              <w:pStyle w:val="33"/>
            </w:pPr>
            <w:r>
              <w:t>砚华智讯有限公司</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390" w:type="pct"/>
            <w:vAlign w:val="center"/>
          </w:tcPr>
          <w:p>
            <w:pPr>
              <w:pStyle w:val="33"/>
            </w:pPr>
            <w:r>
              <w:t>22</w:t>
            </w:r>
          </w:p>
        </w:tc>
        <w:tc>
          <w:tcPr>
            <w:tcW w:w="1910" w:type="pct"/>
            <w:vAlign w:val="center"/>
          </w:tcPr>
          <w:p>
            <w:pPr>
              <w:pStyle w:val="33"/>
            </w:pPr>
            <w:r>
              <w:t>砚山县浙康电子五金厂</w:t>
            </w:r>
          </w:p>
        </w:tc>
        <w:tc>
          <w:tcPr>
            <w:tcW w:w="928" w:type="pct"/>
          </w:tcPr>
          <w:p>
            <w:pPr>
              <w:pStyle w:val="33"/>
            </w:pPr>
            <w:r>
              <w:t>电子</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390" w:type="pct"/>
            <w:vAlign w:val="center"/>
          </w:tcPr>
          <w:p>
            <w:pPr>
              <w:pStyle w:val="33"/>
            </w:pPr>
            <w:r>
              <w:t>23</w:t>
            </w:r>
          </w:p>
        </w:tc>
        <w:tc>
          <w:tcPr>
            <w:tcW w:w="1910" w:type="pct"/>
            <w:vAlign w:val="center"/>
          </w:tcPr>
          <w:p>
            <w:pPr>
              <w:pStyle w:val="33"/>
            </w:pPr>
            <w:r>
              <w:t>云南美泰玩具有限公司</w:t>
            </w:r>
          </w:p>
        </w:tc>
        <w:tc>
          <w:tcPr>
            <w:tcW w:w="928" w:type="pct"/>
          </w:tcPr>
          <w:p>
            <w:pPr>
              <w:pStyle w:val="33"/>
            </w:pPr>
            <w:r>
              <w:t>服装加工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390" w:type="pct"/>
            <w:vAlign w:val="center"/>
          </w:tcPr>
          <w:p>
            <w:pPr>
              <w:pStyle w:val="33"/>
            </w:pPr>
            <w:r>
              <w:t>24</w:t>
            </w:r>
          </w:p>
        </w:tc>
        <w:tc>
          <w:tcPr>
            <w:tcW w:w="1910" w:type="pct"/>
            <w:vAlign w:val="center"/>
          </w:tcPr>
          <w:p>
            <w:pPr>
              <w:pStyle w:val="33"/>
            </w:pPr>
            <w:r>
              <w:t>云南金鼎纺织品有限公司</w:t>
            </w:r>
          </w:p>
        </w:tc>
        <w:tc>
          <w:tcPr>
            <w:tcW w:w="928" w:type="pct"/>
            <w:vAlign w:val="center"/>
          </w:tcPr>
          <w:p>
            <w:pPr>
              <w:pStyle w:val="33"/>
            </w:pPr>
            <w:r>
              <w:t>服装加工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390" w:type="pct"/>
            <w:vAlign w:val="center"/>
          </w:tcPr>
          <w:p>
            <w:pPr>
              <w:pStyle w:val="33"/>
            </w:pPr>
            <w:r>
              <w:t>25</w:t>
            </w:r>
          </w:p>
        </w:tc>
        <w:tc>
          <w:tcPr>
            <w:tcW w:w="1910" w:type="pct"/>
            <w:vAlign w:val="center"/>
          </w:tcPr>
          <w:p>
            <w:pPr>
              <w:pStyle w:val="33"/>
            </w:pPr>
            <w:r>
              <w:t>云南诗莹服饰有限公司</w:t>
            </w:r>
          </w:p>
        </w:tc>
        <w:tc>
          <w:tcPr>
            <w:tcW w:w="928" w:type="pct"/>
          </w:tcPr>
          <w:p>
            <w:pPr>
              <w:pStyle w:val="33"/>
            </w:pPr>
            <w:r>
              <w:t>服装加工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90" w:type="pct"/>
            <w:vAlign w:val="center"/>
          </w:tcPr>
          <w:p>
            <w:pPr>
              <w:pStyle w:val="33"/>
            </w:pPr>
            <w:r>
              <w:t>26</w:t>
            </w:r>
          </w:p>
        </w:tc>
        <w:tc>
          <w:tcPr>
            <w:tcW w:w="1910" w:type="pct"/>
            <w:vAlign w:val="center"/>
          </w:tcPr>
          <w:p>
            <w:pPr>
              <w:pStyle w:val="33"/>
            </w:pPr>
            <w:r>
              <w:t>文山彝品香食品有限公司</w:t>
            </w:r>
          </w:p>
        </w:tc>
        <w:tc>
          <w:tcPr>
            <w:tcW w:w="928" w:type="pct"/>
          </w:tcPr>
          <w:p>
            <w:pPr>
              <w:pStyle w:val="33"/>
            </w:pPr>
            <w:r>
              <w:t>食品加工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90" w:type="pct"/>
            <w:vAlign w:val="center"/>
          </w:tcPr>
          <w:p>
            <w:pPr>
              <w:pStyle w:val="33"/>
            </w:pPr>
            <w:r>
              <w:t>27</w:t>
            </w:r>
          </w:p>
        </w:tc>
        <w:tc>
          <w:tcPr>
            <w:tcW w:w="1910" w:type="pct"/>
            <w:vAlign w:val="center"/>
          </w:tcPr>
          <w:p>
            <w:pPr>
              <w:pStyle w:val="33"/>
            </w:pPr>
            <w:r>
              <w:t>砚山县王国贸易有限公司</w:t>
            </w:r>
          </w:p>
        </w:tc>
        <w:tc>
          <w:tcPr>
            <w:tcW w:w="928" w:type="pct"/>
            <w:vAlign w:val="center"/>
          </w:tcPr>
          <w:p>
            <w:pPr>
              <w:pStyle w:val="33"/>
            </w:pPr>
            <w:r>
              <w:t>食品加工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390" w:type="pct"/>
            <w:vAlign w:val="center"/>
          </w:tcPr>
          <w:p>
            <w:pPr>
              <w:pStyle w:val="33"/>
            </w:pPr>
            <w:r>
              <w:t>28</w:t>
            </w:r>
          </w:p>
        </w:tc>
        <w:tc>
          <w:tcPr>
            <w:tcW w:w="1910" w:type="pct"/>
            <w:vAlign w:val="center"/>
          </w:tcPr>
          <w:p>
            <w:pPr>
              <w:pStyle w:val="33"/>
            </w:pPr>
            <w:r>
              <w:t>云南达亿食品有限责任公司</w:t>
            </w:r>
          </w:p>
        </w:tc>
        <w:tc>
          <w:tcPr>
            <w:tcW w:w="928" w:type="pct"/>
            <w:vAlign w:val="center"/>
          </w:tcPr>
          <w:p>
            <w:pPr>
              <w:pStyle w:val="33"/>
            </w:pPr>
            <w:r>
              <w:t>食品加工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390" w:type="pct"/>
            <w:vAlign w:val="center"/>
          </w:tcPr>
          <w:p>
            <w:pPr>
              <w:pStyle w:val="33"/>
            </w:pPr>
            <w:r>
              <w:t>29</w:t>
            </w:r>
          </w:p>
        </w:tc>
        <w:tc>
          <w:tcPr>
            <w:tcW w:w="1910" w:type="pct"/>
            <w:vAlign w:val="center"/>
          </w:tcPr>
          <w:p>
            <w:pPr>
              <w:pStyle w:val="33"/>
            </w:pPr>
            <w:r>
              <w:t>文山七合农业科技发展有限公司</w:t>
            </w:r>
          </w:p>
        </w:tc>
        <w:tc>
          <w:tcPr>
            <w:tcW w:w="928" w:type="pct"/>
            <w:vAlign w:val="center"/>
          </w:tcPr>
          <w:p>
            <w:pPr>
              <w:pStyle w:val="33"/>
            </w:pPr>
            <w:r>
              <w:t>食品加工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390" w:type="pct"/>
            <w:vAlign w:val="center"/>
          </w:tcPr>
          <w:p>
            <w:pPr>
              <w:pStyle w:val="33"/>
            </w:pPr>
            <w:r>
              <w:t>30</w:t>
            </w:r>
          </w:p>
        </w:tc>
        <w:tc>
          <w:tcPr>
            <w:tcW w:w="1910" w:type="pct"/>
            <w:vAlign w:val="center"/>
          </w:tcPr>
          <w:p>
            <w:pPr>
              <w:pStyle w:val="33"/>
            </w:pPr>
            <w:r>
              <w:t>云南天晟工贸有限公司</w:t>
            </w:r>
          </w:p>
        </w:tc>
        <w:tc>
          <w:tcPr>
            <w:tcW w:w="928" w:type="pct"/>
            <w:vAlign w:val="center"/>
          </w:tcPr>
          <w:p>
            <w:pPr>
              <w:pStyle w:val="33"/>
            </w:pPr>
            <w:r>
              <w:t>食品加工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 w:hRule="atLeast"/>
        </w:trPr>
        <w:tc>
          <w:tcPr>
            <w:tcW w:w="390" w:type="pct"/>
            <w:vAlign w:val="center"/>
          </w:tcPr>
          <w:p>
            <w:pPr>
              <w:pStyle w:val="33"/>
            </w:pPr>
            <w:r>
              <w:t>31</w:t>
            </w:r>
          </w:p>
        </w:tc>
        <w:tc>
          <w:tcPr>
            <w:tcW w:w="1910" w:type="pct"/>
            <w:vAlign w:val="center"/>
          </w:tcPr>
          <w:p>
            <w:pPr>
              <w:pStyle w:val="33"/>
            </w:pPr>
            <w:r>
              <w:t>砚山瑞成农工发展有限责任公司</w:t>
            </w:r>
          </w:p>
        </w:tc>
        <w:tc>
          <w:tcPr>
            <w:tcW w:w="928" w:type="pct"/>
            <w:vAlign w:val="center"/>
          </w:tcPr>
          <w:p>
            <w:pPr>
              <w:pStyle w:val="33"/>
            </w:pPr>
            <w:r>
              <w:t>食品加工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390" w:type="pct"/>
            <w:vAlign w:val="center"/>
          </w:tcPr>
          <w:p>
            <w:pPr>
              <w:pStyle w:val="33"/>
            </w:pPr>
            <w:r>
              <w:t>32</w:t>
            </w:r>
          </w:p>
        </w:tc>
        <w:tc>
          <w:tcPr>
            <w:tcW w:w="1910" w:type="pct"/>
            <w:vAlign w:val="center"/>
          </w:tcPr>
          <w:p>
            <w:pPr>
              <w:pStyle w:val="33"/>
            </w:pPr>
            <w:r>
              <w:t>云南立达尔生物科技有限公司</w:t>
            </w:r>
          </w:p>
        </w:tc>
        <w:tc>
          <w:tcPr>
            <w:tcW w:w="928" w:type="pct"/>
            <w:vAlign w:val="center"/>
          </w:tcPr>
          <w:p>
            <w:pPr>
              <w:pStyle w:val="33"/>
            </w:pPr>
            <w:r>
              <w:t>生物加工</w:t>
            </w:r>
          </w:p>
        </w:tc>
        <w:tc>
          <w:tcPr>
            <w:tcW w:w="759" w:type="pct"/>
            <w:vAlign w:val="center"/>
          </w:tcPr>
          <w:p>
            <w:pPr>
              <w:pStyle w:val="33"/>
            </w:pPr>
            <w:r>
              <w:t>布标</w:t>
            </w:r>
          </w:p>
        </w:tc>
        <w:tc>
          <w:tcPr>
            <w:tcW w:w="1012" w:type="pct"/>
          </w:tcPr>
          <w:p>
            <w:pPr>
              <w:pStyle w:val="33"/>
            </w:pPr>
            <w:r>
              <w:t>已建成投产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90" w:type="pct"/>
            <w:vAlign w:val="center"/>
          </w:tcPr>
          <w:p>
            <w:pPr>
              <w:pStyle w:val="33"/>
            </w:pPr>
            <w:r>
              <w:t>33</w:t>
            </w:r>
          </w:p>
        </w:tc>
        <w:tc>
          <w:tcPr>
            <w:tcW w:w="1910" w:type="pct"/>
            <w:vAlign w:val="center"/>
          </w:tcPr>
          <w:p>
            <w:pPr>
              <w:pStyle w:val="33"/>
            </w:pPr>
            <w:r>
              <w:t>砚山鑫盛纸品有限公司</w:t>
            </w:r>
          </w:p>
        </w:tc>
        <w:tc>
          <w:tcPr>
            <w:tcW w:w="928" w:type="pct"/>
          </w:tcPr>
          <w:p>
            <w:pPr>
              <w:pStyle w:val="33"/>
            </w:pPr>
            <w:r>
              <w:t>纸箱加工</w:t>
            </w:r>
          </w:p>
        </w:tc>
        <w:tc>
          <w:tcPr>
            <w:tcW w:w="759" w:type="pct"/>
            <w:vAlign w:val="center"/>
          </w:tcPr>
          <w:p>
            <w:pPr>
              <w:pStyle w:val="33"/>
            </w:pPr>
            <w:r>
              <w:t>布标</w:t>
            </w:r>
          </w:p>
        </w:tc>
        <w:tc>
          <w:tcPr>
            <w:tcW w:w="1012" w:type="pct"/>
          </w:tcPr>
          <w:p>
            <w:pPr>
              <w:pStyle w:val="33"/>
            </w:pPr>
            <w:r>
              <w:t>已建成投产</w:t>
            </w:r>
          </w:p>
        </w:tc>
      </w:tr>
    </w:tbl>
    <w:p>
      <w:pPr>
        <w:pStyle w:val="7"/>
        <w:ind w:firstLine="480"/>
      </w:pPr>
      <w:r>
        <w:t>从现有企业的引进情况来看，布标片区的承接加工区的入驻企业主要为污染较小的第三产业，污染影响较小呈无组织排放。</w:t>
      </w:r>
    </w:p>
    <w:p>
      <w:pPr>
        <w:pStyle w:val="7"/>
        <w:ind w:firstLine="482"/>
        <w:rPr>
          <w:b/>
          <w:bCs/>
        </w:rPr>
      </w:pPr>
      <w:r>
        <w:rPr>
          <w:b/>
          <w:bCs/>
        </w:rPr>
        <w:t>2</w:t>
      </w:r>
      <w:r>
        <w:rPr>
          <w:rFonts w:hint="eastAsia"/>
          <w:b/>
          <w:bCs/>
        </w:rPr>
        <w:t>、</w:t>
      </w:r>
      <w:r>
        <w:rPr>
          <w:b/>
          <w:bCs/>
        </w:rPr>
        <w:t>三星坝新型产业区</w:t>
      </w:r>
    </w:p>
    <w:p>
      <w:pPr>
        <w:pStyle w:val="7"/>
        <w:ind w:firstLine="480"/>
      </w:pPr>
      <w:r>
        <w:t>企业基本情况见表</w:t>
      </w:r>
      <w:r>
        <w:rPr>
          <w:rFonts w:hint="eastAsia"/>
        </w:rPr>
        <w:t>5</w:t>
      </w:r>
      <w:r>
        <w:t>.5-2。</w:t>
      </w:r>
    </w:p>
    <w:p>
      <w:pPr>
        <w:pStyle w:val="31"/>
      </w:pPr>
      <w:r>
        <w:t>表</w:t>
      </w:r>
      <w:r>
        <w:rPr>
          <w:rFonts w:hint="eastAsia"/>
        </w:rPr>
        <w:t>5</w:t>
      </w:r>
      <w:r>
        <w:t>.5-2  三星坝片区企业基本情况</w:t>
      </w:r>
    </w:p>
    <w:tbl>
      <w:tblPr>
        <w:tblStyle w:val="27"/>
        <w:tblW w:w="0" w:type="auto"/>
        <w:tblInd w:w="-72" w:type="dxa"/>
        <w:tblLayout w:type="fixed"/>
        <w:tblCellMar>
          <w:top w:w="0" w:type="dxa"/>
          <w:left w:w="108" w:type="dxa"/>
          <w:bottom w:w="0" w:type="dxa"/>
          <w:right w:w="108" w:type="dxa"/>
        </w:tblCellMar>
      </w:tblPr>
      <w:tblGrid>
        <w:gridCol w:w="656"/>
        <w:gridCol w:w="3210"/>
        <w:gridCol w:w="1559"/>
        <w:gridCol w:w="1276"/>
        <w:gridCol w:w="1701"/>
      </w:tblGrid>
      <w:tr>
        <w:tblPrEx>
          <w:tblCellMar>
            <w:top w:w="0" w:type="dxa"/>
            <w:left w:w="108" w:type="dxa"/>
            <w:bottom w:w="0" w:type="dxa"/>
            <w:right w:w="108" w:type="dxa"/>
          </w:tblCellMar>
        </w:tblPrEx>
        <w:trPr>
          <w:trHeight w:val="287" w:hRule="atLeast"/>
        </w:trPr>
        <w:tc>
          <w:tcPr>
            <w:tcW w:w="656" w:type="dxa"/>
            <w:tcBorders>
              <w:top w:val="single" w:color="auto" w:sz="4" w:space="0"/>
              <w:left w:val="single" w:color="auto" w:sz="4" w:space="0"/>
              <w:bottom w:val="single" w:color="auto" w:sz="4" w:space="0"/>
              <w:right w:val="single" w:color="auto" w:sz="4" w:space="0"/>
            </w:tcBorders>
            <w:vAlign w:val="center"/>
          </w:tcPr>
          <w:p>
            <w:pPr>
              <w:pStyle w:val="33"/>
            </w:pPr>
            <w:r>
              <w:t>序号</w:t>
            </w:r>
          </w:p>
        </w:tc>
        <w:tc>
          <w:tcPr>
            <w:tcW w:w="3210" w:type="dxa"/>
            <w:tcBorders>
              <w:top w:val="single" w:color="auto" w:sz="4" w:space="0"/>
              <w:left w:val="single" w:color="auto" w:sz="4" w:space="0"/>
              <w:bottom w:val="single" w:color="auto" w:sz="4" w:space="0"/>
              <w:right w:val="single" w:color="auto" w:sz="4" w:space="0"/>
            </w:tcBorders>
            <w:vAlign w:val="center"/>
          </w:tcPr>
          <w:p>
            <w:pPr>
              <w:pStyle w:val="33"/>
            </w:pPr>
            <w:r>
              <w:t>企业名称</w:t>
            </w:r>
          </w:p>
        </w:tc>
        <w:tc>
          <w:tcPr>
            <w:tcW w:w="1559" w:type="dxa"/>
            <w:tcBorders>
              <w:top w:val="single" w:color="auto" w:sz="4" w:space="0"/>
              <w:left w:val="single" w:color="auto" w:sz="4" w:space="0"/>
              <w:bottom w:val="single" w:color="auto" w:sz="4" w:space="0"/>
              <w:right w:val="single" w:color="auto" w:sz="4" w:space="0"/>
            </w:tcBorders>
            <w:vAlign w:val="center"/>
          </w:tcPr>
          <w:p>
            <w:pPr>
              <w:pStyle w:val="33"/>
            </w:pPr>
            <w:r>
              <w:t>所属行业</w:t>
            </w:r>
          </w:p>
        </w:tc>
        <w:tc>
          <w:tcPr>
            <w:tcW w:w="1276" w:type="dxa"/>
            <w:tcBorders>
              <w:top w:val="single" w:color="auto" w:sz="4" w:space="0"/>
              <w:left w:val="single" w:color="auto" w:sz="4" w:space="0"/>
              <w:bottom w:val="single" w:color="auto" w:sz="4" w:space="0"/>
              <w:right w:val="single" w:color="auto" w:sz="4" w:space="0"/>
            </w:tcBorders>
            <w:vAlign w:val="center"/>
          </w:tcPr>
          <w:p>
            <w:pPr>
              <w:pStyle w:val="33"/>
            </w:pPr>
            <w:r>
              <w:t>所在片区</w:t>
            </w:r>
          </w:p>
        </w:tc>
        <w:tc>
          <w:tcPr>
            <w:tcW w:w="1701" w:type="dxa"/>
            <w:tcBorders>
              <w:top w:val="single" w:color="auto" w:sz="4" w:space="0"/>
              <w:left w:val="single" w:color="auto" w:sz="4" w:space="0"/>
              <w:bottom w:val="single" w:color="auto" w:sz="4" w:space="0"/>
              <w:right w:val="single" w:color="auto" w:sz="4" w:space="0"/>
            </w:tcBorders>
            <w:vAlign w:val="center"/>
          </w:tcPr>
          <w:p>
            <w:pPr>
              <w:pStyle w:val="33"/>
            </w:pPr>
            <w:r>
              <w:t>生产建设情况</w:t>
            </w:r>
          </w:p>
        </w:tc>
      </w:tr>
      <w:tr>
        <w:tblPrEx>
          <w:tblCellMar>
            <w:top w:w="0" w:type="dxa"/>
            <w:left w:w="108" w:type="dxa"/>
            <w:bottom w:w="0" w:type="dxa"/>
            <w:right w:w="108" w:type="dxa"/>
          </w:tblCellMar>
        </w:tblPrEx>
        <w:trPr>
          <w:trHeight w:val="287" w:hRule="atLeast"/>
        </w:trPr>
        <w:tc>
          <w:tcPr>
            <w:tcW w:w="656" w:type="dxa"/>
            <w:tcBorders>
              <w:top w:val="single" w:color="auto" w:sz="4" w:space="0"/>
              <w:left w:val="single" w:color="auto" w:sz="4" w:space="0"/>
              <w:bottom w:val="single" w:color="auto" w:sz="4" w:space="0"/>
              <w:right w:val="single" w:color="auto" w:sz="4" w:space="0"/>
            </w:tcBorders>
            <w:vAlign w:val="center"/>
          </w:tcPr>
          <w:p>
            <w:pPr>
              <w:pStyle w:val="33"/>
            </w:pPr>
            <w:r>
              <w:t>1</w:t>
            </w:r>
          </w:p>
        </w:tc>
        <w:tc>
          <w:tcPr>
            <w:tcW w:w="3210" w:type="dxa"/>
            <w:tcBorders>
              <w:top w:val="single" w:color="auto" w:sz="4" w:space="0"/>
              <w:left w:val="single" w:color="auto" w:sz="4" w:space="0"/>
              <w:bottom w:val="single" w:color="auto" w:sz="4" w:space="0"/>
              <w:right w:val="single" w:color="auto" w:sz="4" w:space="0"/>
            </w:tcBorders>
            <w:vAlign w:val="center"/>
          </w:tcPr>
          <w:p>
            <w:pPr>
              <w:pStyle w:val="33"/>
            </w:pPr>
            <w:r>
              <w:t>云南江南锰业股份有限公司</w:t>
            </w:r>
          </w:p>
        </w:tc>
        <w:tc>
          <w:tcPr>
            <w:tcW w:w="1559" w:type="dxa"/>
            <w:tcBorders>
              <w:top w:val="single" w:color="auto" w:sz="4" w:space="0"/>
              <w:left w:val="single" w:color="auto" w:sz="4" w:space="0"/>
              <w:bottom w:val="single" w:color="auto" w:sz="4" w:space="0"/>
              <w:right w:val="single" w:color="auto" w:sz="4" w:space="0"/>
            </w:tcBorders>
            <w:vAlign w:val="center"/>
          </w:tcPr>
          <w:p>
            <w:pPr>
              <w:pStyle w:val="33"/>
            </w:pPr>
            <w:r>
              <w:t>冶炼</w:t>
            </w:r>
          </w:p>
        </w:tc>
        <w:tc>
          <w:tcPr>
            <w:tcW w:w="1276" w:type="dxa"/>
            <w:tcBorders>
              <w:top w:val="single" w:color="auto" w:sz="4" w:space="0"/>
              <w:left w:val="single" w:color="auto" w:sz="4" w:space="0"/>
              <w:bottom w:val="single" w:color="auto" w:sz="4" w:space="0"/>
              <w:right w:val="single" w:color="auto" w:sz="4" w:space="0"/>
            </w:tcBorders>
            <w:vAlign w:val="center"/>
          </w:tcPr>
          <w:p>
            <w:pPr>
              <w:pStyle w:val="33"/>
            </w:pPr>
            <w:r>
              <w:t>三星坝</w:t>
            </w:r>
          </w:p>
        </w:tc>
        <w:tc>
          <w:tcPr>
            <w:tcW w:w="1701" w:type="dxa"/>
            <w:tcBorders>
              <w:top w:val="single" w:color="auto" w:sz="4" w:space="0"/>
              <w:left w:val="single" w:color="auto" w:sz="4" w:space="0"/>
              <w:bottom w:val="single" w:color="auto" w:sz="4" w:space="0"/>
              <w:right w:val="single" w:color="auto" w:sz="4" w:space="0"/>
            </w:tcBorders>
            <w:vAlign w:val="center"/>
          </w:tcPr>
          <w:p>
            <w:pPr>
              <w:pStyle w:val="33"/>
            </w:pPr>
            <w:r>
              <w:t>已建成投产</w:t>
            </w:r>
          </w:p>
        </w:tc>
      </w:tr>
      <w:tr>
        <w:tblPrEx>
          <w:tblCellMar>
            <w:top w:w="0" w:type="dxa"/>
            <w:left w:w="108" w:type="dxa"/>
            <w:bottom w:w="0" w:type="dxa"/>
            <w:right w:w="108" w:type="dxa"/>
          </w:tblCellMar>
        </w:tblPrEx>
        <w:trPr>
          <w:trHeight w:val="287" w:hRule="atLeast"/>
        </w:trPr>
        <w:tc>
          <w:tcPr>
            <w:tcW w:w="656" w:type="dxa"/>
            <w:tcBorders>
              <w:top w:val="single" w:color="auto" w:sz="4" w:space="0"/>
              <w:left w:val="single" w:color="auto" w:sz="4" w:space="0"/>
              <w:bottom w:val="single" w:color="auto" w:sz="4" w:space="0"/>
              <w:right w:val="single" w:color="auto" w:sz="4" w:space="0"/>
            </w:tcBorders>
            <w:vAlign w:val="center"/>
          </w:tcPr>
          <w:p>
            <w:pPr>
              <w:pStyle w:val="33"/>
            </w:pPr>
            <w:r>
              <w:t>2</w:t>
            </w:r>
          </w:p>
        </w:tc>
        <w:tc>
          <w:tcPr>
            <w:tcW w:w="3210" w:type="dxa"/>
            <w:tcBorders>
              <w:top w:val="single" w:color="auto" w:sz="4" w:space="0"/>
              <w:left w:val="single" w:color="auto" w:sz="4" w:space="0"/>
              <w:bottom w:val="single" w:color="auto" w:sz="4" w:space="0"/>
              <w:right w:val="single" w:color="auto" w:sz="4" w:space="0"/>
            </w:tcBorders>
            <w:vAlign w:val="center"/>
          </w:tcPr>
          <w:p>
            <w:pPr>
              <w:pStyle w:val="33"/>
            </w:pPr>
            <w:r>
              <w:t>云南牧隆锰业有限公司</w:t>
            </w:r>
          </w:p>
        </w:tc>
        <w:tc>
          <w:tcPr>
            <w:tcW w:w="1559" w:type="dxa"/>
            <w:tcBorders>
              <w:top w:val="single" w:color="auto" w:sz="4" w:space="0"/>
              <w:left w:val="single" w:color="auto" w:sz="4" w:space="0"/>
              <w:bottom w:val="single" w:color="auto" w:sz="4" w:space="0"/>
              <w:right w:val="single" w:color="auto" w:sz="4" w:space="0"/>
            </w:tcBorders>
            <w:vAlign w:val="center"/>
          </w:tcPr>
          <w:p>
            <w:pPr>
              <w:pStyle w:val="33"/>
            </w:pPr>
            <w:r>
              <w:t>冶炼</w:t>
            </w:r>
          </w:p>
        </w:tc>
        <w:tc>
          <w:tcPr>
            <w:tcW w:w="1276" w:type="dxa"/>
            <w:tcBorders>
              <w:top w:val="single" w:color="auto" w:sz="4" w:space="0"/>
              <w:left w:val="single" w:color="auto" w:sz="4" w:space="0"/>
              <w:bottom w:val="single" w:color="auto" w:sz="4" w:space="0"/>
              <w:right w:val="single" w:color="auto" w:sz="4" w:space="0"/>
            </w:tcBorders>
            <w:vAlign w:val="center"/>
          </w:tcPr>
          <w:p>
            <w:pPr>
              <w:pStyle w:val="33"/>
            </w:pPr>
            <w:r>
              <w:t>三星坝</w:t>
            </w:r>
          </w:p>
        </w:tc>
        <w:tc>
          <w:tcPr>
            <w:tcW w:w="1701" w:type="dxa"/>
            <w:tcBorders>
              <w:top w:val="single" w:color="auto" w:sz="4" w:space="0"/>
              <w:left w:val="single" w:color="auto" w:sz="4" w:space="0"/>
              <w:bottom w:val="single" w:color="auto" w:sz="4" w:space="0"/>
              <w:right w:val="single" w:color="auto" w:sz="4" w:space="0"/>
            </w:tcBorders>
            <w:vAlign w:val="center"/>
          </w:tcPr>
          <w:p>
            <w:pPr>
              <w:pStyle w:val="33"/>
            </w:pPr>
            <w:r>
              <w:t>已建成投产</w:t>
            </w:r>
          </w:p>
        </w:tc>
      </w:tr>
      <w:tr>
        <w:tblPrEx>
          <w:tblCellMar>
            <w:top w:w="0" w:type="dxa"/>
            <w:left w:w="108" w:type="dxa"/>
            <w:bottom w:w="0" w:type="dxa"/>
            <w:right w:w="108" w:type="dxa"/>
          </w:tblCellMar>
        </w:tblPrEx>
        <w:trPr>
          <w:trHeight w:val="287" w:hRule="atLeast"/>
        </w:trPr>
        <w:tc>
          <w:tcPr>
            <w:tcW w:w="656" w:type="dxa"/>
            <w:tcBorders>
              <w:top w:val="single" w:color="auto" w:sz="4" w:space="0"/>
              <w:left w:val="single" w:color="auto" w:sz="4" w:space="0"/>
              <w:bottom w:val="single" w:color="auto" w:sz="4" w:space="0"/>
              <w:right w:val="single" w:color="auto" w:sz="4" w:space="0"/>
            </w:tcBorders>
            <w:vAlign w:val="center"/>
          </w:tcPr>
          <w:p>
            <w:pPr>
              <w:pStyle w:val="33"/>
            </w:pPr>
            <w:r>
              <w:t>3</w:t>
            </w:r>
          </w:p>
        </w:tc>
        <w:tc>
          <w:tcPr>
            <w:tcW w:w="3210" w:type="dxa"/>
            <w:tcBorders>
              <w:top w:val="single" w:color="auto" w:sz="4" w:space="0"/>
              <w:left w:val="single" w:color="auto" w:sz="4" w:space="0"/>
              <w:bottom w:val="single" w:color="auto" w:sz="4" w:space="0"/>
              <w:right w:val="single" w:color="auto" w:sz="4" w:space="0"/>
            </w:tcBorders>
            <w:vAlign w:val="center"/>
          </w:tcPr>
          <w:p>
            <w:pPr>
              <w:pStyle w:val="33"/>
            </w:pPr>
            <w:r>
              <w:t>云南中科九台公司</w:t>
            </w:r>
          </w:p>
        </w:tc>
        <w:tc>
          <w:tcPr>
            <w:tcW w:w="1559" w:type="dxa"/>
            <w:tcBorders>
              <w:top w:val="single" w:color="auto" w:sz="4" w:space="0"/>
              <w:left w:val="single" w:color="auto" w:sz="4" w:space="0"/>
              <w:bottom w:val="single" w:color="auto" w:sz="4" w:space="0"/>
              <w:right w:val="single" w:color="auto" w:sz="4" w:space="0"/>
            </w:tcBorders>
            <w:vAlign w:val="center"/>
          </w:tcPr>
          <w:p>
            <w:pPr>
              <w:pStyle w:val="33"/>
            </w:pPr>
            <w:r>
              <w:t>冶炼</w:t>
            </w:r>
          </w:p>
        </w:tc>
        <w:tc>
          <w:tcPr>
            <w:tcW w:w="1276" w:type="dxa"/>
            <w:tcBorders>
              <w:top w:val="single" w:color="auto" w:sz="4" w:space="0"/>
              <w:left w:val="single" w:color="auto" w:sz="4" w:space="0"/>
              <w:bottom w:val="single" w:color="auto" w:sz="4" w:space="0"/>
              <w:right w:val="single" w:color="auto" w:sz="4" w:space="0"/>
            </w:tcBorders>
            <w:vAlign w:val="center"/>
          </w:tcPr>
          <w:p>
            <w:pPr>
              <w:pStyle w:val="33"/>
            </w:pPr>
            <w:r>
              <w:t>三星坝</w:t>
            </w:r>
          </w:p>
        </w:tc>
        <w:tc>
          <w:tcPr>
            <w:tcW w:w="1701" w:type="dxa"/>
            <w:tcBorders>
              <w:top w:val="single" w:color="auto" w:sz="4" w:space="0"/>
              <w:left w:val="single" w:color="auto" w:sz="4" w:space="0"/>
              <w:bottom w:val="single" w:color="auto" w:sz="4" w:space="0"/>
              <w:right w:val="single" w:color="auto" w:sz="4" w:space="0"/>
            </w:tcBorders>
            <w:vAlign w:val="center"/>
          </w:tcPr>
          <w:p>
            <w:pPr>
              <w:pStyle w:val="33"/>
            </w:pPr>
            <w:r>
              <w:t>已建成投产</w:t>
            </w:r>
          </w:p>
        </w:tc>
      </w:tr>
      <w:tr>
        <w:tblPrEx>
          <w:tblCellMar>
            <w:top w:w="0" w:type="dxa"/>
            <w:left w:w="108" w:type="dxa"/>
            <w:bottom w:w="0" w:type="dxa"/>
            <w:right w:w="108" w:type="dxa"/>
          </w:tblCellMar>
        </w:tblPrEx>
        <w:trPr>
          <w:trHeight w:val="280" w:hRule="atLeast"/>
        </w:trPr>
        <w:tc>
          <w:tcPr>
            <w:tcW w:w="656" w:type="dxa"/>
            <w:tcBorders>
              <w:top w:val="single" w:color="auto" w:sz="4" w:space="0"/>
              <w:left w:val="single" w:color="auto" w:sz="4" w:space="0"/>
              <w:bottom w:val="single" w:color="auto" w:sz="4" w:space="0"/>
              <w:right w:val="single" w:color="auto" w:sz="4" w:space="0"/>
            </w:tcBorders>
            <w:vAlign w:val="center"/>
          </w:tcPr>
          <w:p>
            <w:pPr>
              <w:pStyle w:val="33"/>
            </w:pPr>
            <w:r>
              <w:t>4</w:t>
            </w:r>
          </w:p>
        </w:tc>
        <w:tc>
          <w:tcPr>
            <w:tcW w:w="3210" w:type="dxa"/>
            <w:tcBorders>
              <w:top w:val="single" w:color="auto" w:sz="4" w:space="0"/>
              <w:left w:val="single" w:color="auto" w:sz="4" w:space="0"/>
              <w:bottom w:val="single" w:color="auto" w:sz="4" w:space="0"/>
              <w:right w:val="single" w:color="auto" w:sz="4" w:space="0"/>
            </w:tcBorders>
            <w:vAlign w:val="center"/>
          </w:tcPr>
          <w:p>
            <w:pPr>
              <w:pStyle w:val="33"/>
            </w:pPr>
            <w:r>
              <w:t>砚山县中山塑料包装有限公司</w:t>
            </w:r>
          </w:p>
        </w:tc>
        <w:tc>
          <w:tcPr>
            <w:tcW w:w="1559" w:type="dxa"/>
            <w:tcBorders>
              <w:top w:val="single" w:color="auto" w:sz="4" w:space="0"/>
              <w:left w:val="single" w:color="auto" w:sz="4" w:space="0"/>
              <w:bottom w:val="single" w:color="auto" w:sz="4" w:space="0"/>
              <w:right w:val="single" w:color="auto" w:sz="4" w:space="0"/>
            </w:tcBorders>
            <w:vAlign w:val="center"/>
          </w:tcPr>
          <w:p>
            <w:pPr>
              <w:pStyle w:val="33"/>
            </w:pPr>
            <w:r>
              <w:t>塑料包装</w:t>
            </w:r>
          </w:p>
        </w:tc>
        <w:tc>
          <w:tcPr>
            <w:tcW w:w="1276" w:type="dxa"/>
            <w:tcBorders>
              <w:top w:val="single" w:color="auto" w:sz="4" w:space="0"/>
              <w:left w:val="single" w:color="auto" w:sz="4" w:space="0"/>
              <w:bottom w:val="single" w:color="auto" w:sz="4" w:space="0"/>
              <w:right w:val="single" w:color="auto" w:sz="4" w:space="0"/>
            </w:tcBorders>
            <w:vAlign w:val="center"/>
          </w:tcPr>
          <w:p>
            <w:pPr>
              <w:pStyle w:val="33"/>
            </w:pPr>
            <w:r>
              <w:t>三星坝</w:t>
            </w:r>
          </w:p>
        </w:tc>
        <w:tc>
          <w:tcPr>
            <w:tcW w:w="1701" w:type="dxa"/>
            <w:tcBorders>
              <w:top w:val="single" w:color="auto" w:sz="4" w:space="0"/>
              <w:left w:val="single" w:color="auto" w:sz="4" w:space="0"/>
              <w:bottom w:val="single" w:color="auto" w:sz="4" w:space="0"/>
              <w:right w:val="single" w:color="auto" w:sz="4" w:space="0"/>
            </w:tcBorders>
            <w:vAlign w:val="center"/>
          </w:tcPr>
          <w:p>
            <w:pPr>
              <w:pStyle w:val="33"/>
            </w:pPr>
            <w:r>
              <w:t>已建成投产</w:t>
            </w:r>
          </w:p>
        </w:tc>
      </w:tr>
    </w:tbl>
    <w:p>
      <w:pPr>
        <w:pStyle w:val="7"/>
        <w:ind w:firstLine="480"/>
      </w:pPr>
      <w:r>
        <w:t>三星坝片区原有的一些制砖和建材企业由于市场原因现已关停，目前区域中的企业主要为几家冶炼企业，各企业废气达标排放，废水全部回用不外排。</w:t>
      </w:r>
    </w:p>
    <w:p>
      <w:pPr>
        <w:pStyle w:val="7"/>
        <w:ind w:firstLine="480"/>
      </w:pPr>
      <w:r>
        <w:t>本项目选址于砚山工业园区布标片区内，根据大气导则本项目评价范围为边长为5km的长方形，经调查了解评价范围内工业企业涉及大气污染源排放相关企业排污统计见表</w:t>
      </w:r>
      <w:r>
        <w:rPr>
          <w:rFonts w:hint="eastAsia"/>
        </w:rPr>
        <w:t>5</w:t>
      </w:r>
      <w:r>
        <w:t>.5-3。</w:t>
      </w:r>
    </w:p>
    <w:p>
      <w:pPr>
        <w:pStyle w:val="31"/>
      </w:pPr>
      <w:r>
        <w:t>表</w:t>
      </w:r>
      <w:r>
        <w:rPr>
          <w:rFonts w:hint="eastAsia"/>
        </w:rPr>
        <w:t>5</w:t>
      </w:r>
      <w:r>
        <w:t xml:space="preserve">.5-3  评价范围内主要废气污染源排放情况 </w:t>
      </w:r>
      <w:r>
        <w:rPr>
          <w:rFonts w:hint="eastAsia"/>
        </w:rPr>
        <w:t xml:space="preserve">  </w:t>
      </w:r>
      <w:r>
        <w:t xml:space="preserve"> 单位：t/a</w:t>
      </w:r>
    </w:p>
    <w:tbl>
      <w:tblPr>
        <w:tblStyle w:val="27"/>
        <w:tblW w:w="4997" w:type="pct"/>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3151"/>
        <w:gridCol w:w="910"/>
        <w:gridCol w:w="1135"/>
        <w:gridCol w:w="932"/>
        <w:gridCol w:w="854"/>
        <w:gridCol w:w="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right"/>
        </w:trPr>
        <w:tc>
          <w:tcPr>
            <w:tcW w:w="419" w:type="pct"/>
            <w:vAlign w:val="center"/>
          </w:tcPr>
          <w:p>
            <w:pPr>
              <w:pStyle w:val="33"/>
            </w:pPr>
            <w:r>
              <w:t>序号</w:t>
            </w:r>
          </w:p>
        </w:tc>
        <w:tc>
          <w:tcPr>
            <w:tcW w:w="1849" w:type="pct"/>
            <w:vAlign w:val="center"/>
          </w:tcPr>
          <w:p>
            <w:pPr>
              <w:pStyle w:val="33"/>
            </w:pPr>
            <w:r>
              <w:t>项目</w:t>
            </w:r>
          </w:p>
        </w:tc>
        <w:tc>
          <w:tcPr>
            <w:tcW w:w="534" w:type="pct"/>
            <w:vAlign w:val="center"/>
          </w:tcPr>
          <w:p>
            <w:pPr>
              <w:pStyle w:val="33"/>
            </w:pPr>
            <w:r>
              <w:rPr>
                <w:rFonts w:hint="eastAsia"/>
              </w:rPr>
              <w:t>颗粒物</w:t>
            </w:r>
          </w:p>
        </w:tc>
        <w:tc>
          <w:tcPr>
            <w:tcW w:w="666" w:type="pct"/>
            <w:vAlign w:val="center"/>
          </w:tcPr>
          <w:p>
            <w:pPr>
              <w:pStyle w:val="33"/>
            </w:pPr>
            <w:r>
              <w:t>SO</w:t>
            </w:r>
            <w:r>
              <w:rPr>
                <w:vertAlign w:val="subscript"/>
              </w:rPr>
              <w:t>2</w:t>
            </w:r>
          </w:p>
        </w:tc>
        <w:tc>
          <w:tcPr>
            <w:tcW w:w="547" w:type="pct"/>
            <w:vAlign w:val="center"/>
          </w:tcPr>
          <w:p>
            <w:pPr>
              <w:pStyle w:val="33"/>
            </w:pPr>
            <w:r>
              <w:rPr>
                <w:rFonts w:hint="eastAsia"/>
              </w:rPr>
              <w:t>N</w:t>
            </w:r>
            <w:r>
              <w:t>Ox</w:t>
            </w:r>
          </w:p>
        </w:tc>
        <w:tc>
          <w:tcPr>
            <w:tcW w:w="501" w:type="pct"/>
            <w:vAlign w:val="center"/>
          </w:tcPr>
          <w:p>
            <w:pPr>
              <w:pStyle w:val="33"/>
            </w:pPr>
            <w:r>
              <w:rPr>
                <w:rFonts w:hint="eastAsia"/>
              </w:rPr>
              <w:t>氟化物</w:t>
            </w:r>
          </w:p>
        </w:tc>
        <w:tc>
          <w:tcPr>
            <w:tcW w:w="481" w:type="pct"/>
            <w:vAlign w:val="center"/>
          </w:tcPr>
          <w:p>
            <w:pPr>
              <w:pStyle w:val="33"/>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right"/>
        </w:trPr>
        <w:tc>
          <w:tcPr>
            <w:tcW w:w="419" w:type="pct"/>
            <w:vAlign w:val="center"/>
          </w:tcPr>
          <w:p>
            <w:pPr>
              <w:pStyle w:val="33"/>
            </w:pPr>
            <w:r>
              <w:rPr>
                <w:rFonts w:hint="eastAsia"/>
              </w:rPr>
              <w:t>1</w:t>
            </w:r>
          </w:p>
        </w:tc>
        <w:tc>
          <w:tcPr>
            <w:tcW w:w="1849" w:type="pct"/>
            <w:vAlign w:val="center"/>
          </w:tcPr>
          <w:p>
            <w:pPr>
              <w:pStyle w:val="33"/>
            </w:pPr>
            <w:r>
              <w:rPr>
                <w:rFonts w:hint="eastAsia"/>
              </w:rPr>
              <w:t>云南宏泰新型材料有限公司年产203万吨电解铝建设项目</w:t>
            </w:r>
          </w:p>
        </w:tc>
        <w:tc>
          <w:tcPr>
            <w:tcW w:w="534" w:type="pct"/>
            <w:vAlign w:val="center"/>
          </w:tcPr>
          <w:p>
            <w:pPr>
              <w:pStyle w:val="33"/>
            </w:pPr>
            <w:r>
              <w:t>1294.09</w:t>
            </w:r>
          </w:p>
        </w:tc>
        <w:tc>
          <w:tcPr>
            <w:tcW w:w="666" w:type="pct"/>
            <w:vAlign w:val="center"/>
          </w:tcPr>
          <w:p>
            <w:pPr>
              <w:pStyle w:val="33"/>
            </w:pPr>
            <w:r>
              <w:t>8377</w:t>
            </w:r>
          </w:p>
        </w:tc>
        <w:tc>
          <w:tcPr>
            <w:tcW w:w="547" w:type="pct"/>
            <w:vAlign w:val="center"/>
          </w:tcPr>
          <w:p>
            <w:pPr>
              <w:pStyle w:val="33"/>
            </w:pPr>
            <w:r>
              <w:rPr>
                <w:rFonts w:hint="eastAsia"/>
              </w:rPr>
              <w:t>/</w:t>
            </w:r>
          </w:p>
        </w:tc>
        <w:tc>
          <w:tcPr>
            <w:tcW w:w="501" w:type="pct"/>
            <w:vAlign w:val="center"/>
          </w:tcPr>
          <w:p>
            <w:pPr>
              <w:pStyle w:val="33"/>
            </w:pPr>
            <w:r>
              <w:t>170.12</w:t>
            </w:r>
          </w:p>
        </w:tc>
        <w:tc>
          <w:tcPr>
            <w:tcW w:w="481" w:type="pct"/>
            <w:vAlign w:val="center"/>
          </w:tcPr>
          <w:p>
            <w:pPr>
              <w:pStyle w:val="33"/>
            </w:pPr>
            <w:r>
              <w:t>在建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right"/>
        </w:trPr>
        <w:tc>
          <w:tcPr>
            <w:tcW w:w="419" w:type="pct"/>
            <w:vAlign w:val="center"/>
          </w:tcPr>
          <w:p>
            <w:pPr>
              <w:pStyle w:val="33"/>
            </w:pPr>
            <w:r>
              <w:rPr>
                <w:rFonts w:hint="eastAsia"/>
              </w:rPr>
              <w:t>2</w:t>
            </w:r>
          </w:p>
        </w:tc>
        <w:tc>
          <w:tcPr>
            <w:tcW w:w="1849" w:type="pct"/>
            <w:vAlign w:val="center"/>
          </w:tcPr>
          <w:p>
            <w:pPr>
              <w:pStyle w:val="33"/>
            </w:pPr>
            <w:r>
              <w:rPr>
                <w:rFonts w:hint="eastAsia"/>
              </w:rPr>
              <w:t>年产120万吨轻质高强铝合金材料项目</w:t>
            </w:r>
          </w:p>
        </w:tc>
        <w:tc>
          <w:tcPr>
            <w:tcW w:w="534" w:type="pct"/>
            <w:vAlign w:val="center"/>
          </w:tcPr>
          <w:p>
            <w:pPr>
              <w:pStyle w:val="33"/>
            </w:pPr>
            <w:r>
              <w:rPr>
                <w:rFonts w:hint="eastAsia"/>
              </w:rPr>
              <w:t>9</w:t>
            </w:r>
            <w:r>
              <w:t>.113</w:t>
            </w:r>
          </w:p>
        </w:tc>
        <w:tc>
          <w:tcPr>
            <w:tcW w:w="666" w:type="pct"/>
            <w:vAlign w:val="center"/>
          </w:tcPr>
          <w:p>
            <w:pPr>
              <w:pStyle w:val="33"/>
            </w:pPr>
            <w:r>
              <w:rPr>
                <w:rFonts w:hint="eastAsia"/>
              </w:rPr>
              <w:t>1</w:t>
            </w:r>
            <w:r>
              <w:t>4.4</w:t>
            </w:r>
          </w:p>
        </w:tc>
        <w:tc>
          <w:tcPr>
            <w:tcW w:w="547" w:type="pct"/>
            <w:vAlign w:val="center"/>
          </w:tcPr>
          <w:p>
            <w:pPr>
              <w:pStyle w:val="33"/>
            </w:pPr>
            <w:r>
              <w:t>67.357</w:t>
            </w:r>
          </w:p>
        </w:tc>
        <w:tc>
          <w:tcPr>
            <w:tcW w:w="501" w:type="pct"/>
            <w:vAlign w:val="center"/>
          </w:tcPr>
          <w:p>
            <w:pPr>
              <w:pStyle w:val="33"/>
            </w:pPr>
            <w:r>
              <w:rPr>
                <w:rFonts w:hint="eastAsia"/>
              </w:rPr>
              <w:t>0</w:t>
            </w:r>
            <w:r>
              <w:t>.074</w:t>
            </w:r>
          </w:p>
        </w:tc>
        <w:tc>
          <w:tcPr>
            <w:tcW w:w="481" w:type="pct"/>
            <w:vAlign w:val="center"/>
          </w:tcPr>
          <w:p>
            <w:pPr>
              <w:pStyle w:val="33"/>
            </w:pPr>
            <w:r>
              <w:rPr>
                <w:rFonts w:hint="eastAsia"/>
              </w:rPr>
              <w:t>在</w:t>
            </w:r>
            <w:r>
              <w:t>建</w:t>
            </w:r>
          </w:p>
        </w:tc>
      </w:tr>
    </w:tbl>
    <w:p>
      <w:pPr>
        <w:widowControl/>
        <w:adjustRightInd w:val="0"/>
        <w:snapToGrid w:val="0"/>
        <w:spacing w:line="360" w:lineRule="auto"/>
        <w:jc w:val="center"/>
        <w:rPr>
          <w:bCs/>
        </w:rPr>
      </w:pPr>
      <w:r>
        <w:rPr>
          <w:rFonts w:hint="eastAsia"/>
          <w:bCs/>
        </w:rPr>
        <w:drawing>
          <wp:inline distT="0" distB="0" distL="114300" distR="114300">
            <wp:extent cx="4645660" cy="3173730"/>
            <wp:effectExtent l="0" t="0" r="2540" b="7620"/>
            <wp:docPr id="10" name="图片 10" descr="项目周边污染源分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项目周边污染源分布示意图"/>
                    <pic:cNvPicPr>
                      <a:picLocks noChangeAspect="1"/>
                    </pic:cNvPicPr>
                  </pic:nvPicPr>
                  <pic:blipFill>
                    <a:blip r:embed="rId47"/>
                    <a:stretch>
                      <a:fillRect/>
                    </a:stretch>
                  </pic:blipFill>
                  <pic:spPr>
                    <a:xfrm>
                      <a:off x="0" y="0"/>
                      <a:ext cx="4645660" cy="3173730"/>
                    </a:xfrm>
                    <a:prstGeom prst="rect">
                      <a:avLst/>
                    </a:prstGeom>
                  </pic:spPr>
                </pic:pic>
              </a:graphicData>
            </a:graphic>
          </wp:inline>
        </w:drawing>
      </w:r>
    </w:p>
    <w:p>
      <w:pPr>
        <w:pStyle w:val="44"/>
        <w:rPr>
          <w:sz w:val="24"/>
          <w:highlight w:val="yellow"/>
        </w:rPr>
      </w:pPr>
      <w:r>
        <w:rPr>
          <w:rFonts w:hint="eastAsia"/>
        </w:rPr>
        <w:t>图5.5-1</w:t>
      </w:r>
      <w:r>
        <w:t xml:space="preserve"> </w:t>
      </w:r>
      <w:r>
        <w:rPr>
          <w:rFonts w:hint="eastAsia"/>
        </w:rPr>
        <w:t>项目周边污染源分布示意图</w:t>
      </w:r>
    </w:p>
    <w:p>
      <w:pPr>
        <w:pStyle w:val="7"/>
        <w:ind w:firstLine="480"/>
        <w:rPr>
          <w:highlight w:val="yellow"/>
        </w:rPr>
        <w:sectPr>
          <w:footerReference r:id="rId11" w:type="default"/>
          <w:pgSz w:w="11906" w:h="16838"/>
          <w:pgMar w:top="1440" w:right="1800" w:bottom="1440" w:left="1800" w:header="851" w:footer="992" w:gutter="0"/>
          <w:cols w:space="425" w:num="1"/>
          <w:docGrid w:type="lines" w:linePitch="312" w:charSpace="0"/>
        </w:sectPr>
      </w:pPr>
    </w:p>
    <w:p>
      <w:pPr>
        <w:pStyle w:val="4"/>
      </w:pPr>
      <w:bookmarkStart w:id="125" w:name="_Toc27525"/>
      <w:r>
        <w:rPr>
          <w:rFonts w:hint="eastAsia"/>
        </w:rPr>
        <w:t>6 环境影响预测与评价</w:t>
      </w:r>
      <w:bookmarkEnd w:id="125"/>
    </w:p>
    <w:p>
      <w:pPr>
        <w:pStyle w:val="5"/>
      </w:pPr>
      <w:bookmarkStart w:id="126" w:name="_Toc8004"/>
      <w:r>
        <w:rPr>
          <w:rFonts w:hint="eastAsia"/>
        </w:rPr>
        <w:t>6.1施工期环境的影响及控制</w:t>
      </w:r>
      <w:bookmarkEnd w:id="126"/>
    </w:p>
    <w:p>
      <w:pPr>
        <w:pStyle w:val="7"/>
        <w:ind w:firstLine="480"/>
      </w:pPr>
      <w:r>
        <w:rPr>
          <w:rFonts w:hint="eastAsia"/>
        </w:rPr>
        <w:t>本项目厂址位于云南文山州砚山工业园区布标片区内，本项目厂址场地内无居民住户。岩石及泥土的开采与堆放，雨水的冲刷，均可能造成新的水土流失。施工期间，施工机械、运输车辆产生的尾气、扬尘、噪声、施工弃土、废弃材料、施工人员生活污水等，均会对周围环境产生一定影响。</w:t>
      </w:r>
    </w:p>
    <w:p>
      <w:pPr>
        <w:pStyle w:val="7"/>
        <w:ind w:firstLine="480"/>
      </w:pPr>
      <w:r>
        <w:rPr>
          <w:rFonts w:hint="eastAsia"/>
        </w:rPr>
        <w:t>工程建设期对环境的影响局限在项目的建设施工期间，现场施工完成后其影响可消除。</w:t>
      </w:r>
    </w:p>
    <w:p>
      <w:pPr>
        <w:pStyle w:val="8"/>
      </w:pPr>
      <w:r>
        <w:rPr>
          <w:rFonts w:hint="eastAsia"/>
        </w:rPr>
        <w:t>6.1.1施工期空气环境影响分析</w:t>
      </w:r>
    </w:p>
    <w:p>
      <w:pPr>
        <w:pStyle w:val="7"/>
        <w:ind w:firstLine="480"/>
      </w:pPr>
      <w:r>
        <w:rPr>
          <w:rFonts w:hint="eastAsia"/>
        </w:rPr>
        <w:t>施工期对大气环境影响最大的是施工扬尘，其次为运输及一些动力设备运行产生的NO</w:t>
      </w:r>
      <w:r>
        <w:rPr>
          <w:rFonts w:hint="eastAsia"/>
          <w:vertAlign w:val="subscript"/>
        </w:rPr>
        <w:t>X</w:t>
      </w:r>
      <w:r>
        <w:rPr>
          <w:rFonts w:hint="eastAsia"/>
        </w:rPr>
        <w:t>、CO和THC等。二次扬尘污染主要产生于场地清理、挖土填方、物料装卸和运输等环节。</w:t>
      </w:r>
    </w:p>
    <w:p>
      <w:pPr>
        <w:pStyle w:val="7"/>
        <w:ind w:firstLine="480"/>
      </w:pPr>
      <w:r>
        <w:rPr>
          <w:rFonts w:hint="eastAsia"/>
        </w:rPr>
        <w:t>施工扬尘最大产生时间将出现在土方阶段，由于该阶段裸露浮土较多，产生量较大。施工工地采取封闭式施工，受施工扬尘影响范围不大，主要是施工场地周围及下风向的部分地区。另外在物料运输过程中，会造成物料沿路洒落或风吹起扬尘，另一方面，施工场地泥泞使运输车辆轮胎将泥土带到厂区</w:t>
      </w:r>
      <w:r>
        <w:rPr>
          <w:rFonts w:hint="eastAsia"/>
          <w:lang w:eastAsia="zh-CN"/>
        </w:rPr>
        <w:t>其他</w:t>
      </w:r>
      <w:r>
        <w:rPr>
          <w:rFonts w:hint="eastAsia"/>
        </w:rPr>
        <w:t>地方及公路上，污染环境。因此，必须做好施工现场及场外道路泥土及时清理，减少二次扬尘。结构、装修阶段也会因车辆行驶等产生扬尘污染，但产尘量相对较小。</w:t>
      </w:r>
    </w:p>
    <w:p>
      <w:pPr>
        <w:pStyle w:val="7"/>
        <w:ind w:firstLine="480"/>
      </w:pPr>
      <w:r>
        <w:rPr>
          <w:rFonts w:hint="eastAsia"/>
        </w:rPr>
        <w:t>施工扬尘是人们十分关注的问题。施工期起尘量的多少随风力的大小、物料的干湿程度、作业的文明程度等因素会发生较大的变化，影响可达150～300m。如管理措施得当，扬尘量将降低50～70％。大大减少对环境的影响。</w:t>
      </w:r>
    </w:p>
    <w:p>
      <w:pPr>
        <w:pStyle w:val="7"/>
        <w:ind w:firstLine="480"/>
      </w:pPr>
      <w:r>
        <w:rPr>
          <w:rFonts w:hint="eastAsia"/>
        </w:rPr>
        <w:t>从项目周边环境看，项目300m范围内居民点为布标；位于项目区常年主导风向侧风向，施工扬尘对其有一定的影响。为控制施工期扬尘对周围大气环境的影响，本工程施工期应采取的治理措施如下：</w:t>
      </w:r>
    </w:p>
    <w:p>
      <w:pPr>
        <w:pStyle w:val="7"/>
        <w:ind w:firstLine="480"/>
      </w:pPr>
      <w:r>
        <w:rPr>
          <w:rFonts w:hint="eastAsia"/>
        </w:rPr>
        <w:t>①加强施工现场扬尘控制。文明卸载施工材料，从源头上减少动力扬尘产生量；</w:t>
      </w:r>
    </w:p>
    <w:p>
      <w:pPr>
        <w:pStyle w:val="7"/>
        <w:ind w:firstLine="480"/>
      </w:pPr>
      <w:r>
        <w:rPr>
          <w:rFonts w:hint="eastAsia"/>
        </w:rPr>
        <w:t>②加强施工现场运输车辆管理。在项目范围内运输的车辆必须车身整洁，卸载车厢完好，装载货物堆码整齐，不得污染道路；</w:t>
      </w:r>
    </w:p>
    <w:p>
      <w:pPr>
        <w:pStyle w:val="7"/>
        <w:ind w:firstLine="480"/>
      </w:pPr>
      <w:r>
        <w:rPr>
          <w:rFonts w:hint="eastAsia"/>
        </w:rPr>
        <w:t>③在施工过程中，作业场地应布置临时围挡、围墙等设施以减少粉尘扩散；</w:t>
      </w:r>
    </w:p>
    <w:p>
      <w:pPr>
        <w:pStyle w:val="7"/>
        <w:ind w:firstLine="480"/>
      </w:pPr>
      <w:r>
        <w:rPr>
          <w:rFonts w:hint="eastAsia"/>
        </w:rPr>
        <w:t>④定期对施工场地洒水降尘，洒水次数根据天气状况而定；</w:t>
      </w:r>
    </w:p>
    <w:p>
      <w:pPr>
        <w:pStyle w:val="7"/>
        <w:ind w:firstLine="480"/>
      </w:pPr>
      <w:r>
        <w:rPr>
          <w:rFonts w:hint="eastAsia"/>
        </w:rPr>
        <w:t>⑤对运输建筑材料及建筑垃圾的车辆加盖篷布以减少洒落，同时，车辆进出、装卸场地时应用水将轮胎冲洗干净；</w:t>
      </w:r>
    </w:p>
    <w:p>
      <w:pPr>
        <w:pStyle w:val="7"/>
        <w:ind w:firstLine="480"/>
      </w:pPr>
      <w:r>
        <w:rPr>
          <w:rFonts w:hint="eastAsia"/>
        </w:rPr>
        <w:t>⑥粉状物料场所尽量布置于施工场地中部，大风天气时应进行必要的遮盖，粉状物料装卸时禁止凌空抛洒；</w:t>
      </w:r>
    </w:p>
    <w:p>
      <w:pPr>
        <w:pStyle w:val="7"/>
        <w:ind w:firstLine="480"/>
      </w:pPr>
      <w:r>
        <w:rPr>
          <w:rFonts w:hint="eastAsia"/>
        </w:rPr>
        <w:t>⑦尽量避免在大风天气下进行施工作业，根据同类项目工程经验，4级以上大风天气不宜实施土方施工；</w:t>
      </w:r>
    </w:p>
    <w:p>
      <w:pPr>
        <w:pStyle w:val="7"/>
        <w:ind w:firstLine="480"/>
      </w:pPr>
      <w:r>
        <w:rPr>
          <w:rFonts w:hint="eastAsia"/>
        </w:rPr>
        <w:t>⑧在施工场地上设置专人负责弃土、建筑垃圾、建筑材料的处置、清运和堆放，必要时加盖篷布或洒水，防止二次粉尘；</w:t>
      </w:r>
    </w:p>
    <w:p>
      <w:pPr>
        <w:pStyle w:val="7"/>
        <w:ind w:firstLine="480"/>
      </w:pPr>
      <w:r>
        <w:rPr>
          <w:rFonts w:hint="eastAsia"/>
        </w:rPr>
        <w:t>⑨对建筑垃圾及弃土应及时处理、清运，以减少占地，防止粉尘污染，改善施工场地的环境。</w:t>
      </w:r>
    </w:p>
    <w:p>
      <w:pPr>
        <w:pStyle w:val="7"/>
        <w:ind w:firstLine="480"/>
      </w:pPr>
      <w:r>
        <w:rPr>
          <w:rFonts w:hint="eastAsia"/>
        </w:rPr>
        <w:t>通过采取上述措施，则施工期对项目周围空气环境所产生的影响可大大降低。</w:t>
      </w:r>
    </w:p>
    <w:p>
      <w:pPr>
        <w:pStyle w:val="8"/>
      </w:pPr>
      <w:r>
        <w:rPr>
          <w:rFonts w:hint="eastAsia"/>
        </w:rPr>
        <w:t>6.1.2施工期水环境影响分析</w:t>
      </w:r>
    </w:p>
    <w:p>
      <w:pPr>
        <w:pStyle w:val="7"/>
        <w:ind w:firstLine="480"/>
      </w:pPr>
      <w:r>
        <w:rPr>
          <w:rFonts w:hint="eastAsia"/>
        </w:rPr>
        <w:t>施工人员生活污水影响项目施工期对地表水环境质量影响的主要因素为施工人员生活污水、土建工程施工废水及施工场地水土流失。</w:t>
      </w:r>
    </w:p>
    <w:p>
      <w:pPr>
        <w:pStyle w:val="7"/>
        <w:ind w:firstLine="480"/>
      </w:pPr>
      <w:r>
        <w:rPr>
          <w:rFonts w:hint="eastAsia"/>
        </w:rPr>
        <w:t>·施工人员生活污水影响：施工行为大多主要在旱季，大多采用机械化施工，施工人员产生的生活污水量不大，不直接排入地表水体，对水环境影响不大。</w:t>
      </w:r>
    </w:p>
    <w:p>
      <w:pPr>
        <w:pStyle w:val="7"/>
        <w:ind w:firstLine="480"/>
      </w:pPr>
      <w:r>
        <w:rPr>
          <w:rFonts w:hint="eastAsia"/>
        </w:rPr>
        <w:t>·土建工程施工废水影响：项目的砼养护、基础灌浆和场地冲洗也会产生少量废水，要求设沉砂池处理。处理后的废水可用于降尘洒水，施工废水除消耗于蒸发外少量进入土地吸收，不直接排入地表水体，对水环境影响不大。</w:t>
      </w:r>
    </w:p>
    <w:p>
      <w:pPr>
        <w:pStyle w:val="7"/>
        <w:ind w:firstLine="480"/>
      </w:pPr>
      <w:r>
        <w:rPr>
          <w:rFonts w:hint="eastAsia"/>
        </w:rPr>
        <w:t>·施工场地水土流失：施工场地表层出现新的裸露，遇降雨径流会产生水土流失，泥沙量增加。应合理安排施工进度，尽可能减短裸露时间，施工期施工场地水土流失对水环境影响不大。</w:t>
      </w:r>
    </w:p>
    <w:p>
      <w:pPr>
        <w:pStyle w:val="7"/>
        <w:ind w:firstLine="480"/>
      </w:pPr>
      <w:r>
        <w:rPr>
          <w:rFonts w:hint="eastAsia"/>
        </w:rPr>
        <w:t>·地下水的影响分析：施工期废水均为短期临时性排放，主要含SS、排放量小，大部分被蒸发，渗入地下的水量极小，在渗入过程中，由于岩土层的过滤、吸附等作用，这部分水已基本净化，对地下水基本无影响。</w:t>
      </w:r>
    </w:p>
    <w:p>
      <w:pPr>
        <w:pStyle w:val="8"/>
      </w:pPr>
      <w:r>
        <w:rPr>
          <w:rFonts w:hint="eastAsia"/>
        </w:rPr>
        <w:t>6.1.3施工期噪声影响分析</w:t>
      </w:r>
    </w:p>
    <w:p>
      <w:pPr>
        <w:pStyle w:val="7"/>
        <w:ind w:firstLine="480"/>
      </w:pPr>
      <w:r>
        <w:rPr>
          <w:rFonts w:hint="eastAsia"/>
        </w:rPr>
        <w:t>施工期主要分为土建及设备安装两个阶段，噪声较大的是基础阶段，本项目使用的施工机械主要有装载机、吊车、切割机等，施工噪声主要来源于这些设备。</w:t>
      </w:r>
    </w:p>
    <w:p>
      <w:pPr>
        <w:pStyle w:val="7"/>
        <w:ind w:firstLine="480"/>
      </w:pPr>
      <w:r>
        <w:rPr>
          <w:rFonts w:hint="eastAsia"/>
        </w:rPr>
        <w:t>目前国内常用的机械满负荷运行时不同距离处的噪声级见表6.1-1。</w:t>
      </w:r>
    </w:p>
    <w:p>
      <w:pPr>
        <w:pStyle w:val="31"/>
      </w:pPr>
      <w:r>
        <w:rPr>
          <w:rFonts w:hint="eastAsia"/>
        </w:rPr>
        <w:t>表6.1-1  距施工机械不同距离处的声级值    单位：dB（A）</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9"/>
        <w:gridCol w:w="892"/>
        <w:gridCol w:w="900"/>
        <w:gridCol w:w="901"/>
        <w:gridCol w:w="901"/>
        <w:gridCol w:w="901"/>
        <w:gridCol w:w="901"/>
        <w:gridCol w:w="962"/>
        <w:gridCol w:w="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shd w:val="clear" w:color="auto" w:fill="auto"/>
            <w:vAlign w:val="center"/>
          </w:tcPr>
          <w:p>
            <w:pPr>
              <w:pStyle w:val="32"/>
            </w:pPr>
            <w:r>
              <w:t>机械名称</w:t>
            </w:r>
          </w:p>
        </w:tc>
        <w:tc>
          <w:tcPr>
            <w:tcW w:w="496" w:type="pct"/>
            <w:shd w:val="clear" w:color="auto" w:fill="auto"/>
            <w:vAlign w:val="center"/>
          </w:tcPr>
          <w:p>
            <w:pPr>
              <w:pStyle w:val="32"/>
            </w:pPr>
            <w:r>
              <w:t>1m</w:t>
            </w:r>
          </w:p>
        </w:tc>
        <w:tc>
          <w:tcPr>
            <w:tcW w:w="500" w:type="pct"/>
            <w:shd w:val="clear" w:color="auto" w:fill="auto"/>
            <w:vAlign w:val="center"/>
          </w:tcPr>
          <w:p>
            <w:pPr>
              <w:pStyle w:val="32"/>
            </w:pPr>
            <w:r>
              <w:t>50m</w:t>
            </w:r>
          </w:p>
        </w:tc>
        <w:tc>
          <w:tcPr>
            <w:tcW w:w="500" w:type="pct"/>
            <w:shd w:val="clear" w:color="auto" w:fill="auto"/>
            <w:vAlign w:val="center"/>
          </w:tcPr>
          <w:p>
            <w:pPr>
              <w:pStyle w:val="32"/>
            </w:pPr>
            <w:r>
              <w:t>100m</w:t>
            </w:r>
          </w:p>
        </w:tc>
        <w:tc>
          <w:tcPr>
            <w:tcW w:w="500" w:type="pct"/>
            <w:shd w:val="clear" w:color="auto" w:fill="auto"/>
            <w:vAlign w:val="center"/>
          </w:tcPr>
          <w:p>
            <w:pPr>
              <w:pStyle w:val="32"/>
            </w:pPr>
            <w:r>
              <w:t>150m</w:t>
            </w:r>
          </w:p>
        </w:tc>
        <w:tc>
          <w:tcPr>
            <w:tcW w:w="500" w:type="pct"/>
            <w:shd w:val="clear" w:color="auto" w:fill="auto"/>
            <w:vAlign w:val="center"/>
          </w:tcPr>
          <w:p>
            <w:pPr>
              <w:pStyle w:val="32"/>
            </w:pPr>
            <w:r>
              <w:t>200m</w:t>
            </w:r>
          </w:p>
        </w:tc>
        <w:tc>
          <w:tcPr>
            <w:tcW w:w="500" w:type="pct"/>
            <w:shd w:val="clear" w:color="auto" w:fill="auto"/>
            <w:vAlign w:val="center"/>
          </w:tcPr>
          <w:p>
            <w:pPr>
              <w:pStyle w:val="32"/>
            </w:pPr>
            <w:r>
              <w:t>300m</w:t>
            </w:r>
          </w:p>
        </w:tc>
        <w:tc>
          <w:tcPr>
            <w:tcW w:w="534" w:type="pct"/>
            <w:shd w:val="clear" w:color="auto" w:fill="auto"/>
            <w:vAlign w:val="center"/>
          </w:tcPr>
          <w:p>
            <w:pPr>
              <w:pStyle w:val="32"/>
            </w:pPr>
            <w:r>
              <w:t>400m</w:t>
            </w:r>
          </w:p>
        </w:tc>
        <w:tc>
          <w:tcPr>
            <w:tcW w:w="542" w:type="pct"/>
            <w:shd w:val="clear" w:color="auto" w:fill="auto"/>
            <w:vAlign w:val="center"/>
          </w:tcPr>
          <w:p>
            <w:pPr>
              <w:pStyle w:val="32"/>
            </w:pPr>
            <w:r>
              <w:t>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装载机</w:t>
            </w:r>
          </w:p>
        </w:tc>
        <w:tc>
          <w:tcPr>
            <w:tcW w:w="496" w:type="pct"/>
            <w:vAlign w:val="center"/>
          </w:tcPr>
          <w:p>
            <w:pPr>
              <w:pStyle w:val="32"/>
            </w:pPr>
            <w:r>
              <w:t>90</w:t>
            </w:r>
          </w:p>
        </w:tc>
        <w:tc>
          <w:tcPr>
            <w:tcW w:w="500" w:type="pct"/>
            <w:vAlign w:val="center"/>
          </w:tcPr>
          <w:p>
            <w:pPr>
              <w:pStyle w:val="32"/>
            </w:pPr>
            <w:r>
              <w:t>56.0</w:t>
            </w:r>
          </w:p>
        </w:tc>
        <w:tc>
          <w:tcPr>
            <w:tcW w:w="500" w:type="pct"/>
            <w:vAlign w:val="center"/>
          </w:tcPr>
          <w:p>
            <w:pPr>
              <w:pStyle w:val="32"/>
            </w:pPr>
            <w:r>
              <w:t>50.0</w:t>
            </w:r>
          </w:p>
        </w:tc>
        <w:tc>
          <w:tcPr>
            <w:tcW w:w="500" w:type="pct"/>
            <w:vAlign w:val="center"/>
          </w:tcPr>
          <w:p>
            <w:pPr>
              <w:pStyle w:val="32"/>
            </w:pPr>
            <w:r>
              <w:t>46.5</w:t>
            </w:r>
          </w:p>
        </w:tc>
        <w:tc>
          <w:tcPr>
            <w:tcW w:w="500" w:type="pct"/>
            <w:vAlign w:val="center"/>
          </w:tcPr>
          <w:p>
            <w:pPr>
              <w:pStyle w:val="32"/>
            </w:pPr>
            <w:r>
              <w:t>44.0</w:t>
            </w:r>
          </w:p>
        </w:tc>
        <w:tc>
          <w:tcPr>
            <w:tcW w:w="500" w:type="pct"/>
            <w:vAlign w:val="center"/>
          </w:tcPr>
          <w:p>
            <w:pPr>
              <w:pStyle w:val="32"/>
            </w:pPr>
            <w:r>
              <w:t>40.5</w:t>
            </w:r>
          </w:p>
        </w:tc>
        <w:tc>
          <w:tcPr>
            <w:tcW w:w="534" w:type="pct"/>
            <w:vAlign w:val="center"/>
          </w:tcPr>
          <w:p>
            <w:pPr>
              <w:pStyle w:val="32"/>
            </w:pPr>
            <w:r>
              <w:t>38.0</w:t>
            </w:r>
          </w:p>
        </w:tc>
        <w:tc>
          <w:tcPr>
            <w:tcW w:w="542" w:type="pct"/>
            <w:vAlign w:val="center"/>
          </w:tcPr>
          <w:p>
            <w:pPr>
              <w:pStyle w:val="32"/>
            </w:pPr>
            <w: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切割机</w:t>
            </w:r>
          </w:p>
        </w:tc>
        <w:tc>
          <w:tcPr>
            <w:tcW w:w="496" w:type="pct"/>
            <w:vAlign w:val="center"/>
          </w:tcPr>
          <w:p>
            <w:pPr>
              <w:pStyle w:val="32"/>
            </w:pPr>
            <w:r>
              <w:t>90</w:t>
            </w:r>
          </w:p>
        </w:tc>
        <w:tc>
          <w:tcPr>
            <w:tcW w:w="500" w:type="pct"/>
            <w:vAlign w:val="center"/>
          </w:tcPr>
          <w:p>
            <w:pPr>
              <w:pStyle w:val="32"/>
            </w:pPr>
            <w:r>
              <w:t>56.0</w:t>
            </w:r>
          </w:p>
        </w:tc>
        <w:tc>
          <w:tcPr>
            <w:tcW w:w="500" w:type="pct"/>
            <w:vAlign w:val="center"/>
          </w:tcPr>
          <w:p>
            <w:pPr>
              <w:pStyle w:val="32"/>
            </w:pPr>
            <w:r>
              <w:t>50.0</w:t>
            </w:r>
          </w:p>
        </w:tc>
        <w:tc>
          <w:tcPr>
            <w:tcW w:w="500" w:type="pct"/>
            <w:vAlign w:val="center"/>
          </w:tcPr>
          <w:p>
            <w:pPr>
              <w:pStyle w:val="32"/>
            </w:pPr>
            <w:r>
              <w:t>46.5</w:t>
            </w:r>
          </w:p>
        </w:tc>
        <w:tc>
          <w:tcPr>
            <w:tcW w:w="500" w:type="pct"/>
            <w:vAlign w:val="center"/>
          </w:tcPr>
          <w:p>
            <w:pPr>
              <w:pStyle w:val="32"/>
            </w:pPr>
            <w:r>
              <w:t>44.0</w:t>
            </w:r>
          </w:p>
        </w:tc>
        <w:tc>
          <w:tcPr>
            <w:tcW w:w="500" w:type="pct"/>
            <w:vAlign w:val="center"/>
          </w:tcPr>
          <w:p>
            <w:pPr>
              <w:pStyle w:val="32"/>
            </w:pPr>
            <w:r>
              <w:t>40.5</w:t>
            </w:r>
          </w:p>
        </w:tc>
        <w:tc>
          <w:tcPr>
            <w:tcW w:w="534" w:type="pct"/>
            <w:vAlign w:val="center"/>
          </w:tcPr>
          <w:p>
            <w:pPr>
              <w:pStyle w:val="32"/>
            </w:pPr>
            <w:r>
              <w:t>38.0</w:t>
            </w:r>
          </w:p>
        </w:tc>
        <w:tc>
          <w:tcPr>
            <w:tcW w:w="542" w:type="pct"/>
            <w:vAlign w:val="center"/>
          </w:tcPr>
          <w:p>
            <w:pPr>
              <w:pStyle w:val="32"/>
            </w:pPr>
            <w: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混凝土输送泵</w:t>
            </w:r>
          </w:p>
        </w:tc>
        <w:tc>
          <w:tcPr>
            <w:tcW w:w="496" w:type="pct"/>
            <w:vAlign w:val="center"/>
          </w:tcPr>
          <w:p>
            <w:pPr>
              <w:pStyle w:val="32"/>
            </w:pPr>
            <w:r>
              <w:t>90</w:t>
            </w:r>
          </w:p>
        </w:tc>
        <w:tc>
          <w:tcPr>
            <w:tcW w:w="500" w:type="pct"/>
            <w:vAlign w:val="center"/>
          </w:tcPr>
          <w:p>
            <w:pPr>
              <w:pStyle w:val="32"/>
            </w:pPr>
            <w:r>
              <w:t>56.0</w:t>
            </w:r>
          </w:p>
        </w:tc>
        <w:tc>
          <w:tcPr>
            <w:tcW w:w="500" w:type="pct"/>
            <w:vAlign w:val="center"/>
          </w:tcPr>
          <w:p>
            <w:pPr>
              <w:pStyle w:val="32"/>
            </w:pPr>
            <w:r>
              <w:t>50.0</w:t>
            </w:r>
          </w:p>
        </w:tc>
        <w:tc>
          <w:tcPr>
            <w:tcW w:w="500" w:type="pct"/>
            <w:vAlign w:val="center"/>
          </w:tcPr>
          <w:p>
            <w:pPr>
              <w:pStyle w:val="32"/>
            </w:pPr>
            <w:r>
              <w:t>46.5</w:t>
            </w:r>
          </w:p>
        </w:tc>
        <w:tc>
          <w:tcPr>
            <w:tcW w:w="500" w:type="pct"/>
            <w:vAlign w:val="center"/>
          </w:tcPr>
          <w:p>
            <w:pPr>
              <w:pStyle w:val="32"/>
            </w:pPr>
            <w:r>
              <w:t>44.0</w:t>
            </w:r>
          </w:p>
        </w:tc>
        <w:tc>
          <w:tcPr>
            <w:tcW w:w="500" w:type="pct"/>
            <w:vAlign w:val="center"/>
          </w:tcPr>
          <w:p>
            <w:pPr>
              <w:pStyle w:val="32"/>
            </w:pPr>
            <w:r>
              <w:t>40.5</w:t>
            </w:r>
          </w:p>
        </w:tc>
        <w:tc>
          <w:tcPr>
            <w:tcW w:w="534" w:type="pct"/>
            <w:vAlign w:val="center"/>
          </w:tcPr>
          <w:p>
            <w:pPr>
              <w:pStyle w:val="32"/>
            </w:pPr>
            <w:r>
              <w:t>38.0</w:t>
            </w:r>
          </w:p>
        </w:tc>
        <w:tc>
          <w:tcPr>
            <w:tcW w:w="542" w:type="pct"/>
            <w:vAlign w:val="center"/>
          </w:tcPr>
          <w:p>
            <w:pPr>
              <w:pStyle w:val="32"/>
            </w:pPr>
            <w: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混凝土振捣棒</w:t>
            </w:r>
          </w:p>
        </w:tc>
        <w:tc>
          <w:tcPr>
            <w:tcW w:w="496" w:type="pct"/>
            <w:vAlign w:val="center"/>
          </w:tcPr>
          <w:p>
            <w:pPr>
              <w:pStyle w:val="32"/>
            </w:pPr>
            <w:r>
              <w:t>100</w:t>
            </w:r>
          </w:p>
        </w:tc>
        <w:tc>
          <w:tcPr>
            <w:tcW w:w="500" w:type="pct"/>
            <w:vAlign w:val="center"/>
          </w:tcPr>
          <w:p>
            <w:pPr>
              <w:pStyle w:val="32"/>
            </w:pPr>
            <w:r>
              <w:t>66.0</w:t>
            </w:r>
          </w:p>
        </w:tc>
        <w:tc>
          <w:tcPr>
            <w:tcW w:w="500" w:type="pct"/>
            <w:vAlign w:val="center"/>
          </w:tcPr>
          <w:p>
            <w:pPr>
              <w:pStyle w:val="32"/>
            </w:pPr>
            <w:r>
              <w:t>60.0</w:t>
            </w:r>
          </w:p>
        </w:tc>
        <w:tc>
          <w:tcPr>
            <w:tcW w:w="500" w:type="pct"/>
            <w:vAlign w:val="center"/>
          </w:tcPr>
          <w:p>
            <w:pPr>
              <w:pStyle w:val="32"/>
            </w:pPr>
            <w:r>
              <w:t>56.5</w:t>
            </w:r>
          </w:p>
        </w:tc>
        <w:tc>
          <w:tcPr>
            <w:tcW w:w="500" w:type="pct"/>
            <w:vAlign w:val="center"/>
          </w:tcPr>
          <w:p>
            <w:pPr>
              <w:pStyle w:val="32"/>
            </w:pPr>
            <w:r>
              <w:t>54.0</w:t>
            </w:r>
          </w:p>
        </w:tc>
        <w:tc>
          <w:tcPr>
            <w:tcW w:w="500" w:type="pct"/>
            <w:vAlign w:val="center"/>
          </w:tcPr>
          <w:p>
            <w:pPr>
              <w:pStyle w:val="32"/>
            </w:pPr>
            <w:r>
              <w:t>50.5</w:t>
            </w:r>
          </w:p>
        </w:tc>
        <w:tc>
          <w:tcPr>
            <w:tcW w:w="534" w:type="pct"/>
            <w:vAlign w:val="center"/>
          </w:tcPr>
          <w:p>
            <w:pPr>
              <w:pStyle w:val="32"/>
            </w:pPr>
            <w:r>
              <w:t>48.0</w:t>
            </w:r>
          </w:p>
        </w:tc>
        <w:tc>
          <w:tcPr>
            <w:tcW w:w="542" w:type="pct"/>
            <w:vAlign w:val="center"/>
          </w:tcPr>
          <w:p>
            <w:pPr>
              <w:pStyle w:val="32"/>
            </w:pPr>
            <w: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运输车辆</w:t>
            </w:r>
          </w:p>
        </w:tc>
        <w:tc>
          <w:tcPr>
            <w:tcW w:w="496" w:type="pct"/>
            <w:vAlign w:val="center"/>
          </w:tcPr>
          <w:p>
            <w:pPr>
              <w:pStyle w:val="32"/>
            </w:pPr>
            <w:r>
              <w:t>85</w:t>
            </w:r>
          </w:p>
        </w:tc>
        <w:tc>
          <w:tcPr>
            <w:tcW w:w="500" w:type="pct"/>
            <w:vAlign w:val="center"/>
          </w:tcPr>
          <w:p>
            <w:pPr>
              <w:pStyle w:val="32"/>
            </w:pPr>
            <w:r>
              <w:t>51.0</w:t>
            </w:r>
          </w:p>
        </w:tc>
        <w:tc>
          <w:tcPr>
            <w:tcW w:w="500" w:type="pct"/>
            <w:vAlign w:val="center"/>
          </w:tcPr>
          <w:p>
            <w:pPr>
              <w:pStyle w:val="32"/>
            </w:pPr>
            <w:r>
              <w:t>45.0</w:t>
            </w:r>
          </w:p>
        </w:tc>
        <w:tc>
          <w:tcPr>
            <w:tcW w:w="500" w:type="pct"/>
            <w:vAlign w:val="center"/>
          </w:tcPr>
          <w:p>
            <w:pPr>
              <w:pStyle w:val="32"/>
            </w:pPr>
            <w:r>
              <w:t>41.5</w:t>
            </w:r>
          </w:p>
        </w:tc>
        <w:tc>
          <w:tcPr>
            <w:tcW w:w="500" w:type="pct"/>
            <w:vAlign w:val="center"/>
          </w:tcPr>
          <w:p>
            <w:pPr>
              <w:pStyle w:val="32"/>
            </w:pPr>
            <w:r>
              <w:t>39.0</w:t>
            </w:r>
          </w:p>
        </w:tc>
        <w:tc>
          <w:tcPr>
            <w:tcW w:w="500" w:type="pct"/>
            <w:vAlign w:val="center"/>
          </w:tcPr>
          <w:p>
            <w:pPr>
              <w:pStyle w:val="32"/>
            </w:pPr>
            <w:r>
              <w:t>35.5</w:t>
            </w:r>
          </w:p>
        </w:tc>
        <w:tc>
          <w:tcPr>
            <w:tcW w:w="534" w:type="pct"/>
            <w:vAlign w:val="center"/>
          </w:tcPr>
          <w:p>
            <w:pPr>
              <w:pStyle w:val="32"/>
            </w:pPr>
            <w:r>
              <w:t>33.0</w:t>
            </w:r>
          </w:p>
        </w:tc>
        <w:tc>
          <w:tcPr>
            <w:tcW w:w="542" w:type="pct"/>
            <w:vAlign w:val="center"/>
          </w:tcPr>
          <w:p>
            <w:pPr>
              <w:pStyle w:val="32"/>
            </w:pPr>
            <w: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空压机</w:t>
            </w:r>
          </w:p>
        </w:tc>
        <w:tc>
          <w:tcPr>
            <w:tcW w:w="496" w:type="pct"/>
            <w:vAlign w:val="center"/>
          </w:tcPr>
          <w:p>
            <w:pPr>
              <w:pStyle w:val="32"/>
            </w:pPr>
            <w:r>
              <w:t>98</w:t>
            </w:r>
          </w:p>
        </w:tc>
        <w:tc>
          <w:tcPr>
            <w:tcW w:w="500" w:type="pct"/>
            <w:vAlign w:val="center"/>
          </w:tcPr>
          <w:p>
            <w:pPr>
              <w:pStyle w:val="32"/>
            </w:pPr>
            <w:r>
              <w:t>64.0</w:t>
            </w:r>
          </w:p>
        </w:tc>
        <w:tc>
          <w:tcPr>
            <w:tcW w:w="500" w:type="pct"/>
            <w:vAlign w:val="center"/>
          </w:tcPr>
          <w:p>
            <w:pPr>
              <w:pStyle w:val="32"/>
            </w:pPr>
            <w:r>
              <w:t>58.0</w:t>
            </w:r>
          </w:p>
        </w:tc>
        <w:tc>
          <w:tcPr>
            <w:tcW w:w="500" w:type="pct"/>
            <w:vAlign w:val="center"/>
          </w:tcPr>
          <w:p>
            <w:pPr>
              <w:pStyle w:val="32"/>
            </w:pPr>
            <w:r>
              <w:t>54.5</w:t>
            </w:r>
          </w:p>
        </w:tc>
        <w:tc>
          <w:tcPr>
            <w:tcW w:w="500" w:type="pct"/>
            <w:vAlign w:val="center"/>
          </w:tcPr>
          <w:p>
            <w:pPr>
              <w:pStyle w:val="32"/>
            </w:pPr>
            <w:r>
              <w:t>52.0</w:t>
            </w:r>
          </w:p>
        </w:tc>
        <w:tc>
          <w:tcPr>
            <w:tcW w:w="500" w:type="pct"/>
            <w:vAlign w:val="center"/>
          </w:tcPr>
          <w:p>
            <w:pPr>
              <w:pStyle w:val="32"/>
            </w:pPr>
            <w:r>
              <w:t>48.5</w:t>
            </w:r>
          </w:p>
        </w:tc>
        <w:tc>
          <w:tcPr>
            <w:tcW w:w="534" w:type="pct"/>
            <w:vAlign w:val="center"/>
          </w:tcPr>
          <w:p>
            <w:pPr>
              <w:pStyle w:val="32"/>
            </w:pPr>
            <w:r>
              <w:t>46.0</w:t>
            </w:r>
          </w:p>
        </w:tc>
        <w:tc>
          <w:tcPr>
            <w:tcW w:w="542" w:type="pct"/>
            <w:vAlign w:val="center"/>
          </w:tcPr>
          <w:p>
            <w:pPr>
              <w:pStyle w:val="32"/>
            </w:pPr>
            <w:r>
              <w:t>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电焊机</w:t>
            </w:r>
          </w:p>
        </w:tc>
        <w:tc>
          <w:tcPr>
            <w:tcW w:w="496" w:type="pct"/>
            <w:vAlign w:val="center"/>
          </w:tcPr>
          <w:p>
            <w:pPr>
              <w:pStyle w:val="32"/>
            </w:pPr>
            <w:r>
              <w:t>90</w:t>
            </w:r>
          </w:p>
        </w:tc>
        <w:tc>
          <w:tcPr>
            <w:tcW w:w="500" w:type="pct"/>
            <w:vAlign w:val="center"/>
          </w:tcPr>
          <w:p>
            <w:pPr>
              <w:pStyle w:val="32"/>
            </w:pPr>
            <w:r>
              <w:t>56.0</w:t>
            </w:r>
          </w:p>
        </w:tc>
        <w:tc>
          <w:tcPr>
            <w:tcW w:w="500" w:type="pct"/>
            <w:vAlign w:val="center"/>
          </w:tcPr>
          <w:p>
            <w:pPr>
              <w:pStyle w:val="32"/>
            </w:pPr>
            <w:r>
              <w:t>50.0</w:t>
            </w:r>
          </w:p>
        </w:tc>
        <w:tc>
          <w:tcPr>
            <w:tcW w:w="500" w:type="pct"/>
            <w:vAlign w:val="center"/>
          </w:tcPr>
          <w:p>
            <w:pPr>
              <w:pStyle w:val="32"/>
            </w:pPr>
            <w:r>
              <w:t>46.5</w:t>
            </w:r>
          </w:p>
        </w:tc>
        <w:tc>
          <w:tcPr>
            <w:tcW w:w="500" w:type="pct"/>
            <w:vAlign w:val="center"/>
          </w:tcPr>
          <w:p>
            <w:pPr>
              <w:pStyle w:val="32"/>
            </w:pPr>
            <w:r>
              <w:t>44.0</w:t>
            </w:r>
          </w:p>
        </w:tc>
        <w:tc>
          <w:tcPr>
            <w:tcW w:w="500" w:type="pct"/>
            <w:vAlign w:val="center"/>
          </w:tcPr>
          <w:p>
            <w:pPr>
              <w:pStyle w:val="32"/>
            </w:pPr>
            <w:r>
              <w:t>40.5</w:t>
            </w:r>
          </w:p>
        </w:tc>
        <w:tc>
          <w:tcPr>
            <w:tcW w:w="534" w:type="pct"/>
            <w:vAlign w:val="center"/>
          </w:tcPr>
          <w:p>
            <w:pPr>
              <w:pStyle w:val="32"/>
            </w:pPr>
            <w:r>
              <w:t>38.0</w:t>
            </w:r>
          </w:p>
        </w:tc>
        <w:tc>
          <w:tcPr>
            <w:tcW w:w="542" w:type="pct"/>
            <w:vAlign w:val="center"/>
          </w:tcPr>
          <w:p>
            <w:pPr>
              <w:pStyle w:val="32"/>
            </w:pPr>
            <w: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vAlign w:val="center"/>
          </w:tcPr>
          <w:p>
            <w:pPr>
              <w:pStyle w:val="32"/>
            </w:pPr>
            <w:r>
              <w:t>吊车</w:t>
            </w:r>
          </w:p>
        </w:tc>
        <w:tc>
          <w:tcPr>
            <w:tcW w:w="496" w:type="pct"/>
            <w:vAlign w:val="center"/>
          </w:tcPr>
          <w:p>
            <w:pPr>
              <w:pStyle w:val="32"/>
            </w:pPr>
            <w:r>
              <w:t>85</w:t>
            </w:r>
          </w:p>
        </w:tc>
        <w:tc>
          <w:tcPr>
            <w:tcW w:w="500" w:type="pct"/>
            <w:vAlign w:val="center"/>
          </w:tcPr>
          <w:p>
            <w:pPr>
              <w:pStyle w:val="32"/>
            </w:pPr>
            <w:r>
              <w:t>51.0</w:t>
            </w:r>
          </w:p>
        </w:tc>
        <w:tc>
          <w:tcPr>
            <w:tcW w:w="500" w:type="pct"/>
            <w:vAlign w:val="center"/>
          </w:tcPr>
          <w:p>
            <w:pPr>
              <w:pStyle w:val="32"/>
            </w:pPr>
            <w:r>
              <w:t>45.0</w:t>
            </w:r>
          </w:p>
        </w:tc>
        <w:tc>
          <w:tcPr>
            <w:tcW w:w="500" w:type="pct"/>
            <w:vAlign w:val="center"/>
          </w:tcPr>
          <w:p>
            <w:pPr>
              <w:pStyle w:val="32"/>
            </w:pPr>
            <w:r>
              <w:t>41.5</w:t>
            </w:r>
          </w:p>
        </w:tc>
        <w:tc>
          <w:tcPr>
            <w:tcW w:w="500" w:type="pct"/>
            <w:vAlign w:val="center"/>
          </w:tcPr>
          <w:p>
            <w:pPr>
              <w:pStyle w:val="32"/>
            </w:pPr>
            <w:r>
              <w:t>39.0</w:t>
            </w:r>
          </w:p>
        </w:tc>
        <w:tc>
          <w:tcPr>
            <w:tcW w:w="500" w:type="pct"/>
            <w:vAlign w:val="center"/>
          </w:tcPr>
          <w:p>
            <w:pPr>
              <w:pStyle w:val="32"/>
            </w:pPr>
            <w:r>
              <w:t>35.5</w:t>
            </w:r>
          </w:p>
        </w:tc>
        <w:tc>
          <w:tcPr>
            <w:tcW w:w="534" w:type="pct"/>
            <w:vAlign w:val="center"/>
          </w:tcPr>
          <w:p>
            <w:pPr>
              <w:pStyle w:val="32"/>
            </w:pPr>
            <w:r>
              <w:t>33.0</w:t>
            </w:r>
          </w:p>
        </w:tc>
        <w:tc>
          <w:tcPr>
            <w:tcW w:w="542" w:type="pct"/>
            <w:vAlign w:val="center"/>
          </w:tcPr>
          <w:p>
            <w:pPr>
              <w:pStyle w:val="32"/>
            </w:pPr>
            <w:r>
              <w:t>31.0</w:t>
            </w:r>
          </w:p>
        </w:tc>
      </w:tr>
    </w:tbl>
    <w:p>
      <w:pPr>
        <w:pStyle w:val="7"/>
        <w:ind w:firstLine="480"/>
      </w:pPr>
      <w:r>
        <w:rPr>
          <w:rFonts w:hint="eastAsia"/>
        </w:rPr>
        <w:t>从表6.1-1可知，单一施工机械施工时，昼间50m以外，夜间200m以外可满足《建筑施工场界环境噪声排放标准》（GB12523-2011）要求。但由于表中数据计算时仅考虑了理论上的距离衰减，实际上噪声传播还与空气湿度、沿途遮挡等因素有关，计算值比实际值大；另一方面施工时不仅是一台设备在作业，多台设备一起施工时，噪声又有叠加作用，综合而言与上述的预测结果相近。</w:t>
      </w:r>
    </w:p>
    <w:p>
      <w:pPr>
        <w:pStyle w:val="7"/>
        <w:ind w:firstLine="480"/>
      </w:pPr>
      <w:r>
        <w:rPr>
          <w:rFonts w:hint="eastAsia"/>
        </w:rPr>
        <w:t>按《建筑施工场界环境噪声排放标准》（GB12523-2011）评价，项目通过合理布局施工机械后，</w:t>
      </w:r>
      <w:r>
        <w:rPr>
          <w:rFonts w:hint="eastAsia"/>
          <w:lang w:eastAsia="zh-CN"/>
        </w:rPr>
        <w:t>厂界</w:t>
      </w:r>
      <w:r>
        <w:rPr>
          <w:rFonts w:hint="eastAsia"/>
        </w:rPr>
        <w:t>昼间可达标，夜间会偶有超标，但正常情况下夜间不施工。因此项目施工期间对声环境会造成不利影响有限。且建设项目施工期为36个月，在此期间施工噪声影响将一直存在。</w:t>
      </w:r>
    </w:p>
    <w:p>
      <w:pPr>
        <w:pStyle w:val="7"/>
        <w:ind w:firstLine="480"/>
      </w:pPr>
      <w:r>
        <w:rPr>
          <w:rFonts w:hint="eastAsia"/>
        </w:rPr>
        <w:t>项目周围200m范围内敏感点分布有布标村，故夜间禁止施工。施工期项目应采取以下措施：</w:t>
      </w:r>
    </w:p>
    <w:p>
      <w:pPr>
        <w:pStyle w:val="7"/>
        <w:ind w:firstLine="480"/>
      </w:pPr>
      <w:r>
        <w:rPr>
          <w:rFonts w:hint="eastAsia"/>
        </w:rPr>
        <w:t>①从声源上控制：建设单位在与施工单位签订合同时，应要求其使用的主要机械设备为低噪声机械设备，同时设专人对设备进行定期保养和维护，并负责对现场工作人员进行培训，严格按操作规范使用各类机械；</w:t>
      </w:r>
    </w:p>
    <w:p>
      <w:pPr>
        <w:pStyle w:val="7"/>
        <w:ind w:firstLine="480"/>
      </w:pPr>
      <w:r>
        <w:rPr>
          <w:rFonts w:hint="eastAsia"/>
        </w:rPr>
        <w:t>②在布标村（项目西侧）设置围挡，夜间禁止施工，减少对敏感目标的影响；</w:t>
      </w:r>
    </w:p>
    <w:p>
      <w:pPr>
        <w:pStyle w:val="7"/>
        <w:ind w:firstLine="480"/>
      </w:pPr>
      <w:r>
        <w:rPr>
          <w:rFonts w:hint="eastAsia"/>
        </w:rPr>
        <w:t>③对强噪声设备进行一定的隔声及减振处理，在不影响施工情况下将噪声设备尽量不集中使用，固定的机械设备尽量入棚操作；</w:t>
      </w:r>
    </w:p>
    <w:p>
      <w:pPr>
        <w:pStyle w:val="7"/>
        <w:ind w:firstLine="480"/>
      </w:pPr>
      <w:r>
        <w:rPr>
          <w:rFonts w:hint="eastAsia"/>
        </w:rPr>
        <w:t>④建设管理部门应加强对施工场地的噪声管理，施工单位也应对施工噪声进行自律，合理安排工期，减短施工时间；加强对施工人员的管理，做到文明施工；</w:t>
      </w:r>
    </w:p>
    <w:p>
      <w:pPr>
        <w:pStyle w:val="7"/>
        <w:ind w:firstLine="480"/>
      </w:pPr>
      <w:r>
        <w:rPr>
          <w:rFonts w:hint="eastAsia"/>
        </w:rPr>
        <w:t>⑤施工期无特殊的工艺要求严禁夜间施工，如</w:t>
      </w:r>
      <w:r>
        <w:rPr>
          <w:rFonts w:hint="eastAsia"/>
          <w:lang w:eastAsia="zh-CN"/>
        </w:rPr>
        <w:t>确需</w:t>
      </w:r>
      <w:r>
        <w:rPr>
          <w:rFonts w:hint="eastAsia"/>
        </w:rPr>
        <w:t>夜间施工的，报请相关管理部门和环境保护部门批准，在夜间施工前将施工时间、天数告知附近村民。</w:t>
      </w:r>
    </w:p>
    <w:p>
      <w:pPr>
        <w:pStyle w:val="7"/>
        <w:ind w:firstLine="480"/>
      </w:pPr>
      <w:r>
        <w:rPr>
          <w:rFonts w:hint="eastAsia"/>
        </w:rPr>
        <w:t>施工结束后，噪声对周围环境的影响将消失。另有设备和建筑材料运输过程中对运输路线沿线居民的影响，该过程影响时间短暂。通过限制车速、穿过居民区时禁止鸣笛等措施后对其影响可以接受。</w:t>
      </w:r>
    </w:p>
    <w:p>
      <w:pPr>
        <w:pStyle w:val="8"/>
      </w:pPr>
      <w:r>
        <w:rPr>
          <w:rFonts w:hint="eastAsia"/>
        </w:rPr>
        <w:t>6.1.4施工期固体废弃物影响分析</w:t>
      </w:r>
    </w:p>
    <w:p>
      <w:pPr>
        <w:pStyle w:val="7"/>
        <w:ind w:firstLine="480"/>
      </w:pPr>
      <w:r>
        <w:rPr>
          <w:rFonts w:hint="eastAsia"/>
        </w:rPr>
        <w:t>施工期产生的固体废物主要有土石方、废弃建筑垃圾及施工生活垃圾。</w:t>
      </w:r>
    </w:p>
    <w:p>
      <w:pPr>
        <w:pStyle w:val="7"/>
        <w:ind w:firstLine="482"/>
      </w:pPr>
      <w:r>
        <w:rPr>
          <w:rFonts w:hint="eastAsia"/>
          <w:b/>
          <w:bCs/>
        </w:rPr>
        <w:t>挖填方：</w:t>
      </w:r>
      <w:r>
        <w:rPr>
          <w:rFonts w:hAnsi="宋体"/>
        </w:rPr>
        <w:t>本项目在建设过程中总计开挖土石方</w:t>
      </w:r>
      <w:r>
        <w:rPr>
          <w:rFonts w:hint="eastAsia" w:hAnsi="宋体"/>
        </w:rPr>
        <w:t>18.46</w:t>
      </w:r>
      <w:r>
        <w:rPr>
          <w:rFonts w:hAnsi="宋体"/>
        </w:rPr>
        <w:t>万m</w:t>
      </w:r>
      <w:r>
        <w:rPr>
          <w:rFonts w:hAnsi="宋体"/>
          <w:vertAlign w:val="superscript"/>
        </w:rPr>
        <w:t>3</w:t>
      </w:r>
      <w:r>
        <w:rPr>
          <w:rFonts w:hAnsi="宋体"/>
        </w:rPr>
        <w:t>，表土剥离</w:t>
      </w:r>
      <w:r>
        <w:rPr>
          <w:rFonts w:hint="eastAsia" w:hAnsi="宋体"/>
        </w:rPr>
        <w:t>4.02</w:t>
      </w:r>
      <w:r>
        <w:rPr>
          <w:rFonts w:hAnsi="宋体"/>
        </w:rPr>
        <w:t>万m</w:t>
      </w:r>
      <w:r>
        <w:rPr>
          <w:rFonts w:hAnsi="宋体"/>
          <w:vertAlign w:val="superscript"/>
        </w:rPr>
        <w:t>3</w:t>
      </w:r>
      <w:r>
        <w:rPr>
          <w:rFonts w:hAnsi="宋体"/>
        </w:rPr>
        <w:t>，建设过程中回填土方</w:t>
      </w:r>
      <w:r>
        <w:rPr>
          <w:rFonts w:hint="eastAsia" w:hAnsi="宋体"/>
        </w:rPr>
        <w:t>21.58</w:t>
      </w:r>
      <w:r>
        <w:rPr>
          <w:rFonts w:hAnsi="宋体"/>
        </w:rPr>
        <w:t>万m</w:t>
      </w:r>
      <w:r>
        <w:rPr>
          <w:rFonts w:hAnsi="宋体"/>
          <w:vertAlign w:val="superscript"/>
        </w:rPr>
        <w:t>3</w:t>
      </w:r>
      <w:r>
        <w:rPr>
          <w:rFonts w:hAnsi="宋体"/>
        </w:rPr>
        <w:t>。本项目建设过程中无多余弃方产生</w:t>
      </w:r>
      <w:r>
        <w:rPr>
          <w:rFonts w:hint="eastAsia"/>
        </w:rPr>
        <w:t>。</w:t>
      </w:r>
    </w:p>
    <w:p>
      <w:pPr>
        <w:pStyle w:val="7"/>
        <w:ind w:firstLine="482"/>
      </w:pPr>
      <w:r>
        <w:rPr>
          <w:rFonts w:hint="eastAsia"/>
          <w:b/>
          <w:bCs/>
        </w:rPr>
        <w:t>建筑垃圾：</w:t>
      </w:r>
      <w:r>
        <w:rPr>
          <w:rFonts w:hAnsi="宋体"/>
        </w:rPr>
        <w:t>施工期建筑垃圾主要有土、渣土、废钢筋和各种废钢配件，金属管线废料、木屑、刨花、各种装饰材料的包装箱、包装袋等，散落的砂浆和混凝土，碎砖和碎混凝土块。本项目建筑垃圾产生量参照《昆明市人民政府办公厅关于转发昆明市城市建筑垃圾管理实施办法实施细则的通知》（昆政办【</w:t>
      </w:r>
      <w:r>
        <w:t>2011</w:t>
      </w:r>
      <w:r>
        <w:rPr>
          <w:rFonts w:hAnsi="宋体"/>
        </w:rPr>
        <w:t>】</w:t>
      </w:r>
      <w:r>
        <w:t>88</w:t>
      </w:r>
      <w:r>
        <w:rPr>
          <w:rFonts w:hAnsi="宋体"/>
        </w:rPr>
        <w:t>号），房屋主体施工产生建筑垃圾计量</w:t>
      </w:r>
      <w:r>
        <w:t>=</w:t>
      </w:r>
      <w:r>
        <w:rPr>
          <w:rFonts w:hAnsi="宋体"/>
        </w:rPr>
        <w:t>建筑面积</w:t>
      </w:r>
      <w:r>
        <w:t>×</w:t>
      </w:r>
      <w:r>
        <w:rPr>
          <w:rFonts w:hAnsi="宋体"/>
        </w:rPr>
        <w:t>单位面积建筑废弃量，本项目厂房建筑为钢架结构，建筑废弃量为</w:t>
      </w:r>
      <w:r>
        <w:t>0.01m</w:t>
      </w:r>
      <w:r>
        <w:rPr>
          <w:vertAlign w:val="superscript"/>
        </w:rPr>
        <w:t>3</w:t>
      </w:r>
      <w:r>
        <w:t>/m</w:t>
      </w:r>
      <w:r>
        <w:rPr>
          <w:vertAlign w:val="superscript"/>
        </w:rPr>
        <w:t>2</w:t>
      </w:r>
      <w:r>
        <w:rPr>
          <w:rFonts w:hAnsi="宋体"/>
        </w:rPr>
        <w:t>，本项目建筑面积为</w:t>
      </w:r>
      <w:r>
        <w:rPr>
          <w:rFonts w:hint="eastAsia"/>
        </w:rPr>
        <w:t>51931</w:t>
      </w:r>
      <w:r>
        <w:t>m</w:t>
      </w:r>
      <w:r>
        <w:rPr>
          <w:vertAlign w:val="superscript"/>
        </w:rPr>
        <w:t>2</w:t>
      </w:r>
      <w:r>
        <w:rPr>
          <w:rFonts w:hAnsi="宋体"/>
        </w:rPr>
        <w:t>，则厂房建筑垃圾产生量为</w:t>
      </w:r>
      <w:r>
        <w:rPr>
          <w:rFonts w:hint="eastAsia"/>
        </w:rPr>
        <w:t>519.31</w:t>
      </w:r>
      <w:r>
        <w:t>m</w:t>
      </w:r>
      <w:r>
        <w:rPr>
          <w:vertAlign w:val="superscript"/>
        </w:rPr>
        <w:t>3</w:t>
      </w:r>
      <w:r>
        <w:rPr>
          <w:rFonts w:hAnsi="宋体"/>
        </w:rPr>
        <w:t>，厂房建筑垃圾主要为钢材等，收集后外售</w:t>
      </w:r>
      <w:r>
        <w:rPr>
          <w:rFonts w:hint="eastAsia" w:hAnsi="宋体"/>
        </w:rPr>
        <w:t>不能利用的</w:t>
      </w:r>
      <w:r>
        <w:rPr>
          <w:rFonts w:hAnsi="宋体"/>
        </w:rPr>
        <w:t>建筑垃圾收集后按照</w:t>
      </w:r>
      <w:r>
        <w:rPr>
          <w:rFonts w:hint="eastAsia" w:hAnsi="宋体"/>
        </w:rPr>
        <w:t>砚山县</w:t>
      </w:r>
      <w:r>
        <w:rPr>
          <w:rFonts w:hAnsi="宋体"/>
        </w:rPr>
        <w:t>市政管理部门要求处置。</w:t>
      </w:r>
    </w:p>
    <w:p>
      <w:pPr>
        <w:pStyle w:val="7"/>
        <w:ind w:firstLine="482"/>
      </w:pPr>
      <w:r>
        <w:rPr>
          <w:rFonts w:hint="eastAsia"/>
          <w:b/>
          <w:bCs/>
        </w:rPr>
        <w:t>生活垃圾：</w:t>
      </w:r>
      <w:r>
        <w:rPr>
          <w:rFonts w:hint="eastAsia"/>
        </w:rPr>
        <w:t>集中收集后委托环卫部门处置。</w:t>
      </w:r>
    </w:p>
    <w:p>
      <w:pPr>
        <w:pStyle w:val="7"/>
        <w:ind w:firstLine="480"/>
      </w:pPr>
      <w:r>
        <w:rPr>
          <w:rFonts w:hint="eastAsia"/>
        </w:rPr>
        <w:t>在项目的施工期，只要加强施工中的人员及施工过程的管理，规范固体废物的堆放与处置，对于所产生的固体废物采取相应的处理措施，则</w:t>
      </w:r>
      <w:r>
        <w:rPr>
          <w:rFonts w:hint="eastAsia" w:ascii="宋体" w:hAnsi="宋体" w:cs="宋体"/>
        </w:rPr>
        <w:t>施工期产生的固废对周围环境的影响较小</w:t>
      </w:r>
      <w:r>
        <w:rPr>
          <w:rFonts w:hint="eastAsia"/>
        </w:rPr>
        <w:t>。</w:t>
      </w:r>
    </w:p>
    <w:p>
      <w:pPr>
        <w:pStyle w:val="8"/>
      </w:pPr>
      <w:r>
        <w:rPr>
          <w:rFonts w:hint="eastAsia"/>
        </w:rPr>
        <w:t>6.1.5施工期生态环境影响分析</w:t>
      </w:r>
    </w:p>
    <w:p>
      <w:pPr>
        <w:pStyle w:val="7"/>
        <w:ind w:firstLine="480"/>
      </w:pPr>
      <w:r>
        <w:rPr>
          <w:rFonts w:hint="eastAsia"/>
        </w:rPr>
        <w:t>（1）生物多样性</w:t>
      </w:r>
    </w:p>
    <w:p>
      <w:pPr>
        <w:pStyle w:val="7"/>
        <w:ind w:firstLine="480"/>
      </w:pPr>
      <w:r>
        <w:rPr>
          <w:rFonts w:hint="eastAsia"/>
        </w:rPr>
        <w:t>工程破坏树木和植被，会使得项目所在区域植被覆盖率降低，植物生产量减少，不利于生态系统的自然演替过程，但不会使植物种类发生永久性的变化。</w:t>
      </w:r>
    </w:p>
    <w:p>
      <w:pPr>
        <w:pStyle w:val="7"/>
        <w:ind w:firstLine="480"/>
      </w:pPr>
      <w:r>
        <w:rPr>
          <w:rFonts w:hint="eastAsia"/>
        </w:rPr>
        <w:t>植被破坏和施工机械噪音迫使野生动物迁徙或丧失，建筑物和道路等对生物，特别是对地面的动物，起着空间上的分离与阻隔作用。</w:t>
      </w:r>
    </w:p>
    <w:p>
      <w:pPr>
        <w:pStyle w:val="7"/>
        <w:ind w:firstLine="480"/>
      </w:pPr>
      <w:r>
        <w:rPr>
          <w:rFonts w:hint="eastAsia"/>
        </w:rPr>
        <w:t>（2）生态环境功能</w:t>
      </w:r>
    </w:p>
    <w:p>
      <w:pPr>
        <w:pStyle w:val="7"/>
        <w:ind w:firstLine="480"/>
      </w:pPr>
      <w:r>
        <w:rPr>
          <w:rFonts w:hint="eastAsia"/>
        </w:rPr>
        <w:t>建设期间产生的污染主要是水域污染、大气污染、噪声污染和固体废物污染，相应的水生生态影响、景观影响、人体健康影响和土壤污染影响问题突出。建设期间植被减少，在干热河谷条件下蓄水保水的能力下降，土壤侵蚀的程度在原本基础上会增大，水土流失将比原来更为严重。</w:t>
      </w:r>
    </w:p>
    <w:p>
      <w:pPr>
        <w:pStyle w:val="7"/>
        <w:ind w:firstLine="480"/>
      </w:pPr>
      <w:r>
        <w:rPr>
          <w:rFonts w:hint="eastAsia"/>
        </w:rPr>
        <w:t>（3）生态景观</w:t>
      </w:r>
    </w:p>
    <w:p>
      <w:pPr>
        <w:pStyle w:val="7"/>
        <w:ind w:firstLine="480"/>
      </w:pPr>
      <w:r>
        <w:rPr>
          <w:rFonts w:hint="eastAsia"/>
        </w:rPr>
        <w:t>土地利用方式和地上附着物的变化，本身就使生态景观发生巨大变化，特别是建筑物的修建，将自然生境切割成块状，使景观破碎化，使生活在其中的生物变得脆弱。</w:t>
      </w:r>
    </w:p>
    <w:p>
      <w:pPr>
        <w:pStyle w:val="7"/>
        <w:ind w:firstLine="480"/>
      </w:pPr>
      <w:r>
        <w:rPr>
          <w:rFonts w:hint="eastAsia"/>
        </w:rPr>
        <w:t>从总体来看，建设施工期对环境的影响是不利的，在短期内对生态环境的影响较大。但是其实短期的、一次性的、局部的和可逆的，可采取一系列避免、减缓、修复环境措施将影响尽量降低。</w:t>
      </w:r>
    </w:p>
    <w:p>
      <w:pPr>
        <w:pStyle w:val="5"/>
      </w:pPr>
      <w:bookmarkStart w:id="127" w:name="_Toc16072"/>
      <w:r>
        <w:rPr>
          <w:rFonts w:hint="eastAsia"/>
        </w:rPr>
        <w:t>6.2运行期空气环境影响预测评价</w:t>
      </w:r>
      <w:bookmarkEnd w:id="127"/>
    </w:p>
    <w:p>
      <w:pPr>
        <w:pStyle w:val="8"/>
        <w:bidi w:val="0"/>
      </w:pPr>
      <w:r>
        <w:rPr>
          <w:rFonts w:hint="eastAsia"/>
        </w:rPr>
        <w:t>6.2.1污染气象特征</w:t>
      </w:r>
    </w:p>
    <w:p>
      <w:pPr>
        <w:pStyle w:val="9"/>
        <w:bidi w:val="0"/>
      </w:pPr>
      <w:r>
        <w:rPr>
          <w:rFonts w:hint="eastAsia"/>
        </w:rPr>
        <w:t>6.2.1.1气象数据来源</w:t>
      </w:r>
    </w:p>
    <w:p>
      <w:pPr>
        <w:pStyle w:val="7"/>
        <w:ind w:firstLine="480"/>
        <w:rPr>
          <w:color w:val="auto"/>
        </w:rPr>
      </w:pPr>
      <w:r>
        <w:rPr>
          <w:rFonts w:hint="eastAsia"/>
          <w:color w:val="auto"/>
        </w:rPr>
        <w:t>根据《环境影响评价技术导则-大气环境》（HJ2.2-2018）规定：地面气象数据选择项目最近或气象特征基本一致的气象站的逐时地面气象数据，要素至少包括风速、风向、总云量及干球温度，其中总云量为模拟数据。</w:t>
      </w:r>
    </w:p>
    <w:p>
      <w:pPr>
        <w:pStyle w:val="7"/>
        <w:ind w:firstLine="480"/>
        <w:rPr>
          <w:color w:val="auto"/>
        </w:rPr>
      </w:pPr>
      <w:r>
        <w:rPr>
          <w:rFonts w:hint="eastAsia"/>
          <w:color w:val="auto"/>
        </w:rPr>
        <w:t>本次评价采用砚山县气象站2021年气象数据。站点信息见表6.2-1。</w:t>
      </w:r>
    </w:p>
    <w:p>
      <w:pPr>
        <w:pStyle w:val="31"/>
        <w:bidi w:val="0"/>
        <w:rPr>
          <w:color w:val="auto"/>
        </w:rPr>
      </w:pPr>
      <w:r>
        <w:rPr>
          <w:rFonts w:hint="eastAsia"/>
          <w:color w:val="auto"/>
        </w:rPr>
        <w:t>表6.2-1  地面观测气象数据信息</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161"/>
        <w:gridCol w:w="1101"/>
        <w:gridCol w:w="1028"/>
        <w:gridCol w:w="911"/>
        <w:gridCol w:w="995"/>
        <w:gridCol w:w="636"/>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pct"/>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气象站名称</w:t>
            </w:r>
          </w:p>
        </w:tc>
        <w:tc>
          <w:tcPr>
            <w:tcW w:w="516" w:type="pct"/>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气象站等级</w:t>
            </w:r>
          </w:p>
        </w:tc>
        <w:tc>
          <w:tcPr>
            <w:tcW w:w="1219" w:type="pct"/>
            <w:gridSpan w:val="2"/>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气象站坐标</w:t>
            </w:r>
          </w:p>
        </w:tc>
        <w:tc>
          <w:tcPr>
            <w:tcW w:w="524" w:type="pct"/>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相对距离（km）</w:t>
            </w:r>
          </w:p>
        </w:tc>
        <w:tc>
          <w:tcPr>
            <w:tcW w:w="571" w:type="pct"/>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海拔高度（m）</w:t>
            </w:r>
          </w:p>
        </w:tc>
        <w:tc>
          <w:tcPr>
            <w:tcW w:w="367" w:type="pct"/>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数据年份</w:t>
            </w:r>
          </w:p>
        </w:tc>
        <w:tc>
          <w:tcPr>
            <w:tcW w:w="1078" w:type="pct"/>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气象要素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pct"/>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516" w:type="pct"/>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630"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经度</w:t>
            </w:r>
          </w:p>
        </w:tc>
        <w:tc>
          <w:tcPr>
            <w:tcW w:w="588"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纬度</w:t>
            </w:r>
          </w:p>
        </w:tc>
        <w:tc>
          <w:tcPr>
            <w:tcW w:w="524" w:type="pct"/>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571" w:type="pct"/>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367" w:type="pct"/>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1078" w:type="pct"/>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5"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砚山气象站</w:t>
            </w:r>
          </w:p>
        </w:tc>
        <w:tc>
          <w:tcPr>
            <w:tcW w:w="516"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基本站（56991）</w:t>
            </w:r>
          </w:p>
        </w:tc>
        <w:tc>
          <w:tcPr>
            <w:tcW w:w="630"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104.333度</w:t>
            </w:r>
          </w:p>
        </w:tc>
        <w:tc>
          <w:tcPr>
            <w:tcW w:w="588"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23.617度</w:t>
            </w:r>
          </w:p>
        </w:tc>
        <w:tc>
          <w:tcPr>
            <w:tcW w:w="524"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6km</w:t>
            </w:r>
          </w:p>
        </w:tc>
        <w:tc>
          <w:tcPr>
            <w:tcW w:w="571"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1550</w:t>
            </w:r>
          </w:p>
        </w:tc>
        <w:tc>
          <w:tcPr>
            <w:tcW w:w="367"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20</w:t>
            </w:r>
            <w:r>
              <w:rPr>
                <w:rFonts w:hint="eastAsia"/>
                <w:color w:val="auto"/>
              </w:rPr>
              <w:t>21</w:t>
            </w:r>
          </w:p>
        </w:tc>
        <w:tc>
          <w:tcPr>
            <w:tcW w:w="1078" w:type="pc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风速、风向、总运量、低云量、温度</w:t>
            </w:r>
          </w:p>
        </w:tc>
      </w:tr>
    </w:tbl>
    <w:p>
      <w:pPr>
        <w:pStyle w:val="7"/>
        <w:ind w:firstLine="480"/>
        <w:rPr>
          <w:color w:val="auto"/>
        </w:rPr>
      </w:pPr>
      <w:r>
        <w:rPr>
          <w:rFonts w:hint="eastAsia"/>
          <w:color w:val="auto"/>
        </w:rPr>
        <w:t>本项目高空气象数据由中国气象局国家气象信息中心基于国际上前沿的模式与同化方案(GFS/GSI)，建成全球大气再分析系统(CRAS)，通过多层次循环同化试验，不断强化中国特有观测资料的同化应用，研制出10年以上长度的“中国全球大气再分析中间产品(CRA-Interim，2009-2020年)”，时间分辨率为6小时，水平分辨率为34公里，垂直层次64层。提取37个层次的高空模拟气象数据，层次为1000～100hPa每间隔25hPa为一个层次。高空气象因子包括气压、离地高度、干球温度、露点温度、风向和风速。高空气象数据信息见表6.2-2。</w:t>
      </w:r>
    </w:p>
    <w:p>
      <w:pPr>
        <w:pStyle w:val="31"/>
        <w:bidi w:val="0"/>
      </w:pPr>
      <w:r>
        <w:rPr>
          <w:rFonts w:hint="eastAsia"/>
        </w:rPr>
        <w:t>表6.2-2  高空模拟气象数据信息</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153"/>
        <w:gridCol w:w="935"/>
        <w:gridCol w:w="724"/>
        <w:gridCol w:w="2831"/>
        <w:gridCol w:w="1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0" w:type="dxa"/>
            <w:gridSpan w:val="2"/>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模拟坐标点</w:t>
            </w:r>
          </w:p>
        </w:tc>
        <w:tc>
          <w:tcPr>
            <w:tcW w:w="935" w:type="dxa"/>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相对距离（km）</w:t>
            </w:r>
          </w:p>
        </w:tc>
        <w:tc>
          <w:tcPr>
            <w:tcW w:w="724" w:type="dxa"/>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数据年份</w:t>
            </w:r>
          </w:p>
        </w:tc>
        <w:tc>
          <w:tcPr>
            <w:tcW w:w="2831" w:type="dxa"/>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模拟气象要素</w:t>
            </w:r>
          </w:p>
        </w:tc>
        <w:tc>
          <w:tcPr>
            <w:tcW w:w="1692" w:type="dxa"/>
            <w:vMerge w:val="restart"/>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模拟方式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经度</w:t>
            </w:r>
          </w:p>
        </w:tc>
        <w:tc>
          <w:tcPr>
            <w:tcW w:w="1153"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纬度</w:t>
            </w:r>
          </w:p>
        </w:tc>
        <w:tc>
          <w:tcPr>
            <w:tcW w:w="935" w:type="dxa"/>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724" w:type="dxa"/>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2831" w:type="dxa"/>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c>
          <w:tcPr>
            <w:tcW w:w="1692" w:type="dxa"/>
            <w:vMerge w:val="continue"/>
            <w:tcBorders>
              <w:top w:val="single" w:color="auto" w:sz="4" w:space="0"/>
              <w:left w:val="single" w:color="auto" w:sz="4" w:space="0"/>
              <w:bottom w:val="single" w:color="auto" w:sz="4" w:space="0"/>
              <w:right w:val="single" w:color="auto" w:sz="4" w:space="0"/>
            </w:tcBorders>
            <w:vAlign w:val="center"/>
          </w:tcPr>
          <w:p>
            <w:pPr>
              <w:pStyle w:val="33"/>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104.34°</w:t>
            </w:r>
          </w:p>
        </w:tc>
        <w:tc>
          <w:tcPr>
            <w:tcW w:w="1153"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23.6°</w:t>
            </w:r>
          </w:p>
        </w:tc>
        <w:tc>
          <w:tcPr>
            <w:tcW w:w="935"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6.0</w:t>
            </w:r>
          </w:p>
        </w:tc>
        <w:tc>
          <w:tcPr>
            <w:tcW w:w="724"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20</w:t>
            </w:r>
            <w:r>
              <w:rPr>
                <w:rFonts w:hint="eastAsia"/>
                <w:color w:val="auto"/>
              </w:rPr>
              <w:t>21</w:t>
            </w:r>
          </w:p>
        </w:tc>
        <w:tc>
          <w:tcPr>
            <w:tcW w:w="2831"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color w:val="auto"/>
              </w:rPr>
              <w:t>大气压、距地面高度、干球温度、露点温度、风向偏北度数、风速</w:t>
            </w:r>
          </w:p>
        </w:tc>
        <w:tc>
          <w:tcPr>
            <w:tcW w:w="1692" w:type="dxa"/>
            <w:tcBorders>
              <w:top w:val="single" w:color="auto" w:sz="4" w:space="0"/>
              <w:left w:val="single" w:color="auto" w:sz="4" w:space="0"/>
              <w:bottom w:val="single" w:color="auto" w:sz="4" w:space="0"/>
              <w:right w:val="single" w:color="auto" w:sz="4" w:space="0"/>
            </w:tcBorders>
            <w:vAlign w:val="center"/>
          </w:tcPr>
          <w:p>
            <w:pPr>
              <w:pStyle w:val="33"/>
              <w:rPr>
                <w:color w:val="auto"/>
              </w:rPr>
            </w:pPr>
            <w:r>
              <w:rPr>
                <w:rFonts w:hint="eastAsia"/>
                <w:color w:val="auto"/>
              </w:rPr>
              <w:t>GFS/GSI</w:t>
            </w:r>
          </w:p>
        </w:tc>
      </w:tr>
    </w:tbl>
    <w:p>
      <w:pPr>
        <w:pStyle w:val="7"/>
        <w:bidi w:val="0"/>
        <w:rPr>
          <w:rFonts w:hint="eastAsia"/>
        </w:rPr>
      </w:pPr>
    </w:p>
    <w:p>
      <w:pPr>
        <w:pStyle w:val="9"/>
        <w:bidi w:val="0"/>
      </w:pPr>
      <w:r>
        <w:rPr>
          <w:rFonts w:hint="eastAsia"/>
        </w:rPr>
        <w:t>6.2.1.2二十年气象要素统计</w:t>
      </w:r>
    </w:p>
    <w:p>
      <w:pPr>
        <w:spacing w:line="360" w:lineRule="auto"/>
        <w:ind w:firstLine="480"/>
        <w:rPr>
          <w:rFonts w:hint="eastAsia" w:hAnsi="宋体" w:cs="宋体"/>
          <w:color w:val="auto"/>
        </w:rPr>
      </w:pPr>
      <w:r>
        <w:rPr>
          <w:rFonts w:hint="eastAsia" w:hAnsi="宋体" w:cs="宋体"/>
          <w:color w:val="auto"/>
        </w:rPr>
        <w:t>项目采用的是砚山气象站（</w:t>
      </w:r>
      <w:r>
        <w:rPr>
          <w:rFonts w:hAnsi="宋体" w:cs="宋体"/>
          <w:color w:val="auto"/>
        </w:rPr>
        <w:t>56991</w:t>
      </w:r>
      <w:r>
        <w:rPr>
          <w:rFonts w:hint="eastAsia" w:hAnsi="宋体" w:cs="宋体"/>
          <w:color w:val="auto"/>
        </w:rPr>
        <w:t>）资料，气象站位于云南省文山市砚山县，地理坐标为东经</w:t>
      </w:r>
      <w:r>
        <w:rPr>
          <w:color w:val="auto"/>
        </w:rPr>
        <w:t>104.34°</w:t>
      </w:r>
      <w:r>
        <w:rPr>
          <w:rFonts w:hint="eastAsia" w:hAnsi="宋体" w:cs="宋体"/>
          <w:color w:val="auto"/>
        </w:rPr>
        <w:t>，北纬</w:t>
      </w:r>
      <w:r>
        <w:rPr>
          <w:color w:val="auto"/>
        </w:rPr>
        <w:t>23.6°</w:t>
      </w:r>
      <w:r>
        <w:rPr>
          <w:rFonts w:hint="eastAsia" w:hAnsi="宋体" w:cs="宋体"/>
          <w:color w:val="auto"/>
        </w:rPr>
        <w:t>。</w:t>
      </w:r>
    </w:p>
    <w:p>
      <w:pPr>
        <w:spacing w:line="360" w:lineRule="auto"/>
        <w:ind w:firstLine="480"/>
        <w:rPr>
          <w:rFonts w:hint="eastAsia" w:hAnsi="宋体" w:cs="宋体"/>
          <w:color w:val="auto"/>
        </w:rPr>
      </w:pPr>
      <w:r>
        <w:rPr>
          <w:rFonts w:hint="eastAsia" w:hAnsi="宋体" w:cs="宋体"/>
          <w:color w:val="auto"/>
        </w:rPr>
        <w:t>根据</w:t>
      </w:r>
      <w:r>
        <w:rPr>
          <w:rFonts w:hAnsi="宋体" w:cs="宋体"/>
          <w:color w:val="auto"/>
        </w:rPr>
        <w:t>2002</w:t>
      </w:r>
      <w:r>
        <w:rPr>
          <w:rFonts w:hint="eastAsia" w:hAnsi="宋体" w:cs="宋体"/>
          <w:color w:val="auto"/>
        </w:rPr>
        <w:t>-20</w:t>
      </w:r>
      <w:r>
        <w:rPr>
          <w:rFonts w:hAnsi="宋体" w:cs="宋体"/>
          <w:color w:val="auto"/>
        </w:rPr>
        <w:t>21</w:t>
      </w:r>
      <w:r>
        <w:rPr>
          <w:rFonts w:hint="eastAsia" w:hAnsi="宋体" w:cs="宋体"/>
          <w:color w:val="auto"/>
        </w:rPr>
        <w:t>年砚山县气象站气象数据统计分析，结果见表</w:t>
      </w:r>
      <w:r>
        <w:rPr>
          <w:rFonts w:hAnsi="宋体" w:cs="宋体"/>
          <w:color w:val="auto"/>
        </w:rPr>
        <w:t>6.2-3</w:t>
      </w:r>
      <w:r>
        <w:rPr>
          <w:rFonts w:hint="eastAsia" w:hAnsi="宋体" w:cs="宋体"/>
          <w:color w:val="auto"/>
        </w:rPr>
        <w:t>。</w:t>
      </w:r>
    </w:p>
    <w:p>
      <w:pPr>
        <w:pStyle w:val="31"/>
        <w:bidi w:val="0"/>
      </w:pPr>
      <w:r>
        <w:rPr>
          <w:rFonts w:hint="eastAsia"/>
        </w:rPr>
        <w:t>表</w:t>
      </w:r>
      <w:r>
        <w:t>6.2-3</w:t>
      </w:r>
      <w:r>
        <w:rPr>
          <w:rFonts w:hint="eastAsia"/>
        </w:rPr>
        <w:t xml:space="preserve">  项目区气象站常规气象项目统计（</w:t>
      </w:r>
      <w:r>
        <w:t>2002</w:t>
      </w:r>
      <w:r>
        <w:rPr>
          <w:rFonts w:hint="eastAsia"/>
        </w:rPr>
        <w:t>-20</w:t>
      </w:r>
      <w:r>
        <w:t>21</w:t>
      </w:r>
      <w:r>
        <w:rPr>
          <w:rFonts w:hint="eastAsia"/>
        </w:rPr>
        <w:t>）</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51"/>
        <w:gridCol w:w="2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项目</w:t>
            </w:r>
          </w:p>
        </w:tc>
        <w:tc>
          <w:tcPr>
            <w:tcW w:w="1528" w:type="pct"/>
            <w:shd w:val="clear" w:color="auto" w:fill="auto"/>
            <w:noWrap/>
            <w:vAlign w:val="center"/>
          </w:tcPr>
          <w:p>
            <w:pPr>
              <w:pStyle w:val="33"/>
              <w:bidi w:val="0"/>
              <w:rPr>
                <w:rFonts w:hint="eastAsia"/>
              </w:rPr>
            </w:pPr>
            <w:r>
              <w:rPr>
                <w:rFonts w:hint="eastAsia"/>
              </w:rPr>
              <w:t>统计情况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多年平均大风日数</w:t>
            </w:r>
            <w:r>
              <w:t>（d）</w:t>
            </w:r>
          </w:p>
        </w:tc>
        <w:tc>
          <w:tcPr>
            <w:tcW w:w="1528" w:type="pct"/>
            <w:shd w:val="clear" w:color="auto" w:fill="auto"/>
            <w:noWrap/>
            <w:vAlign w:val="center"/>
          </w:tcPr>
          <w:p>
            <w:pPr>
              <w:pStyle w:val="33"/>
              <w:bidi w:val="0"/>
              <w:rPr>
                <w:rFonts w:hint="eastAsia"/>
              </w:rPr>
            </w:pPr>
            <w:r>
              <w:rPr>
                <w:rFonts w:hint="eastAsia"/>
              </w:rPr>
              <w:t>7.05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多年平均雷暴日数</w:t>
            </w:r>
            <w:r>
              <w:t>（d）</w:t>
            </w:r>
          </w:p>
        </w:tc>
        <w:tc>
          <w:tcPr>
            <w:tcW w:w="1528" w:type="pct"/>
            <w:shd w:val="clear" w:color="auto" w:fill="auto"/>
            <w:noWrap/>
            <w:vAlign w:val="center"/>
          </w:tcPr>
          <w:p>
            <w:pPr>
              <w:pStyle w:val="33"/>
              <w:bidi w:val="0"/>
              <w:rPr>
                <w:rFonts w:hint="eastAsia"/>
              </w:rPr>
            </w:pPr>
            <w:r>
              <w:rPr>
                <w:rFonts w:hint="eastAsia"/>
              </w:rPr>
              <w:t>61.75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多年平均沙尘暴日数</w:t>
            </w:r>
            <w:r>
              <w:t>（d）</w:t>
            </w:r>
          </w:p>
        </w:tc>
        <w:tc>
          <w:tcPr>
            <w:tcW w:w="1528" w:type="pct"/>
            <w:shd w:val="clear" w:color="auto" w:fill="auto"/>
            <w:noWrap/>
            <w:vAlign w:val="center"/>
          </w:tcPr>
          <w:p>
            <w:pPr>
              <w:pStyle w:val="33"/>
              <w:bidi w:val="0"/>
              <w:rPr>
                <w:rFonts w:hint="eastAsia"/>
              </w:rPr>
            </w:pPr>
            <w:r>
              <w:rPr>
                <w:rFonts w:hint="eastAsia"/>
              </w:rPr>
              <w:t>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多年平均冰雹日数</w:t>
            </w:r>
            <w:r>
              <w:t>（d）</w:t>
            </w:r>
          </w:p>
        </w:tc>
        <w:tc>
          <w:tcPr>
            <w:tcW w:w="1528" w:type="pct"/>
            <w:shd w:val="clear" w:color="auto" w:fill="auto"/>
            <w:noWrap/>
            <w:vAlign w:val="center"/>
          </w:tcPr>
          <w:p>
            <w:pPr>
              <w:pStyle w:val="33"/>
              <w:bidi w:val="0"/>
              <w:rPr>
                <w:rFonts w:hint="eastAsia"/>
              </w:rPr>
            </w:pPr>
            <w:r>
              <w:rPr>
                <w:rFonts w:hint="eastAsia"/>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多年平均气压</w:t>
            </w:r>
            <w:r>
              <w:t>（hPa）</w:t>
            </w:r>
          </w:p>
        </w:tc>
        <w:tc>
          <w:tcPr>
            <w:tcW w:w="1528" w:type="pct"/>
            <w:shd w:val="clear" w:color="auto" w:fill="auto"/>
            <w:noWrap/>
            <w:vAlign w:val="center"/>
          </w:tcPr>
          <w:p>
            <w:pPr>
              <w:pStyle w:val="33"/>
              <w:bidi w:val="0"/>
              <w:rPr>
                <w:rFonts w:hint="eastAsia"/>
              </w:rPr>
            </w:pPr>
            <w:r>
              <w:rPr>
                <w:rFonts w:hint="eastAsia"/>
              </w:rPr>
              <w:t>843.74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多年平均水汽压</w:t>
            </w:r>
            <w:r>
              <w:t>（hPa）</w:t>
            </w:r>
          </w:p>
        </w:tc>
        <w:tc>
          <w:tcPr>
            <w:tcW w:w="1528" w:type="pct"/>
            <w:shd w:val="clear" w:color="auto" w:fill="auto"/>
            <w:noWrap/>
            <w:vAlign w:val="center"/>
          </w:tcPr>
          <w:p>
            <w:pPr>
              <w:pStyle w:val="33"/>
              <w:bidi w:val="0"/>
              <w:rPr>
                <w:rFonts w:hint="eastAsia"/>
              </w:rPr>
            </w:pPr>
            <w:r>
              <w:rPr>
                <w:rFonts w:hint="eastAsia"/>
              </w:rPr>
              <w:t>15.18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多年平均相对湿度</w:t>
            </w:r>
            <w:r>
              <w:t>（%）</w:t>
            </w:r>
          </w:p>
        </w:tc>
        <w:tc>
          <w:tcPr>
            <w:tcW w:w="1528" w:type="pct"/>
            <w:shd w:val="clear" w:color="auto" w:fill="auto"/>
            <w:noWrap/>
            <w:vAlign w:val="center"/>
          </w:tcPr>
          <w:p>
            <w:pPr>
              <w:pStyle w:val="33"/>
              <w:bidi w:val="0"/>
              <w:rPr>
                <w:rFonts w:hint="eastAsia"/>
              </w:rPr>
            </w:pPr>
            <w:r>
              <w:rPr>
                <w:rFonts w:hint="eastAsia"/>
              </w:rPr>
              <w:t>79.33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多年平均气温</w:t>
            </w:r>
            <w:r>
              <w:t>（</w:t>
            </w:r>
            <w:r>
              <w:rPr>
                <w:rFonts w:hint="eastAsia"/>
              </w:rPr>
              <w:t>℃</w:t>
            </w:r>
            <w:r>
              <w:t>）</w:t>
            </w:r>
          </w:p>
        </w:tc>
        <w:tc>
          <w:tcPr>
            <w:tcW w:w="1528" w:type="pct"/>
            <w:shd w:val="clear" w:color="auto" w:fill="auto"/>
            <w:noWrap/>
            <w:vAlign w:val="center"/>
          </w:tcPr>
          <w:p>
            <w:pPr>
              <w:pStyle w:val="33"/>
              <w:bidi w:val="0"/>
              <w:rPr>
                <w:rFonts w:hint="eastAsia"/>
              </w:rPr>
            </w:pPr>
            <w:r>
              <w:rPr>
                <w:rFonts w:hint="eastAsia"/>
              </w:rPr>
              <w:t>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多年平均风速</w:t>
            </w:r>
            <w:r>
              <w:t>（m/s）</w:t>
            </w:r>
          </w:p>
        </w:tc>
        <w:tc>
          <w:tcPr>
            <w:tcW w:w="1528" w:type="pct"/>
            <w:shd w:val="clear" w:color="auto" w:fill="auto"/>
            <w:noWrap/>
            <w:vAlign w:val="center"/>
          </w:tcPr>
          <w:p>
            <w:pPr>
              <w:pStyle w:val="33"/>
              <w:bidi w:val="0"/>
              <w:rPr>
                <w:rFonts w:hint="eastAsia"/>
              </w:rPr>
            </w:pPr>
            <w:r>
              <w:rPr>
                <w:rFonts w:hint="eastAsia"/>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多年平均静风出现频率</w:t>
            </w:r>
            <w:r>
              <w:t>（m/s）</w:t>
            </w:r>
          </w:p>
        </w:tc>
        <w:tc>
          <w:tcPr>
            <w:tcW w:w="1528" w:type="pct"/>
            <w:shd w:val="clear" w:color="auto" w:fill="auto"/>
            <w:noWrap/>
            <w:vAlign w:val="center"/>
          </w:tcPr>
          <w:p>
            <w:pPr>
              <w:pStyle w:val="33"/>
              <w:bidi w:val="0"/>
              <w:rPr>
                <w:rFonts w:hint="eastAsia"/>
              </w:rPr>
            </w:pPr>
            <w:r>
              <w:rPr>
                <w:rFonts w:hint="eastAsia"/>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多年平均年降水量</w:t>
            </w:r>
            <w:r>
              <w:t>（mm）</w:t>
            </w:r>
          </w:p>
        </w:tc>
        <w:tc>
          <w:tcPr>
            <w:tcW w:w="1528" w:type="pct"/>
            <w:shd w:val="clear" w:color="auto" w:fill="auto"/>
            <w:noWrap/>
            <w:vAlign w:val="center"/>
          </w:tcPr>
          <w:p>
            <w:pPr>
              <w:pStyle w:val="33"/>
              <w:bidi w:val="0"/>
              <w:rPr>
                <w:rFonts w:hint="eastAsia"/>
              </w:rPr>
            </w:pPr>
            <w:r>
              <w:rPr>
                <w:rFonts w:hint="eastAsia"/>
              </w:rPr>
              <w:t>979.36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多年平均最大日降水量</w:t>
            </w:r>
            <w:r>
              <w:t>（mm）</w:t>
            </w:r>
          </w:p>
        </w:tc>
        <w:tc>
          <w:tcPr>
            <w:tcW w:w="1528" w:type="pct"/>
            <w:shd w:val="clear" w:color="auto" w:fill="auto"/>
            <w:noWrap/>
            <w:vAlign w:val="center"/>
          </w:tcPr>
          <w:p>
            <w:pPr>
              <w:pStyle w:val="33"/>
              <w:bidi w:val="0"/>
              <w:rPr>
                <w:rFonts w:hint="eastAsia"/>
              </w:rPr>
            </w:pPr>
            <w:r>
              <w:rPr>
                <w:rFonts w:hint="eastAsia"/>
              </w:rPr>
              <w:t>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极值</w:t>
            </w:r>
            <w:r>
              <w:t>（mm）</w:t>
            </w:r>
          </w:p>
        </w:tc>
        <w:tc>
          <w:tcPr>
            <w:tcW w:w="1528" w:type="pct"/>
            <w:shd w:val="clear" w:color="auto" w:fill="auto"/>
            <w:noWrap/>
            <w:vAlign w:val="center"/>
          </w:tcPr>
          <w:p>
            <w:pPr>
              <w:pStyle w:val="33"/>
              <w:bidi w:val="0"/>
              <w:rPr>
                <w:rFonts w:hint="eastAsia"/>
              </w:rPr>
            </w:pPr>
            <w:r>
              <w:rPr>
                <w:rFonts w:hint="eastAsia"/>
              </w:rPr>
              <w:t>103.8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日期</w:t>
            </w:r>
          </w:p>
        </w:tc>
        <w:tc>
          <w:tcPr>
            <w:tcW w:w="1528" w:type="pct"/>
            <w:shd w:val="clear" w:color="auto" w:fill="auto"/>
            <w:noWrap/>
            <w:vAlign w:val="center"/>
          </w:tcPr>
          <w:p>
            <w:pPr>
              <w:pStyle w:val="33"/>
              <w:bidi w:val="0"/>
              <w:rPr>
                <w:rFonts w:hint="eastAsia"/>
              </w:rPr>
            </w:pPr>
            <w:r>
              <w:rPr>
                <w:rFonts w:hint="eastAsia"/>
              </w:rPr>
              <w:t>20061008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极大风速统计值</w:t>
            </w:r>
            <w:r>
              <w:t>（m/s）</w:t>
            </w:r>
          </w:p>
        </w:tc>
        <w:tc>
          <w:tcPr>
            <w:tcW w:w="1528" w:type="pct"/>
            <w:shd w:val="clear" w:color="auto" w:fill="auto"/>
            <w:noWrap/>
            <w:vAlign w:val="center"/>
          </w:tcPr>
          <w:p>
            <w:pPr>
              <w:pStyle w:val="33"/>
              <w:bidi w:val="0"/>
              <w:rPr>
                <w:rFonts w:hint="eastAsia"/>
              </w:rPr>
            </w:pPr>
            <w:r>
              <w:rPr>
                <w:rFonts w:hint="eastAsia"/>
              </w:rPr>
              <w:t>21.01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极值</w:t>
            </w:r>
            <w:r>
              <w:t>（m/s）</w:t>
            </w:r>
          </w:p>
        </w:tc>
        <w:tc>
          <w:tcPr>
            <w:tcW w:w="1528" w:type="pct"/>
            <w:shd w:val="clear" w:color="auto" w:fill="auto"/>
            <w:noWrap/>
            <w:vAlign w:val="center"/>
          </w:tcPr>
          <w:p>
            <w:pPr>
              <w:pStyle w:val="33"/>
              <w:bidi w:val="0"/>
              <w:rPr>
                <w:rFonts w:hint="eastAsia"/>
              </w:rPr>
            </w:pP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日期</w:t>
            </w:r>
          </w:p>
        </w:tc>
        <w:tc>
          <w:tcPr>
            <w:tcW w:w="1528" w:type="pct"/>
            <w:shd w:val="clear" w:color="auto" w:fill="auto"/>
            <w:noWrap/>
            <w:vAlign w:val="center"/>
          </w:tcPr>
          <w:p>
            <w:pPr>
              <w:pStyle w:val="33"/>
              <w:bidi w:val="0"/>
              <w:rPr>
                <w:rFonts w:hint="eastAsia"/>
              </w:rPr>
            </w:pPr>
            <w:r>
              <w:rPr>
                <w:rFonts w:hint="eastAsia"/>
              </w:rPr>
              <w:t>20100815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风向(单位：度)</w:t>
            </w:r>
          </w:p>
        </w:tc>
        <w:tc>
          <w:tcPr>
            <w:tcW w:w="1528" w:type="pct"/>
            <w:shd w:val="clear" w:color="auto" w:fill="auto"/>
            <w:noWrap/>
            <w:vAlign w:val="center"/>
          </w:tcPr>
          <w:p>
            <w:pPr>
              <w:pStyle w:val="33"/>
              <w:bidi w:val="0"/>
              <w:rPr>
                <w:rFonts w:hint="eastAsia"/>
              </w:rPr>
            </w:pPr>
            <w:r>
              <w:rPr>
                <w:rFonts w:hint="eastAsia"/>
              </w:rPr>
              <w:t>999009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多年平均最低气温统计值</w:t>
            </w:r>
          </w:p>
        </w:tc>
        <w:tc>
          <w:tcPr>
            <w:tcW w:w="1528" w:type="pct"/>
            <w:shd w:val="clear" w:color="auto" w:fill="auto"/>
            <w:noWrap/>
            <w:vAlign w:val="center"/>
          </w:tcPr>
          <w:p>
            <w:pPr>
              <w:pStyle w:val="33"/>
              <w:bidi w:val="0"/>
              <w:rPr>
                <w:rFonts w:hint="eastAsia"/>
              </w:rPr>
            </w:pPr>
            <w:r>
              <w:rPr>
                <w:rFonts w:hint="eastAsia"/>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极值</w:t>
            </w:r>
            <w:r>
              <w:t>（</w:t>
            </w:r>
            <w:r>
              <w:rPr>
                <w:rFonts w:hint="eastAsia"/>
              </w:rPr>
              <w:t>℃</w:t>
            </w:r>
            <w:r>
              <w:t>）</w:t>
            </w:r>
          </w:p>
        </w:tc>
        <w:tc>
          <w:tcPr>
            <w:tcW w:w="1528" w:type="pct"/>
            <w:shd w:val="clear" w:color="auto" w:fill="auto"/>
            <w:noWrap/>
            <w:vAlign w:val="center"/>
          </w:tcPr>
          <w:p>
            <w:pPr>
              <w:pStyle w:val="33"/>
              <w:bidi w:val="0"/>
              <w:rPr>
                <w:rFonts w:hint="eastAsia"/>
              </w:rPr>
            </w:pPr>
            <w:r>
              <w:rPr>
                <w:rFonts w:hint="eastAsia"/>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日期</w:t>
            </w:r>
          </w:p>
        </w:tc>
        <w:tc>
          <w:tcPr>
            <w:tcW w:w="1528" w:type="pct"/>
            <w:shd w:val="clear" w:color="auto" w:fill="auto"/>
            <w:noWrap/>
            <w:vAlign w:val="center"/>
          </w:tcPr>
          <w:p>
            <w:pPr>
              <w:pStyle w:val="33"/>
              <w:bidi w:val="0"/>
              <w:rPr>
                <w:rFonts w:hint="eastAsia"/>
              </w:rPr>
            </w:pPr>
            <w:r>
              <w:rPr>
                <w:rFonts w:hint="eastAsia"/>
              </w:rPr>
              <w:t>20131219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多年平均最高气温统计值</w:t>
            </w:r>
          </w:p>
        </w:tc>
        <w:tc>
          <w:tcPr>
            <w:tcW w:w="1528" w:type="pct"/>
            <w:shd w:val="clear" w:color="auto" w:fill="auto"/>
            <w:noWrap/>
            <w:vAlign w:val="center"/>
          </w:tcPr>
          <w:p>
            <w:pPr>
              <w:pStyle w:val="33"/>
              <w:bidi w:val="0"/>
              <w:rPr>
                <w:rFonts w:hint="eastAsia"/>
              </w:rPr>
            </w:pPr>
            <w:r>
              <w:rPr>
                <w:rFonts w:hint="eastAsia"/>
              </w:rPr>
              <w:t>32.45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极值</w:t>
            </w:r>
            <w:r>
              <w:t>（</w:t>
            </w:r>
            <w:r>
              <w:rPr>
                <w:rFonts w:hint="eastAsia"/>
              </w:rPr>
              <w:t>℃</w:t>
            </w:r>
            <w:r>
              <w:t>）</w:t>
            </w:r>
          </w:p>
        </w:tc>
        <w:tc>
          <w:tcPr>
            <w:tcW w:w="1528" w:type="pct"/>
            <w:shd w:val="clear" w:color="auto" w:fill="auto"/>
            <w:noWrap/>
            <w:vAlign w:val="center"/>
          </w:tcPr>
          <w:p>
            <w:pPr>
              <w:pStyle w:val="33"/>
              <w:bidi w:val="0"/>
              <w:rPr>
                <w:rFonts w:hint="eastAsia"/>
              </w:rPr>
            </w:pPr>
            <w:r>
              <w:rPr>
                <w:rFonts w:hint="eastAsia"/>
              </w:rPr>
              <w:t>34.9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71" w:type="pct"/>
            <w:shd w:val="clear" w:color="auto" w:fill="auto"/>
            <w:noWrap/>
            <w:vAlign w:val="center"/>
          </w:tcPr>
          <w:p>
            <w:pPr>
              <w:pStyle w:val="33"/>
              <w:bidi w:val="0"/>
              <w:rPr>
                <w:rFonts w:hint="eastAsia"/>
              </w:rPr>
            </w:pPr>
            <w:r>
              <w:rPr>
                <w:rFonts w:hint="eastAsia"/>
              </w:rPr>
              <w:t>日期</w:t>
            </w:r>
          </w:p>
        </w:tc>
        <w:tc>
          <w:tcPr>
            <w:tcW w:w="1528" w:type="pct"/>
            <w:shd w:val="clear" w:color="auto" w:fill="auto"/>
            <w:noWrap/>
            <w:vAlign w:val="center"/>
          </w:tcPr>
          <w:p>
            <w:pPr>
              <w:pStyle w:val="33"/>
              <w:bidi w:val="0"/>
              <w:rPr>
                <w:rFonts w:hint="eastAsia"/>
              </w:rPr>
            </w:pPr>
            <w:r>
              <w:rPr>
                <w:rFonts w:hint="eastAsia"/>
              </w:rPr>
              <w:t>20100506</w:t>
            </w:r>
          </w:p>
        </w:tc>
      </w:tr>
    </w:tbl>
    <w:p>
      <w:pPr>
        <w:pStyle w:val="2"/>
        <w:ind w:left="480" w:firstLine="480"/>
        <w:rPr>
          <w:color w:val="FF0000"/>
        </w:rPr>
      </w:pPr>
    </w:p>
    <w:p>
      <w:pPr>
        <w:pStyle w:val="9"/>
        <w:bidi w:val="0"/>
      </w:pPr>
      <w:r>
        <w:rPr>
          <w:rFonts w:hint="eastAsia"/>
        </w:rPr>
        <w:t>6.2.1.3 2021年地面气象数据统计</w:t>
      </w:r>
    </w:p>
    <w:p>
      <w:pPr>
        <w:pStyle w:val="7"/>
        <w:ind w:firstLine="480"/>
        <w:rPr>
          <w:color w:val="auto"/>
        </w:rPr>
      </w:pPr>
      <w:r>
        <w:rPr>
          <w:rFonts w:hint="eastAsia"/>
          <w:color w:val="auto"/>
        </w:rPr>
        <w:t>（1）风向</w:t>
      </w:r>
    </w:p>
    <w:p>
      <w:pPr>
        <w:pStyle w:val="7"/>
        <w:ind w:firstLine="480"/>
        <w:rPr>
          <w:color w:val="auto"/>
          <w:highlight w:val="none"/>
        </w:rPr>
      </w:pPr>
      <w:r>
        <w:rPr>
          <w:rFonts w:hint="eastAsia"/>
          <w:color w:val="auto"/>
        </w:rPr>
        <w:t>根据砚山气象站数据，按照16个方位进行地面风向统计、结果见表6.2-</w:t>
      </w:r>
      <w:r>
        <w:rPr>
          <w:color w:val="auto"/>
        </w:rPr>
        <w:t>4</w:t>
      </w:r>
      <w:r>
        <w:rPr>
          <w:rFonts w:hint="eastAsia"/>
          <w:color w:val="auto"/>
        </w:rPr>
        <w:t>、风向</w:t>
      </w:r>
      <w:r>
        <w:rPr>
          <w:rFonts w:hint="eastAsia"/>
          <w:color w:val="auto"/>
          <w:highlight w:val="none"/>
        </w:rPr>
        <w:t>玫瑰见图6.2-</w:t>
      </w:r>
      <w:r>
        <w:rPr>
          <w:color w:val="auto"/>
          <w:highlight w:val="none"/>
        </w:rPr>
        <w:t>1</w:t>
      </w:r>
      <w:r>
        <w:rPr>
          <w:rFonts w:hint="eastAsia"/>
          <w:color w:val="auto"/>
          <w:highlight w:val="none"/>
        </w:rPr>
        <w:t>，各时段的主导风表6.2-</w:t>
      </w:r>
      <w:r>
        <w:rPr>
          <w:color w:val="auto"/>
          <w:highlight w:val="none"/>
        </w:rPr>
        <w:t>5</w:t>
      </w:r>
      <w:r>
        <w:rPr>
          <w:rFonts w:hint="eastAsia"/>
          <w:color w:val="auto"/>
          <w:highlight w:val="none"/>
        </w:rPr>
        <w:t>。</w:t>
      </w:r>
    </w:p>
    <w:p>
      <w:pPr>
        <w:widowControl/>
        <w:spacing w:line="360" w:lineRule="auto"/>
        <w:jc w:val="center"/>
        <w:rPr>
          <w:color w:val="FF0000"/>
          <w:kern w:val="0"/>
        </w:rPr>
      </w:pPr>
      <w:r>
        <w:rPr>
          <w:color w:val="FF0000"/>
          <w:kern w:val="0"/>
        </w:rPr>
        <w:drawing>
          <wp:inline distT="0" distB="0" distL="0" distR="0">
            <wp:extent cx="5069205" cy="722757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069205" cy="7227570"/>
                    </a:xfrm>
                    <a:prstGeom prst="rect">
                      <a:avLst/>
                    </a:prstGeom>
                    <a:noFill/>
                    <a:ln>
                      <a:noFill/>
                    </a:ln>
                  </pic:spPr>
                </pic:pic>
              </a:graphicData>
            </a:graphic>
          </wp:inline>
        </w:drawing>
      </w:r>
    </w:p>
    <w:p>
      <w:pPr>
        <w:pStyle w:val="44"/>
        <w:bidi w:val="0"/>
        <w:rPr>
          <w:highlight w:val="none"/>
        </w:rPr>
      </w:pPr>
      <w:r>
        <w:rPr>
          <w:highlight w:val="none"/>
        </w:rPr>
        <w:t>图</w:t>
      </w:r>
      <w:r>
        <w:rPr>
          <w:rFonts w:hint="eastAsia"/>
          <w:highlight w:val="none"/>
        </w:rPr>
        <w:t>6.2</w:t>
      </w:r>
      <w:r>
        <w:rPr>
          <w:highlight w:val="none"/>
        </w:rPr>
        <w:t>-1  风向玫瑰图</w:t>
      </w:r>
    </w:p>
    <w:p>
      <w:pPr>
        <w:widowControl/>
        <w:spacing w:line="360" w:lineRule="auto"/>
        <w:jc w:val="left"/>
        <w:rPr>
          <w:color w:val="FF0000"/>
          <w:highlight w:val="none"/>
        </w:rPr>
        <w:sectPr>
          <w:footerReference r:id="rId12" w:type="default"/>
          <w:pgSz w:w="11906" w:h="16838"/>
          <w:pgMar w:top="1418" w:right="1418" w:bottom="1418" w:left="1701" w:header="851" w:footer="992" w:gutter="0"/>
          <w:cols w:space="720" w:num="1"/>
          <w:docGrid w:linePitch="312" w:charSpace="0"/>
        </w:sectPr>
      </w:pPr>
    </w:p>
    <w:p>
      <w:pPr>
        <w:pStyle w:val="31"/>
        <w:bidi w:val="0"/>
      </w:pPr>
      <w:r>
        <w:t>表</w:t>
      </w:r>
      <w:r>
        <w:rPr>
          <w:rFonts w:hint="eastAsia"/>
        </w:rPr>
        <w:t>6.2</w:t>
      </w:r>
      <w:r>
        <w:t>-4  风频月变化、季变化及年均风频</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1"/>
        <w:gridCol w:w="779"/>
        <w:gridCol w:w="779"/>
        <w:gridCol w:w="779"/>
        <w:gridCol w:w="779"/>
        <w:gridCol w:w="779"/>
        <w:gridCol w:w="779"/>
        <w:gridCol w:w="779"/>
        <w:gridCol w:w="779"/>
        <w:gridCol w:w="779"/>
        <w:gridCol w:w="779"/>
        <w:gridCol w:w="779"/>
        <w:gridCol w:w="780"/>
        <w:gridCol w:w="780"/>
        <w:gridCol w:w="788"/>
        <w:gridCol w:w="780"/>
        <w:gridCol w:w="780"/>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时间</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N</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NNE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NE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ENE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ESE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SE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SSE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S</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SSW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SW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WSW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WNW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NW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NNW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一月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9.95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4.17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9.41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28.36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15.86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二月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0.74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33.33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26.34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三月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34.14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27.82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8.87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四月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30.56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23.06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五月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21.77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34.41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11.83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7.80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7.66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六月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6.39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27.08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19.44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7.78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七月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6.32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19.89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八月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4.17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6.99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18.95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九月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4.86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13.61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33.33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15.14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十月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8.33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25.40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11.29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23.66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7.80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十一月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15.97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23.47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8.61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十二月</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0.94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16.67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25.54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春季</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28.80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10.60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6.25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夏季</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4.17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30.98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19.43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秋季</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13.37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6.23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13.60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26.79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0.41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冬季</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2.41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11.06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28.94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17.87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0.69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全年</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1.52</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6.85</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3.14</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8.46</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28.88</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19.10</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6.71</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1.03</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0.89</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0.87</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2.56</w:t>
            </w:r>
          </w:p>
        </w:tc>
      </w:tr>
    </w:tbl>
    <w:p>
      <w:pPr>
        <w:pStyle w:val="7"/>
        <w:bidi w:val="0"/>
      </w:pPr>
      <w:r>
        <w:t>由年均风频的月、季及全年变化统计资料可以看出，20</w:t>
      </w:r>
      <w:r>
        <w:rPr>
          <w:rFonts w:hint="eastAsia"/>
        </w:rPr>
        <w:t>21</w:t>
      </w:r>
      <w:r>
        <w:t>年全年主导风向为S风向，总计出现频率为28.88%，静风频率为2.56%。</w:t>
      </w:r>
    </w:p>
    <w:p>
      <w:pPr>
        <w:spacing w:line="360" w:lineRule="auto"/>
        <w:rPr>
          <w:color w:val="FF0000"/>
        </w:rPr>
        <w:sectPr>
          <w:pgSz w:w="16838" w:h="11906" w:orient="landscape"/>
          <w:pgMar w:top="1418" w:right="1418" w:bottom="1418" w:left="1418" w:header="851" w:footer="992" w:gutter="0"/>
          <w:cols w:space="720" w:num="1"/>
          <w:docGrid w:linePitch="326" w:charSpace="0"/>
        </w:sectPr>
      </w:pPr>
    </w:p>
    <w:p>
      <w:pPr>
        <w:pStyle w:val="31"/>
        <w:bidi w:val="0"/>
      </w:pPr>
      <w:r>
        <w:t>表</w:t>
      </w:r>
      <w:r>
        <w:rPr>
          <w:rFonts w:hint="eastAsia"/>
        </w:rPr>
        <w:t>6.2</w:t>
      </w:r>
      <w:r>
        <w:t>-5  各时段的主导风</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42"/>
        <w:gridCol w:w="1853"/>
        <w:gridCol w:w="2588"/>
        <w:gridCol w:w="2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vAlign w:val="center"/>
          </w:tcPr>
          <w:p>
            <w:pPr>
              <w:pStyle w:val="33"/>
              <w:bidi w:val="0"/>
            </w:pPr>
            <w:r>
              <w:t>时段</w:t>
            </w:r>
          </w:p>
        </w:tc>
        <w:tc>
          <w:tcPr>
            <w:tcW w:w="1053" w:type="pct"/>
            <w:tcBorders>
              <w:top w:val="single" w:color="auto" w:sz="4" w:space="0"/>
              <w:left w:val="single" w:color="auto" w:sz="4" w:space="0"/>
              <w:bottom w:val="single" w:color="auto" w:sz="4" w:space="0"/>
              <w:right w:val="single" w:color="auto" w:sz="4" w:space="0"/>
            </w:tcBorders>
            <w:noWrap/>
            <w:vAlign w:val="center"/>
          </w:tcPr>
          <w:p>
            <w:pPr>
              <w:pStyle w:val="33"/>
              <w:bidi w:val="0"/>
            </w:pPr>
            <w:r>
              <w:t>风向</w:t>
            </w:r>
          </w:p>
        </w:tc>
        <w:tc>
          <w:tcPr>
            <w:tcW w:w="1471" w:type="pct"/>
            <w:tcBorders>
              <w:top w:val="single" w:color="auto" w:sz="4" w:space="0"/>
              <w:left w:val="single" w:color="auto" w:sz="4" w:space="0"/>
              <w:bottom w:val="single" w:color="auto" w:sz="4" w:space="0"/>
              <w:right w:val="single" w:color="auto" w:sz="4" w:space="0"/>
            </w:tcBorders>
            <w:noWrap/>
            <w:vAlign w:val="center"/>
          </w:tcPr>
          <w:p>
            <w:pPr>
              <w:pStyle w:val="33"/>
              <w:bidi w:val="0"/>
            </w:pPr>
            <w:r>
              <w:t>风速m/s</w:t>
            </w:r>
          </w:p>
        </w:tc>
        <w:tc>
          <w:tcPr>
            <w:tcW w:w="1373" w:type="pct"/>
            <w:tcBorders>
              <w:top w:val="single" w:color="auto" w:sz="4" w:space="0"/>
              <w:left w:val="single" w:color="auto" w:sz="4" w:space="0"/>
              <w:bottom w:val="single" w:color="auto" w:sz="4" w:space="0"/>
              <w:right w:val="single" w:color="auto" w:sz="4" w:space="0"/>
            </w:tcBorders>
            <w:noWrap/>
            <w:vAlign w:val="center"/>
          </w:tcPr>
          <w:p>
            <w:pPr>
              <w:pStyle w:val="33"/>
              <w:bidi w:val="0"/>
            </w:pPr>
            <w:r>
              <w:t>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一月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2.81</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二月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2.74</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三月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3.19</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四月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3.24</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五月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SSW</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3.06</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六月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2.11</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七月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2.49</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八月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2.35</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九月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2.26</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十月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NE</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3.17</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十一月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2.28</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十二月</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2.27</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25.54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全年</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2.59</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春季</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3.12</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夏季</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2.33</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30.98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秋季</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2.28</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04"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冬季</w:t>
            </w:r>
          </w:p>
        </w:tc>
        <w:tc>
          <w:tcPr>
            <w:tcW w:w="105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S</w:t>
            </w:r>
          </w:p>
        </w:tc>
        <w:tc>
          <w:tcPr>
            <w:tcW w:w="1471"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2.62</w:t>
            </w:r>
          </w:p>
        </w:tc>
        <w:tc>
          <w:tcPr>
            <w:tcW w:w="1373" w:type="pct"/>
            <w:tcBorders>
              <w:top w:val="single" w:color="auto" w:sz="4" w:space="0"/>
              <w:left w:val="single" w:color="auto" w:sz="4" w:space="0"/>
              <w:bottom w:val="single" w:color="auto" w:sz="4" w:space="0"/>
              <w:right w:val="single" w:color="auto" w:sz="4" w:space="0"/>
            </w:tcBorders>
            <w:noWrap/>
          </w:tcPr>
          <w:p>
            <w:pPr>
              <w:pStyle w:val="33"/>
              <w:bidi w:val="0"/>
            </w:pPr>
            <w:r>
              <w:rPr>
                <w:rFonts w:hint="eastAsia"/>
              </w:rPr>
              <w:t>28.94</w:t>
            </w:r>
          </w:p>
        </w:tc>
      </w:tr>
    </w:tbl>
    <w:p>
      <w:pPr>
        <w:pStyle w:val="7"/>
        <w:bidi w:val="0"/>
      </w:pPr>
      <w:r>
        <w:t>从季节分布来看，全年最大风向频率为S风，春季、夏季</w:t>
      </w:r>
      <w:r>
        <w:rPr>
          <w:rFonts w:hint="eastAsia"/>
        </w:rPr>
        <w:t>、</w:t>
      </w:r>
      <w:r>
        <w:t>秋季、冬季最大风向频率为S风。</w:t>
      </w:r>
    </w:p>
    <w:p>
      <w:pPr>
        <w:pStyle w:val="7"/>
        <w:ind w:firstLine="480"/>
        <w:rPr>
          <w:color w:val="auto"/>
        </w:rPr>
      </w:pPr>
      <w:r>
        <w:rPr>
          <w:color w:val="auto"/>
        </w:rPr>
        <w:t>（2）风速</w:t>
      </w:r>
    </w:p>
    <w:p>
      <w:pPr>
        <w:pStyle w:val="7"/>
        <w:ind w:firstLine="480"/>
        <w:rPr>
          <w:color w:val="auto"/>
          <w:highlight w:val="none"/>
        </w:rPr>
      </w:pPr>
      <w:r>
        <w:rPr>
          <w:color w:val="auto"/>
        </w:rPr>
        <w:t>砚山气象站数据，按照16个方位进行地面风速统计，统计结果见表</w:t>
      </w:r>
      <w:r>
        <w:rPr>
          <w:rFonts w:hint="eastAsia"/>
          <w:color w:val="auto"/>
        </w:rPr>
        <w:t>6.2</w:t>
      </w:r>
      <w:r>
        <w:rPr>
          <w:color w:val="auto"/>
        </w:rPr>
        <w:t>-6、表</w:t>
      </w:r>
      <w:r>
        <w:rPr>
          <w:rFonts w:hint="eastAsia"/>
          <w:color w:val="auto"/>
        </w:rPr>
        <w:t>6.2</w:t>
      </w:r>
      <w:r>
        <w:rPr>
          <w:color w:val="auto"/>
        </w:rPr>
        <w:t>-7、表</w:t>
      </w:r>
      <w:r>
        <w:rPr>
          <w:rFonts w:hint="eastAsia"/>
          <w:color w:val="auto"/>
        </w:rPr>
        <w:t>6.2</w:t>
      </w:r>
      <w:r>
        <w:rPr>
          <w:color w:val="auto"/>
        </w:rPr>
        <w:t>-8，</w:t>
      </w:r>
      <w:r>
        <w:rPr>
          <w:color w:val="auto"/>
          <w:highlight w:val="none"/>
        </w:rPr>
        <w:t>年平均风速月变化曲线见图</w:t>
      </w:r>
      <w:r>
        <w:rPr>
          <w:rFonts w:hint="eastAsia"/>
          <w:color w:val="auto"/>
          <w:highlight w:val="none"/>
        </w:rPr>
        <w:t>6.2</w:t>
      </w:r>
      <w:r>
        <w:rPr>
          <w:color w:val="auto"/>
          <w:highlight w:val="none"/>
        </w:rPr>
        <w:t>-2，季小时平均风速的变化曲线见图</w:t>
      </w:r>
      <w:r>
        <w:rPr>
          <w:rFonts w:hint="eastAsia"/>
          <w:color w:val="auto"/>
          <w:highlight w:val="none"/>
        </w:rPr>
        <w:t>6.2</w:t>
      </w:r>
      <w:r>
        <w:rPr>
          <w:color w:val="auto"/>
          <w:highlight w:val="none"/>
        </w:rPr>
        <w:t>-3，风速玫瑰见图</w:t>
      </w:r>
      <w:r>
        <w:rPr>
          <w:rFonts w:hint="eastAsia"/>
          <w:color w:val="auto"/>
          <w:highlight w:val="none"/>
        </w:rPr>
        <w:t>6.2</w:t>
      </w:r>
      <w:r>
        <w:rPr>
          <w:color w:val="auto"/>
          <w:highlight w:val="none"/>
        </w:rPr>
        <w:t>-4。</w:t>
      </w:r>
    </w:p>
    <w:p>
      <w:pPr>
        <w:pStyle w:val="31"/>
        <w:bidi w:val="0"/>
      </w:pPr>
      <w:r>
        <w:t>表</w:t>
      </w:r>
      <w:r>
        <w:rPr>
          <w:rFonts w:hint="eastAsia"/>
        </w:rPr>
        <w:t>6.2</w:t>
      </w:r>
      <w:r>
        <w:t>-6  月平均风速统计结果（单位：m/s）</w:t>
      </w:r>
      <w:bookmarkStart w:id="128" w:name="_Hlt26428215"/>
      <w:bookmarkEnd w:id="128"/>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1144"/>
        <w:gridCol w:w="589"/>
        <w:gridCol w:w="589"/>
        <w:gridCol w:w="589"/>
        <w:gridCol w:w="589"/>
        <w:gridCol w:w="589"/>
        <w:gridCol w:w="589"/>
        <w:gridCol w:w="589"/>
        <w:gridCol w:w="589"/>
        <w:gridCol w:w="589"/>
        <w:gridCol w:w="590"/>
        <w:gridCol w:w="590"/>
        <w:gridCol w:w="590"/>
        <w:gridCol w:w="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650"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月份</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2月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3月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4月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5月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6月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7月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8月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9月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10月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11月</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12月</w:t>
            </w:r>
          </w:p>
        </w:tc>
        <w:tc>
          <w:tcPr>
            <w:tcW w:w="332"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650"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风速(m/s)</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2.49</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2.66</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3.30</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2.76</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2.98</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2.10</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2.00</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2.06</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1.93</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2.43</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2.18</w:t>
            </w:r>
          </w:p>
        </w:tc>
        <w:tc>
          <w:tcPr>
            <w:tcW w:w="335"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1.84</w:t>
            </w:r>
          </w:p>
        </w:tc>
        <w:tc>
          <w:tcPr>
            <w:tcW w:w="332"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2.39</w:t>
            </w:r>
          </w:p>
        </w:tc>
      </w:tr>
    </w:tbl>
    <w:p>
      <w:pPr>
        <w:pStyle w:val="31"/>
        <w:bidi w:val="0"/>
      </w:pPr>
      <w:r>
        <w:t>表</w:t>
      </w:r>
      <w:r>
        <w:rPr>
          <w:rFonts w:hint="eastAsia"/>
        </w:rPr>
        <w:t>6.2</w:t>
      </w:r>
      <w:r>
        <w:t>-7  各风向风速及月平均风速统计结果（单位：m/s）</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499"/>
        <w:gridCol w:w="495"/>
        <w:gridCol w:w="495"/>
        <w:gridCol w:w="493"/>
        <w:gridCol w:w="493"/>
        <w:gridCol w:w="493"/>
        <w:gridCol w:w="493"/>
        <w:gridCol w:w="493"/>
        <w:gridCol w:w="493"/>
        <w:gridCol w:w="493"/>
        <w:gridCol w:w="499"/>
        <w:gridCol w:w="494"/>
        <w:gridCol w:w="494"/>
        <w:gridCol w:w="494"/>
        <w:gridCol w:w="494"/>
        <w:gridCol w:w="494"/>
        <w:gridCol w:w="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月份</w:t>
            </w:r>
          </w:p>
        </w:tc>
        <w:tc>
          <w:tcPr>
            <w:tcW w:w="277"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N</w:t>
            </w:r>
          </w:p>
        </w:tc>
        <w:tc>
          <w:tcPr>
            <w:tcW w:w="275"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NNE</w:t>
            </w:r>
          </w:p>
        </w:tc>
        <w:tc>
          <w:tcPr>
            <w:tcW w:w="275"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NE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ENE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ESE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SE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SSE</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S</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SSW</w:t>
            </w:r>
          </w:p>
        </w:tc>
        <w:tc>
          <w:tcPr>
            <w:tcW w:w="277"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SW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WSW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WNW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NW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NNW</w:t>
            </w:r>
          </w:p>
        </w:tc>
        <w:tc>
          <w:tcPr>
            <w:tcW w:w="274"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一月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1.31</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2.46</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2.84</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二月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1.47</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2.99</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1.13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三月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0.00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2.75</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3.43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3.26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3.19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3.33</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3.21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3.63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4.12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3.83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3.98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0.00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四月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1.93</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1.29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1.06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3.24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2.88</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3.09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五月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2.47</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0.85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3.06</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3.43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3.41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3.56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3.91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六月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2.26</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七月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1.49</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2.17</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八月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1.79</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1.05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2.17</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0.78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九月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2.31</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1.73</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1.19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1.19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十月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2.91</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3.17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1.07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2.14</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十一月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2.01</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2.56</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1.94</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0.70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0.00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十二月</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1.06</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1.16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1.23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1.73</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1.25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0.93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1.03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1.19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全年</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1.73</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2.42</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2.42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2.60</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春季</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1.92</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2.81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3.12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3.10</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2.73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3.36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3.55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3.34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3.50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夏季</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1.64</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1.53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1.85</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2.20</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秋季</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2.68</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2.99</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1.76</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1.89</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1.40</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2.08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33"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ascii="宋体" w:hAnsi="宋体"/>
                <w:color w:val="auto"/>
                <w:kern w:val="0"/>
                <w:sz w:val="18"/>
                <w:szCs w:val="18"/>
              </w:rPr>
            </w:pPr>
            <w:r>
              <w:rPr>
                <w:rFonts w:ascii="宋体" w:hAnsi="宋体"/>
                <w:color w:val="auto"/>
                <w:kern w:val="0"/>
                <w:sz w:val="18"/>
                <w:szCs w:val="18"/>
              </w:rPr>
              <w:t>冬季</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1.40</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2.31</w:t>
            </w:r>
          </w:p>
        </w:tc>
        <w:tc>
          <w:tcPr>
            <w:tcW w:w="275"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2.51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1.64</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1.77</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2.65</w:t>
            </w:r>
          </w:p>
        </w:tc>
        <w:tc>
          <w:tcPr>
            <w:tcW w:w="277"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2.32</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2.21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1.93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1.31</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1.68</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1.63</w:t>
            </w:r>
          </w:p>
        </w:tc>
        <w:tc>
          <w:tcPr>
            <w:tcW w:w="274"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ind w:left="-120" w:leftChars="-50" w:right="-120" w:rightChars="-50"/>
              <w:jc w:val="center"/>
              <w:rPr>
                <w:rFonts w:ascii="宋体" w:hAnsi="宋体"/>
                <w:color w:val="auto"/>
                <w:sz w:val="18"/>
                <w:szCs w:val="18"/>
              </w:rPr>
            </w:pPr>
            <w:r>
              <w:rPr>
                <w:rFonts w:ascii="宋体" w:hAnsi="宋体"/>
                <w:color w:val="auto"/>
                <w:sz w:val="18"/>
                <w:szCs w:val="18"/>
              </w:rPr>
              <w:t>2.32</w:t>
            </w:r>
          </w:p>
        </w:tc>
      </w:tr>
    </w:tbl>
    <w:p>
      <w:pPr>
        <w:pStyle w:val="31"/>
        <w:bidi w:val="0"/>
      </w:pPr>
      <w:r>
        <w:t>表</w:t>
      </w:r>
      <w:r>
        <w:rPr>
          <w:rFonts w:hint="eastAsia"/>
        </w:rPr>
        <w:t>6.2</w:t>
      </w:r>
      <w:r>
        <w:t>-8  季小时平均风速的日变化（单位：m/s）</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5"/>
        <w:gridCol w:w="610"/>
        <w:gridCol w:w="609"/>
        <w:gridCol w:w="610"/>
        <w:gridCol w:w="610"/>
        <w:gridCol w:w="610"/>
        <w:gridCol w:w="610"/>
        <w:gridCol w:w="610"/>
        <w:gridCol w:w="610"/>
        <w:gridCol w:w="610"/>
        <w:gridCol w:w="611"/>
        <w:gridCol w:w="610"/>
        <w:gridCol w:w="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936" w:type="pct"/>
            <w:tcBorders>
              <w:top w:val="single" w:color="auto" w:sz="4" w:space="0"/>
              <w:left w:val="single" w:color="auto" w:sz="4" w:space="0"/>
              <w:bottom w:val="single" w:color="auto" w:sz="4" w:space="0"/>
              <w:right w:val="single" w:color="auto" w:sz="4" w:space="0"/>
              <w:tl2br w:val="single" w:color="auto" w:sz="4" w:space="0"/>
            </w:tcBorders>
            <w:noWrap/>
            <w:vAlign w:val="center"/>
          </w:tcPr>
          <w:p>
            <w:pPr>
              <w:widowControl/>
              <w:adjustRightInd w:val="0"/>
              <w:snapToGrid w:val="0"/>
              <w:ind w:left="-120" w:leftChars="-50" w:right="-120" w:rightChars="-50"/>
              <w:jc w:val="righ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小时(h)</w:t>
            </w:r>
          </w:p>
          <w:p>
            <w:pPr>
              <w:widowControl/>
              <w:adjustRightInd w:val="0"/>
              <w:snapToGrid w:val="0"/>
              <w:ind w:left="-120" w:leftChars="-50" w:right="-120" w:rightChars="-5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风速(m/s)</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8</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春季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2.28</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2.11</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夏季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1.64</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1.48</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1.61</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2.39</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秋季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1.66</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2.17</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冬季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1.86</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1.86</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936" w:type="pct"/>
            <w:tcBorders>
              <w:top w:val="single" w:color="auto" w:sz="4" w:space="0"/>
              <w:left w:val="single" w:color="auto" w:sz="4" w:space="0"/>
              <w:bottom w:val="single" w:color="auto" w:sz="4" w:space="0"/>
              <w:right w:val="single" w:color="auto" w:sz="4" w:space="0"/>
              <w:tl2br w:val="single" w:color="auto" w:sz="4" w:space="0"/>
            </w:tcBorders>
            <w:noWrap/>
            <w:vAlign w:val="center"/>
          </w:tcPr>
          <w:p>
            <w:pPr>
              <w:widowControl/>
              <w:adjustRightInd w:val="0"/>
              <w:snapToGrid w:val="0"/>
              <w:ind w:left="-120" w:leftChars="-50" w:right="-120" w:rightChars="-50"/>
              <w:jc w:val="righ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小时(h)</w:t>
            </w:r>
          </w:p>
          <w:p>
            <w:pPr>
              <w:widowControl/>
              <w:adjustRightInd w:val="0"/>
              <w:snapToGrid w:val="0"/>
              <w:ind w:left="-120" w:leftChars="-50" w:right="-120" w:rightChars="-5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风速(m/s))</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13</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16</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18</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19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20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21</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22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23</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春季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3.78</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3.91</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3.33</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3.13</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2.84</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夏季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2.98</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2.51</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1.90</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秋季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2.55</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2.90</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2.82</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2.85</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2.26</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2.14</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2.06</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36" w:type="pct"/>
            <w:tcBorders>
              <w:top w:val="single" w:color="auto" w:sz="4" w:space="0"/>
              <w:left w:val="single" w:color="auto" w:sz="4" w:space="0"/>
              <w:bottom w:val="single" w:color="auto" w:sz="4" w:space="0"/>
              <w:right w:val="single" w:color="auto" w:sz="4" w:space="0"/>
            </w:tcBorders>
            <w:noWrap/>
            <w:vAlign w:val="center"/>
          </w:tcPr>
          <w:p>
            <w:pPr>
              <w:widowControl/>
              <w:adjustRightInd w:val="0"/>
              <w:snapToGrid w:val="0"/>
              <w:ind w:left="-120" w:leftChars="-50" w:right="-120" w:rightChars="-5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冬季</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2.82</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3.01</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2.74</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2.57</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2.39</w:t>
            </w:r>
          </w:p>
        </w:tc>
        <w:tc>
          <w:tcPr>
            <w:tcW w:w="339"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2.25</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2.07</w:t>
            </w:r>
          </w:p>
        </w:tc>
        <w:tc>
          <w:tcPr>
            <w:tcW w:w="338" w:type="pct"/>
            <w:tcBorders>
              <w:top w:val="single" w:color="auto" w:sz="4" w:space="0"/>
              <w:left w:val="single" w:color="auto" w:sz="4" w:space="0"/>
              <w:bottom w:val="single" w:color="auto" w:sz="4" w:space="0"/>
              <w:right w:val="single" w:color="auto" w:sz="4" w:space="0"/>
            </w:tcBorders>
            <w:noWrap/>
            <w:vAlign w:val="center"/>
          </w:tcPr>
          <w:p>
            <w:pPr>
              <w:widowControl/>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2.05</w:t>
            </w:r>
          </w:p>
        </w:tc>
      </w:tr>
    </w:tbl>
    <w:p>
      <w:pPr>
        <w:pStyle w:val="2"/>
        <w:ind w:left="0" w:leftChars="0" w:firstLine="0" w:firstLineChars="0"/>
        <w:rPr>
          <w:rFonts w:hint="default" w:ascii="Times New Roman" w:hAnsi="Times New Roman" w:eastAsia="宋体" w:cs="Times New Roman"/>
          <w:color w:val="FF0000"/>
          <w:sz w:val="21"/>
          <w:szCs w:val="21"/>
        </w:rPr>
      </w:pPr>
    </w:p>
    <w:p>
      <w:pPr>
        <w:pStyle w:val="2"/>
        <w:ind w:left="0" w:leftChars="0" w:firstLine="0" w:firstLineChars="0"/>
        <w:rPr>
          <w:rFonts w:hint="eastAsia"/>
          <w:color w:val="FF0000"/>
        </w:rPr>
      </w:pPr>
      <w:r>
        <w:rPr>
          <w:rFonts w:hint="eastAsia"/>
          <w:color w:val="FF0000"/>
        </w:rPr>
        <w:drawing>
          <wp:inline distT="0" distB="0" distL="0" distR="0">
            <wp:extent cx="5579745" cy="2154555"/>
            <wp:effectExtent l="0" t="0" r="190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579745" cy="2154555"/>
                    </a:xfrm>
                    <a:prstGeom prst="rect">
                      <a:avLst/>
                    </a:prstGeom>
                    <a:noFill/>
                    <a:ln>
                      <a:noFill/>
                    </a:ln>
                  </pic:spPr>
                </pic:pic>
              </a:graphicData>
            </a:graphic>
          </wp:inline>
        </w:drawing>
      </w:r>
    </w:p>
    <w:p>
      <w:pPr>
        <w:pStyle w:val="44"/>
        <w:bidi w:val="0"/>
      </w:pPr>
      <w:r>
        <w:t>图</w:t>
      </w:r>
      <w:r>
        <w:rPr>
          <w:rFonts w:hint="eastAsia"/>
        </w:rPr>
        <w:t>6.2</w:t>
      </w:r>
      <w:r>
        <w:t>-2  平均风速月变化曲线</w:t>
      </w:r>
    </w:p>
    <w:p>
      <w:pPr>
        <w:pStyle w:val="7"/>
      </w:pPr>
    </w:p>
    <w:p>
      <w:pPr>
        <w:spacing w:line="360" w:lineRule="auto"/>
        <w:jc w:val="center"/>
        <w:rPr>
          <w:color w:val="FF0000"/>
        </w:rPr>
      </w:pPr>
      <w:r>
        <w:rPr>
          <w:color w:val="FF0000"/>
        </w:rPr>
        <w:drawing>
          <wp:inline distT="0" distB="0" distL="0" distR="0">
            <wp:extent cx="5579745" cy="2339340"/>
            <wp:effectExtent l="0" t="0" r="1905"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579745" cy="2339340"/>
                    </a:xfrm>
                    <a:prstGeom prst="rect">
                      <a:avLst/>
                    </a:prstGeom>
                    <a:noFill/>
                    <a:ln>
                      <a:noFill/>
                    </a:ln>
                  </pic:spPr>
                </pic:pic>
              </a:graphicData>
            </a:graphic>
          </wp:inline>
        </w:drawing>
      </w:r>
    </w:p>
    <w:p>
      <w:pPr>
        <w:pStyle w:val="44"/>
        <w:bidi w:val="0"/>
      </w:pPr>
      <w:r>
        <w:t>图</w:t>
      </w:r>
      <w:r>
        <w:rPr>
          <w:rFonts w:hint="eastAsia"/>
        </w:rPr>
        <w:t>6.2</w:t>
      </w:r>
      <w:r>
        <w:t>-3   季小时平均风速的日变化曲线</w:t>
      </w:r>
    </w:p>
    <w:p>
      <w:pPr>
        <w:adjustRightInd w:val="0"/>
        <w:snapToGrid w:val="0"/>
        <w:spacing w:line="360" w:lineRule="auto"/>
        <w:jc w:val="center"/>
        <w:rPr>
          <w:b/>
          <w:color w:val="FF0000"/>
        </w:rPr>
      </w:pPr>
      <w:r>
        <w:rPr>
          <w:b/>
          <w:color w:val="FF0000"/>
        </w:rPr>
        <w:drawing>
          <wp:inline distT="0" distB="0" distL="0" distR="0">
            <wp:extent cx="5069205" cy="722757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069205" cy="7227570"/>
                    </a:xfrm>
                    <a:prstGeom prst="rect">
                      <a:avLst/>
                    </a:prstGeom>
                    <a:noFill/>
                    <a:ln>
                      <a:noFill/>
                    </a:ln>
                  </pic:spPr>
                </pic:pic>
              </a:graphicData>
            </a:graphic>
          </wp:inline>
        </w:drawing>
      </w:r>
    </w:p>
    <w:p>
      <w:pPr>
        <w:pStyle w:val="44"/>
        <w:bidi w:val="0"/>
      </w:pPr>
      <w:r>
        <w:t>图</w:t>
      </w:r>
      <w:r>
        <w:rPr>
          <w:rFonts w:hint="eastAsia"/>
        </w:rPr>
        <w:t>6.2</w:t>
      </w:r>
      <w:r>
        <w:t>-4  20</w:t>
      </w:r>
      <w:r>
        <w:rPr>
          <w:rFonts w:hint="eastAsia"/>
        </w:rPr>
        <w:t>21</w:t>
      </w:r>
      <w:r>
        <w:t>年风速玫瑰图</w:t>
      </w:r>
    </w:p>
    <w:p>
      <w:pPr>
        <w:pStyle w:val="7"/>
        <w:bidi w:val="0"/>
      </w:pPr>
      <w:r>
        <w:t>砚山20</w:t>
      </w:r>
      <w:r>
        <w:rPr>
          <w:rFonts w:hint="eastAsia"/>
        </w:rPr>
        <w:t>21</w:t>
      </w:r>
      <w:r>
        <w:t>年平均风速2.39m/</w:t>
      </w:r>
      <w:r>
        <w:rPr>
          <w:rFonts w:hint="eastAsia"/>
        </w:rPr>
        <w:t>s</w:t>
      </w:r>
      <w:r>
        <w:t>，其中3月平均风速最大、为3.30m/</w:t>
      </w:r>
      <w:r>
        <w:rPr>
          <w:rFonts w:hint="eastAsia"/>
        </w:rPr>
        <w:t>s</w:t>
      </w:r>
      <w:r>
        <w:t>，12月平均风速最小，为1.84m/</w:t>
      </w:r>
      <w:r>
        <w:rPr>
          <w:rFonts w:hint="eastAsia"/>
        </w:rPr>
        <w:t>s</w:t>
      </w:r>
      <w:r>
        <w:t>。2-5月风速较大，在2.5m/</w:t>
      </w:r>
      <w:r>
        <w:rPr>
          <w:rFonts w:hint="eastAsia"/>
        </w:rPr>
        <w:t>s</w:t>
      </w:r>
      <w:r>
        <w:t>以上，风速越大越利于废气扩散。</w:t>
      </w:r>
    </w:p>
    <w:p>
      <w:pPr>
        <w:pStyle w:val="7"/>
        <w:ind w:firstLine="480"/>
        <w:rPr>
          <w:color w:val="auto"/>
          <w:highlight w:val="none"/>
        </w:rPr>
      </w:pPr>
      <w:r>
        <w:rPr>
          <w:color w:val="auto"/>
          <w:highlight w:val="none"/>
        </w:rPr>
        <w:t>（3）气温</w:t>
      </w:r>
    </w:p>
    <w:p>
      <w:pPr>
        <w:pStyle w:val="7"/>
        <w:bidi w:val="0"/>
        <w:rPr>
          <w:highlight w:val="none"/>
        </w:rPr>
      </w:pPr>
      <w:r>
        <w:t>砚山气象站数据，按照16个方位进行地面风速统计，平均气温统计结果见表</w:t>
      </w:r>
      <w:r>
        <w:rPr>
          <w:rFonts w:hint="eastAsia"/>
        </w:rPr>
        <w:t>6.2</w:t>
      </w:r>
      <w:r>
        <w:t>-</w:t>
      </w:r>
      <w:r>
        <w:rPr>
          <w:rFonts w:hint="eastAsia"/>
          <w:lang w:val="en-US" w:eastAsia="zh-CN"/>
        </w:rPr>
        <w:t>9</w:t>
      </w:r>
      <w:r>
        <w:t>，平均气温变化曲线</w:t>
      </w:r>
      <w:r>
        <w:rPr>
          <w:highlight w:val="none"/>
        </w:rPr>
        <w:t>见图</w:t>
      </w:r>
      <w:r>
        <w:rPr>
          <w:rFonts w:hint="eastAsia"/>
          <w:highlight w:val="none"/>
        </w:rPr>
        <w:t>6.2</w:t>
      </w:r>
      <w:r>
        <w:rPr>
          <w:highlight w:val="none"/>
        </w:rPr>
        <w:t>-5。</w:t>
      </w:r>
    </w:p>
    <w:p>
      <w:pPr>
        <w:pStyle w:val="31"/>
        <w:bidi w:val="0"/>
      </w:pPr>
      <w:r>
        <w:t>表</w:t>
      </w:r>
      <w:r>
        <w:rPr>
          <w:rFonts w:hint="eastAsia"/>
        </w:rPr>
        <w:t>6.2</w:t>
      </w:r>
      <w:r>
        <w:t>-9  年、月平均气温统计结果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1176"/>
        <w:gridCol w:w="581"/>
        <w:gridCol w:w="581"/>
        <w:gridCol w:w="581"/>
        <w:gridCol w:w="582"/>
        <w:gridCol w:w="582"/>
        <w:gridCol w:w="582"/>
        <w:gridCol w:w="582"/>
        <w:gridCol w:w="582"/>
        <w:gridCol w:w="582"/>
        <w:gridCol w:w="582"/>
        <w:gridCol w:w="582"/>
        <w:gridCol w:w="582"/>
        <w:gridCol w:w="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285" w:hRule="atLeast"/>
        </w:trPr>
        <w:tc>
          <w:tcPr>
            <w:tcW w:w="671"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月份</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2月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3月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4月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5月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6月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7月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8月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9月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10月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11月</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12月</w:t>
            </w:r>
          </w:p>
        </w:tc>
        <w:tc>
          <w:tcPr>
            <w:tcW w:w="332"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年平均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rHeight w:val="285" w:hRule="atLeast"/>
        </w:trPr>
        <w:tc>
          <w:tcPr>
            <w:tcW w:w="671"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温度(℃)</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7.76</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13.24</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17.23</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19.06</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22.72</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22.21</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21.56</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21.98</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20.87</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16.22</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12.85</w:t>
            </w:r>
          </w:p>
        </w:tc>
        <w:tc>
          <w:tcPr>
            <w:tcW w:w="333"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rPr>
                <w:rFonts w:hint="eastAsia"/>
              </w:rPr>
              <w:t>10.32</w:t>
            </w:r>
          </w:p>
        </w:tc>
        <w:tc>
          <w:tcPr>
            <w:tcW w:w="332" w:type="pct"/>
            <w:tcBorders>
              <w:top w:val="single" w:color="auto" w:sz="4" w:space="0"/>
              <w:left w:val="single" w:color="auto" w:sz="4" w:space="0"/>
              <w:bottom w:val="single" w:color="auto" w:sz="4" w:space="0"/>
              <w:right w:val="single" w:color="auto" w:sz="4" w:space="0"/>
            </w:tcBorders>
            <w:shd w:val="clear" w:color="auto" w:fill="FFFFFF"/>
            <w:noWrap/>
            <w:vAlign w:val="center"/>
          </w:tcPr>
          <w:p>
            <w:pPr>
              <w:pStyle w:val="32"/>
              <w:bidi w:val="0"/>
            </w:pPr>
            <w:r>
              <w:t>17.18</w:t>
            </w:r>
          </w:p>
        </w:tc>
      </w:tr>
    </w:tbl>
    <w:p>
      <w:pPr>
        <w:spacing w:line="360" w:lineRule="auto"/>
        <w:jc w:val="center"/>
        <w:rPr>
          <w:color w:val="FF0000"/>
          <w:kern w:val="0"/>
        </w:rPr>
      </w:pPr>
    </w:p>
    <w:p>
      <w:pPr>
        <w:pStyle w:val="2"/>
      </w:pPr>
    </w:p>
    <w:p>
      <w:pPr>
        <w:spacing w:line="360" w:lineRule="auto"/>
        <w:jc w:val="center"/>
        <w:rPr>
          <w:color w:val="FF0000"/>
          <w:kern w:val="0"/>
        </w:rPr>
      </w:pPr>
      <w:r>
        <w:rPr>
          <w:color w:val="FF0000"/>
        </w:rPr>
        <w:drawing>
          <wp:inline distT="0" distB="0" distL="0" distR="0">
            <wp:extent cx="5579745" cy="2147570"/>
            <wp:effectExtent l="0" t="0" r="1905"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579745" cy="2147570"/>
                    </a:xfrm>
                    <a:prstGeom prst="rect">
                      <a:avLst/>
                    </a:prstGeom>
                    <a:noFill/>
                    <a:ln>
                      <a:noFill/>
                    </a:ln>
                  </pic:spPr>
                </pic:pic>
              </a:graphicData>
            </a:graphic>
          </wp:inline>
        </w:drawing>
      </w:r>
    </w:p>
    <w:p>
      <w:pPr>
        <w:pStyle w:val="44"/>
        <w:bidi w:val="0"/>
      </w:pPr>
      <w:r>
        <w:t>图</w:t>
      </w:r>
      <w:r>
        <w:rPr>
          <w:rFonts w:hint="eastAsia"/>
        </w:rPr>
        <w:t>6.2</w:t>
      </w:r>
      <w:r>
        <w:t>-5  月平均气温变化曲线</w:t>
      </w:r>
    </w:p>
    <w:p>
      <w:pPr>
        <w:pStyle w:val="7"/>
        <w:bidi w:val="0"/>
      </w:pPr>
      <w:r>
        <w:t>砚山20</w:t>
      </w:r>
      <w:r>
        <w:rPr>
          <w:rFonts w:hint="eastAsia"/>
        </w:rPr>
        <w:t>21</w:t>
      </w:r>
      <w:r>
        <w:t>年平均气温为17.18℃，其中5-9月气温较高，在20℃以上，1月平均气温最低，为7.76℃，5月平均气温最高，为22.21℃。</w:t>
      </w:r>
    </w:p>
    <w:p>
      <w:pPr>
        <w:pStyle w:val="9"/>
        <w:bidi w:val="0"/>
      </w:pPr>
      <w:r>
        <w:rPr>
          <w:rFonts w:hint="eastAsia"/>
        </w:rPr>
        <w:t>6.2.1.4 2021年探空气象数据统计</w:t>
      </w:r>
    </w:p>
    <w:p>
      <w:pPr>
        <w:pStyle w:val="7"/>
        <w:bidi w:val="0"/>
        <w:rPr>
          <w:highlight w:val="none"/>
        </w:rPr>
      </w:pPr>
      <w:r>
        <w:t>对高空气象数据进行分析，7:00，19:00及全天温廓线</w:t>
      </w:r>
      <w:r>
        <w:rPr>
          <w:highlight w:val="none"/>
        </w:rPr>
        <w:t>见图</w:t>
      </w:r>
      <w:r>
        <w:rPr>
          <w:rFonts w:hint="eastAsia"/>
          <w:highlight w:val="none"/>
        </w:rPr>
        <w:t>6.2</w:t>
      </w:r>
      <w:r>
        <w:rPr>
          <w:highlight w:val="none"/>
        </w:rPr>
        <w:t>-6、图</w:t>
      </w:r>
      <w:r>
        <w:rPr>
          <w:rFonts w:hint="eastAsia"/>
          <w:highlight w:val="none"/>
        </w:rPr>
        <w:t>6.2</w:t>
      </w:r>
      <w:r>
        <w:rPr>
          <w:highlight w:val="none"/>
        </w:rPr>
        <w:t>-7、图</w:t>
      </w:r>
      <w:r>
        <w:rPr>
          <w:rFonts w:hint="eastAsia"/>
          <w:highlight w:val="none"/>
        </w:rPr>
        <w:t>6.2</w:t>
      </w:r>
      <w:r>
        <w:rPr>
          <w:highlight w:val="none"/>
        </w:rPr>
        <w:t>-8示意。</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cBorders>
          </w:tcPr>
          <w:p>
            <w:pPr>
              <w:widowControl/>
              <w:adjustRightInd w:val="0"/>
              <w:snapToGrid w:val="0"/>
              <w:spacing w:line="360" w:lineRule="auto"/>
              <w:jc w:val="left"/>
              <w:rPr>
                <w:rFonts w:ascii="宋体" w:hAnsi="宋体"/>
                <w:color w:val="FF0000"/>
                <w:kern w:val="0"/>
              </w:rPr>
            </w:pPr>
            <w:r>
              <w:rPr>
                <w:rFonts w:ascii="宋体" w:hAnsi="宋体"/>
                <w:color w:val="FF0000"/>
                <w:kern w:val="0"/>
              </w:rPr>
              <w:drawing>
                <wp:inline distT="0" distB="0" distL="0" distR="0">
                  <wp:extent cx="29210" cy="2921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9210" cy="29210"/>
                          </a:xfrm>
                          <a:prstGeom prst="rect">
                            <a:avLst/>
                          </a:prstGeom>
                          <a:noFill/>
                          <a:ln>
                            <a:noFill/>
                          </a:ln>
                        </pic:spPr>
                      </pic:pic>
                    </a:graphicData>
                  </a:graphic>
                </wp:inline>
              </w:drawing>
            </w:r>
            <w:r>
              <w:rPr>
                <w:rFonts w:ascii="宋体" w:hAnsi="宋体"/>
                <w:color w:val="FF0000"/>
                <w:kern w:val="0"/>
              </w:rPr>
              <w:drawing>
                <wp:inline distT="0" distB="0" distL="0" distR="0">
                  <wp:extent cx="1666240" cy="2491740"/>
                  <wp:effectExtent l="0" t="0" r="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666240" cy="2491740"/>
                          </a:xfrm>
                          <a:prstGeom prst="rect">
                            <a:avLst/>
                          </a:prstGeom>
                          <a:noFill/>
                          <a:ln>
                            <a:noFill/>
                          </a:ln>
                        </pic:spPr>
                      </pic:pic>
                    </a:graphicData>
                  </a:graphic>
                </wp:inline>
              </w:drawing>
            </w:r>
          </w:p>
        </w:tc>
        <w:tc>
          <w:tcPr>
            <w:tcW w:w="2841" w:type="dxa"/>
            <w:tcBorders>
              <w:top w:val="single" w:color="auto" w:sz="4" w:space="0"/>
              <w:left w:val="single" w:color="auto" w:sz="4" w:space="0"/>
              <w:bottom w:val="single" w:color="auto" w:sz="4" w:space="0"/>
              <w:right w:val="single" w:color="auto" w:sz="4" w:space="0"/>
            </w:tcBorders>
          </w:tcPr>
          <w:p>
            <w:pPr>
              <w:widowControl/>
              <w:spacing w:line="360" w:lineRule="auto"/>
              <w:jc w:val="left"/>
              <w:rPr>
                <w:color w:val="FF0000"/>
                <w:kern w:val="0"/>
              </w:rPr>
            </w:pPr>
            <w:r>
              <w:rPr>
                <w:color w:val="FF0000"/>
                <w:kern w:val="0"/>
              </w:rPr>
              <w:drawing>
                <wp:inline distT="0" distB="0" distL="0" distR="0">
                  <wp:extent cx="1666875" cy="2492375"/>
                  <wp:effectExtent l="0" t="0" r="9525" b="317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666875" cy="2492375"/>
                          </a:xfrm>
                          <a:prstGeom prst="rect">
                            <a:avLst/>
                          </a:prstGeom>
                          <a:noFill/>
                          <a:ln>
                            <a:noFill/>
                          </a:ln>
                        </pic:spPr>
                      </pic:pic>
                    </a:graphicData>
                  </a:graphic>
                </wp:inline>
              </w:drawing>
            </w:r>
          </w:p>
        </w:tc>
        <w:tc>
          <w:tcPr>
            <w:tcW w:w="2841" w:type="dxa"/>
            <w:tcBorders>
              <w:top w:val="single" w:color="auto" w:sz="4" w:space="0"/>
              <w:left w:val="single" w:color="auto" w:sz="4" w:space="0"/>
              <w:bottom w:val="single" w:color="auto" w:sz="4" w:space="0"/>
              <w:right w:val="single" w:color="auto" w:sz="4" w:space="0"/>
            </w:tcBorders>
          </w:tcPr>
          <w:p>
            <w:pPr>
              <w:widowControl/>
              <w:spacing w:line="360" w:lineRule="auto"/>
              <w:jc w:val="left"/>
              <w:rPr>
                <w:color w:val="FF0000"/>
                <w:kern w:val="0"/>
              </w:rPr>
            </w:pPr>
            <w:r>
              <w:rPr>
                <w:color w:val="FF0000"/>
                <w:kern w:val="0"/>
              </w:rPr>
              <w:drawing>
                <wp:inline distT="0" distB="0" distL="0" distR="0">
                  <wp:extent cx="1666875" cy="2492375"/>
                  <wp:effectExtent l="0" t="0" r="9525" b="317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666875" cy="24923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Borders>
              <w:top w:val="single" w:color="auto" w:sz="4" w:space="0"/>
              <w:left w:val="single" w:color="auto" w:sz="4" w:space="0"/>
              <w:bottom w:val="single" w:color="auto" w:sz="4" w:space="0"/>
              <w:right w:val="single" w:color="auto" w:sz="4" w:space="0"/>
            </w:tcBorders>
          </w:tcPr>
          <w:p>
            <w:pPr>
              <w:pStyle w:val="44"/>
              <w:bidi w:val="0"/>
            </w:pPr>
            <w:r>
              <w:t>图</w:t>
            </w:r>
            <w:r>
              <w:rPr>
                <w:rFonts w:hint="eastAsia"/>
              </w:rPr>
              <w:t>6.2</w:t>
            </w:r>
            <w:r>
              <w:t>-6 温廓线（7:00）</w:t>
            </w:r>
          </w:p>
        </w:tc>
        <w:tc>
          <w:tcPr>
            <w:tcW w:w="2841" w:type="dxa"/>
            <w:tcBorders>
              <w:top w:val="single" w:color="auto" w:sz="4" w:space="0"/>
              <w:left w:val="single" w:color="auto" w:sz="4" w:space="0"/>
              <w:bottom w:val="single" w:color="auto" w:sz="4" w:space="0"/>
              <w:right w:val="single" w:color="auto" w:sz="4" w:space="0"/>
            </w:tcBorders>
          </w:tcPr>
          <w:p>
            <w:pPr>
              <w:pStyle w:val="44"/>
              <w:bidi w:val="0"/>
            </w:pPr>
            <w:r>
              <w:t>图</w:t>
            </w:r>
            <w:r>
              <w:rPr>
                <w:rFonts w:hint="eastAsia"/>
              </w:rPr>
              <w:t>6.2</w:t>
            </w:r>
            <w:r>
              <w:t>-7温廓线（19:00）</w:t>
            </w:r>
          </w:p>
        </w:tc>
        <w:tc>
          <w:tcPr>
            <w:tcW w:w="2841" w:type="dxa"/>
            <w:tcBorders>
              <w:top w:val="single" w:color="auto" w:sz="4" w:space="0"/>
              <w:left w:val="single" w:color="auto" w:sz="4" w:space="0"/>
              <w:bottom w:val="single" w:color="auto" w:sz="4" w:space="0"/>
              <w:right w:val="single" w:color="auto" w:sz="4" w:space="0"/>
            </w:tcBorders>
          </w:tcPr>
          <w:p>
            <w:pPr>
              <w:pStyle w:val="44"/>
              <w:bidi w:val="0"/>
            </w:pPr>
            <w:r>
              <w:t>图</w:t>
            </w:r>
            <w:r>
              <w:rPr>
                <w:rFonts w:hint="eastAsia"/>
              </w:rPr>
              <w:t>6.2-</w:t>
            </w:r>
            <w:r>
              <w:t>8温廓线（全天）</w:t>
            </w:r>
          </w:p>
        </w:tc>
      </w:tr>
    </w:tbl>
    <w:p>
      <w:pPr>
        <w:pStyle w:val="8"/>
        <w:rPr>
          <w:color w:val="auto"/>
        </w:rPr>
      </w:pPr>
      <w:r>
        <w:rPr>
          <w:rFonts w:hint="eastAsia"/>
          <w:color w:val="auto"/>
        </w:rPr>
        <w:t>6.2.2预测参数及预测评价</w:t>
      </w:r>
    </w:p>
    <w:p>
      <w:pPr>
        <w:pStyle w:val="9"/>
        <w:rPr>
          <w:color w:val="auto"/>
        </w:rPr>
      </w:pPr>
      <w:r>
        <w:rPr>
          <w:rFonts w:hint="eastAsia"/>
          <w:color w:val="auto"/>
        </w:rPr>
        <w:t>6.2.2.1预测模型</w:t>
      </w:r>
    </w:p>
    <w:p>
      <w:pPr>
        <w:spacing w:line="360" w:lineRule="auto"/>
        <w:ind w:firstLine="480" w:firstLineChars="200"/>
        <w:rPr>
          <w:color w:val="auto"/>
        </w:rPr>
      </w:pPr>
      <w:r>
        <w:rPr>
          <w:color w:val="auto"/>
        </w:rPr>
        <w:t>根据工程分析结果，本项目主要污染源为点源、面源，均为连续排放源，根据《环境影响评价技术导则》（HJ2.2-2018）推荐的估算模式AERSCREEN估算结果可知，本项目评价范围为</w:t>
      </w:r>
      <w:r>
        <w:rPr>
          <w:bCs/>
          <w:color w:val="auto"/>
        </w:rPr>
        <w:t>边长5.0km的矩形区域</w:t>
      </w:r>
      <w:r>
        <w:rPr>
          <w:color w:val="auto"/>
        </w:rPr>
        <w:t>，属局地尺度（≤50km），</w:t>
      </w:r>
      <w:r>
        <w:rPr>
          <w:rFonts w:hint="eastAsia"/>
          <w:color w:val="auto"/>
        </w:rPr>
        <w:t>砚山县</w:t>
      </w:r>
      <w:r>
        <w:rPr>
          <w:color w:val="auto"/>
        </w:rPr>
        <w:t>多年静风频率4.7%＜9.35%，</w:t>
      </w:r>
      <w:r>
        <w:rPr>
          <w:rFonts w:hint="eastAsia"/>
          <w:color w:val="auto"/>
        </w:rPr>
        <w:t>2</w:t>
      </w:r>
      <w:r>
        <w:rPr>
          <w:color w:val="auto"/>
        </w:rPr>
        <w:t>021</w:t>
      </w:r>
      <w:r>
        <w:rPr>
          <w:rFonts w:hint="eastAsia"/>
          <w:color w:val="auto"/>
        </w:rPr>
        <w:t>年</w:t>
      </w:r>
      <w:r>
        <w:rPr>
          <w:color w:val="auto"/>
        </w:rPr>
        <w:t>风速＜0.5m/s的最大持续时间为12h，根据《环境影响评价技术导则》（HJ2.2-2018）表A.1推荐模型实用情况表，本项目进一步预测选取模型为AERMOD。</w:t>
      </w:r>
    </w:p>
    <w:p>
      <w:pPr>
        <w:spacing w:line="360" w:lineRule="auto"/>
        <w:ind w:firstLine="480" w:firstLineChars="200"/>
        <w:rPr>
          <w:color w:val="auto"/>
        </w:rPr>
      </w:pPr>
      <w:r>
        <w:rPr>
          <w:color w:val="auto"/>
        </w:rPr>
        <w:t>预测软件为由六五软件工作室开发制作并拥有全部版权的EIAProA2018。EIAProA2018以2018版中国大气环境影响评价导则和2018版风险评价导则的技术要求和推荐模型为编制依据，采用AERSCREEN/AERMOD/SLAB/AFTOX为模型内核，功能全面深入、符合新导则要求。</w:t>
      </w:r>
    </w:p>
    <w:p>
      <w:pPr>
        <w:spacing w:line="360" w:lineRule="auto"/>
        <w:ind w:firstLine="480" w:firstLineChars="200"/>
        <w:rPr>
          <w:color w:val="auto"/>
        </w:rPr>
      </w:pPr>
      <w:r>
        <w:rPr>
          <w:color w:val="auto"/>
        </w:rPr>
        <w:t>预测软件版本号：2.7.527。预测评价基准年为2021年。</w:t>
      </w:r>
    </w:p>
    <w:p>
      <w:pPr>
        <w:pStyle w:val="9"/>
        <w:rPr>
          <w:color w:val="auto"/>
        </w:rPr>
      </w:pPr>
      <w:r>
        <w:rPr>
          <w:rFonts w:hint="eastAsia"/>
          <w:color w:val="auto"/>
        </w:rPr>
        <w:t>6.2.2.2预测因子</w:t>
      </w:r>
    </w:p>
    <w:p>
      <w:pPr>
        <w:pStyle w:val="7"/>
        <w:ind w:firstLine="480"/>
        <w:rPr>
          <w:color w:val="auto"/>
        </w:rPr>
      </w:pPr>
      <w:r>
        <w:rPr>
          <w:rFonts w:hint="eastAsia"/>
          <w:color w:val="auto"/>
        </w:rPr>
        <w:t>根据工程分析，确定正常排放情况下的空气环境影响评价预测的污染因子为SO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、TSP、PM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、氟化物、HCl、氯气。非正常排放预测因子为：TSP、氟化物、HCl、氯气。</w:t>
      </w:r>
    </w:p>
    <w:p>
      <w:pPr>
        <w:pStyle w:val="9"/>
        <w:rPr>
          <w:color w:val="auto"/>
        </w:rPr>
      </w:pPr>
      <w:r>
        <w:rPr>
          <w:rFonts w:hint="eastAsia"/>
          <w:color w:val="auto"/>
        </w:rPr>
        <w:t>6.2.2.3预测范围</w:t>
      </w:r>
    </w:p>
    <w:p>
      <w:pPr>
        <w:pStyle w:val="7"/>
        <w:ind w:firstLine="480"/>
        <w:rPr>
          <w:color w:val="auto"/>
        </w:rPr>
      </w:pPr>
      <w:r>
        <w:rPr>
          <w:rFonts w:hint="eastAsia"/>
          <w:color w:val="auto"/>
        </w:rPr>
        <w:t>按照《环境影响评价技术导则》（HJ2.2-2018）要求：</w:t>
      </w:r>
      <w:r>
        <w:rPr>
          <w:color w:val="auto"/>
        </w:rPr>
        <w:t>预测范围应覆盖评价范围，</w:t>
      </w:r>
      <w:r>
        <w:rPr>
          <w:rFonts w:hint="eastAsia"/>
          <w:color w:val="auto"/>
        </w:rPr>
        <w:t>并且覆盖短期浓度贡献值占标率大于1</w:t>
      </w:r>
      <w:r>
        <w:rPr>
          <w:color w:val="auto"/>
        </w:rPr>
        <w:t>0</w:t>
      </w:r>
      <w:r>
        <w:rPr>
          <w:rFonts w:hint="eastAsia"/>
          <w:color w:val="auto"/>
        </w:rPr>
        <w:t>%的区域，所以本项目预测范围为X方向为5km，Y方向为5km的矩形范围，共计25km</w:t>
      </w:r>
      <w:r>
        <w:rPr>
          <w:rFonts w:hint="eastAsia"/>
          <w:color w:val="auto"/>
          <w:vertAlign w:val="superscript"/>
        </w:rPr>
        <w:t>2</w:t>
      </w:r>
      <w:r>
        <w:rPr>
          <w:rFonts w:hint="eastAsia"/>
          <w:color w:val="auto"/>
        </w:rPr>
        <w:t>，以厂址中心为原点（0，0），原点经纬度坐标为：东经1</w:t>
      </w:r>
      <w:r>
        <w:rPr>
          <w:color w:val="auto"/>
        </w:rPr>
        <w:t>04.36619</w:t>
      </w:r>
      <w:r>
        <w:rPr>
          <w:rFonts w:hint="eastAsia"/>
          <w:color w:val="auto"/>
        </w:rPr>
        <w:t>度，北纬2</w:t>
      </w:r>
      <w:r>
        <w:rPr>
          <w:color w:val="auto"/>
        </w:rPr>
        <w:t>3.67276</w:t>
      </w:r>
      <w:r>
        <w:rPr>
          <w:rFonts w:hint="eastAsia"/>
          <w:color w:val="auto"/>
        </w:rPr>
        <w:t>度。</w:t>
      </w:r>
    </w:p>
    <w:p>
      <w:pPr>
        <w:pStyle w:val="9"/>
        <w:rPr>
          <w:color w:val="auto"/>
        </w:rPr>
      </w:pPr>
      <w:r>
        <w:rPr>
          <w:rFonts w:hint="eastAsia"/>
          <w:color w:val="auto"/>
        </w:rPr>
        <w:t>6.2.2.4预测评价标准</w:t>
      </w:r>
    </w:p>
    <w:p>
      <w:pPr>
        <w:pStyle w:val="7"/>
        <w:ind w:firstLine="480"/>
        <w:rPr>
          <w:color w:val="auto"/>
        </w:rPr>
      </w:pPr>
      <w:r>
        <w:rPr>
          <w:rFonts w:hint="eastAsia"/>
          <w:color w:val="auto"/>
        </w:rPr>
        <w:t>项目所处区域主要为二类功能区，一类区域为砚山浴仙湖风景名胜区听湖片区（听湖水库），SO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、TSP、PM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、氟化物执行《环境空气质量标准》（GB3095-2012）相应标准限值，HCl、C</w:t>
      </w:r>
      <w:r>
        <w:rPr>
          <w:color w:val="auto"/>
        </w:rPr>
        <w:t>l</w:t>
      </w:r>
      <w:r>
        <w:rPr>
          <w:color w:val="auto"/>
          <w:vertAlign w:val="subscript"/>
        </w:rPr>
        <w:t>2</w:t>
      </w:r>
      <w:r>
        <w:rPr>
          <w:rFonts w:hint="eastAsia"/>
          <w:color w:val="auto"/>
        </w:rPr>
        <w:t>执行《环境影响评价技术导则 大气环境》（HJ2.2-2018）中附录D，</w:t>
      </w:r>
      <w:r>
        <w:rPr>
          <w:color w:val="auto"/>
        </w:rPr>
        <w:t>标准值详见评价标准章节。</w:t>
      </w:r>
    </w:p>
    <w:p>
      <w:pPr>
        <w:pStyle w:val="9"/>
        <w:rPr>
          <w:color w:val="auto"/>
        </w:rPr>
      </w:pPr>
      <w:r>
        <w:rPr>
          <w:rFonts w:hint="eastAsia"/>
          <w:color w:val="auto"/>
        </w:rPr>
        <w:t>6.2.2.5预测背景浓度</w:t>
      </w:r>
    </w:p>
    <w:p>
      <w:pPr>
        <w:pStyle w:val="7"/>
        <w:ind w:firstLine="480"/>
        <w:rPr>
          <w:color w:val="auto"/>
        </w:rPr>
      </w:pPr>
      <w:r>
        <w:rPr>
          <w:rFonts w:hint="eastAsia"/>
          <w:color w:val="auto"/>
        </w:rPr>
        <w:t>（1）数据来源</w:t>
      </w:r>
    </w:p>
    <w:p>
      <w:pPr>
        <w:pStyle w:val="7"/>
        <w:ind w:firstLine="480"/>
        <w:rPr>
          <w:rFonts w:hint="eastAsia"/>
          <w:color w:val="auto"/>
        </w:rPr>
      </w:pPr>
      <w:r>
        <w:rPr>
          <w:rFonts w:hint="eastAsia"/>
          <w:color w:val="auto"/>
        </w:rPr>
        <w:t>按照《环境影响评价技术导则》（HJ2.2-2018）6.2数据来源的相关的要求：SO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采用砚山县空气自动监测站（砚山县民族中学）站点2021年全年数据。</w:t>
      </w:r>
    </w:p>
    <w:p>
      <w:pPr>
        <w:pStyle w:val="7"/>
        <w:ind w:firstLine="480"/>
        <w:rPr>
          <w:color w:val="auto"/>
        </w:rPr>
      </w:pPr>
      <w:r>
        <w:rPr>
          <w:rFonts w:hint="eastAsia"/>
          <w:color w:val="auto"/>
        </w:rPr>
        <w:t>其他污染物背景浓度采用补充监测数据，</w:t>
      </w:r>
      <w:r>
        <w:rPr>
          <w:color w:val="auto"/>
        </w:rPr>
        <w:t>监测数据详见“环境空气质量现状评价章节”。</w:t>
      </w:r>
    </w:p>
    <w:p>
      <w:pPr>
        <w:pStyle w:val="7"/>
        <w:ind w:firstLine="480"/>
        <w:rPr>
          <w:color w:val="auto"/>
        </w:rPr>
      </w:pPr>
      <w:r>
        <w:rPr>
          <w:color w:val="auto"/>
        </w:rPr>
        <w:t>（2）预测现状浓度数据选取</w:t>
      </w:r>
    </w:p>
    <w:p>
      <w:pPr>
        <w:pStyle w:val="7"/>
        <w:ind w:firstLine="480"/>
        <w:rPr>
          <w:color w:val="auto"/>
        </w:rPr>
      </w:pPr>
      <w:r>
        <w:rPr>
          <w:color w:val="auto"/>
        </w:rPr>
        <w:t>按照《环境影响评价技术导则》（HJ2.2-2018）6.4.3要求：①对采用多个长期监测点位数据进行现状评价的，取各污染物相同时刻各监测点位的浓度平均值，作为评价范围内环境空气保护目标及网格点环境质量现状浓度；②对采用补充监测数据进行现状评价的，取各污染物不同评价时段监测浓度的最大值，作为评价范围内环境空气保护目标及网格点环境质量现状浓度。</w:t>
      </w:r>
    </w:p>
    <w:p>
      <w:pPr>
        <w:pStyle w:val="7"/>
        <w:ind w:firstLine="480"/>
        <w:rPr>
          <w:color w:val="auto"/>
        </w:rPr>
      </w:pPr>
      <w:r>
        <w:rPr>
          <w:color w:val="auto"/>
        </w:rPr>
        <w:t>补充监测小于检出限的因子，按照《环境空气质量监测规范》（试行）要求，按检出限1/2计。</w:t>
      </w:r>
    </w:p>
    <w:p>
      <w:pPr>
        <w:pStyle w:val="9"/>
        <w:rPr>
          <w:color w:val="auto"/>
        </w:rPr>
      </w:pPr>
      <w:r>
        <w:rPr>
          <w:rFonts w:hint="eastAsia"/>
          <w:color w:val="auto"/>
        </w:rPr>
        <w:t>6.2.2.6污染源参数</w:t>
      </w:r>
    </w:p>
    <w:p>
      <w:pPr>
        <w:pStyle w:val="7"/>
        <w:ind w:firstLine="480"/>
        <w:rPr>
          <w:color w:val="auto"/>
        </w:rPr>
      </w:pPr>
      <w:r>
        <w:rPr>
          <w:rFonts w:hint="eastAsia"/>
          <w:color w:val="auto"/>
        </w:rPr>
        <w:t>（1）本项目污染源强</w:t>
      </w:r>
    </w:p>
    <w:p>
      <w:pPr>
        <w:pStyle w:val="7"/>
        <w:ind w:firstLine="480"/>
        <w:rPr>
          <w:color w:val="auto"/>
        </w:rPr>
      </w:pPr>
      <w:r>
        <w:rPr>
          <w:rFonts w:hint="eastAsia"/>
          <w:color w:val="auto"/>
        </w:rPr>
        <w:t>本项目正常排放源强参数见表6.2</w:t>
      </w:r>
      <w:r>
        <w:rPr>
          <w:rFonts w:hint="eastAsia"/>
          <w:color w:val="auto"/>
          <w:lang w:val="en-US" w:eastAsia="zh-CN"/>
        </w:rPr>
        <w:t>-10</w:t>
      </w:r>
      <w:r>
        <w:rPr>
          <w:rFonts w:hint="eastAsia"/>
          <w:color w:val="auto"/>
        </w:rPr>
        <w:t>、表6.2</w:t>
      </w:r>
      <w:r>
        <w:rPr>
          <w:rFonts w:hint="eastAsia"/>
          <w:color w:val="auto"/>
          <w:lang w:val="en-US" w:eastAsia="zh-CN"/>
        </w:rPr>
        <w:t>-11</w:t>
      </w:r>
      <w:r>
        <w:rPr>
          <w:rFonts w:hint="eastAsia"/>
          <w:color w:val="auto"/>
        </w:rPr>
        <w:t>。</w:t>
      </w:r>
    </w:p>
    <w:p>
      <w:pPr>
        <w:pStyle w:val="7"/>
        <w:ind w:firstLine="480"/>
        <w:rPr>
          <w:color w:val="auto"/>
        </w:rPr>
      </w:pPr>
      <w:r>
        <w:rPr>
          <w:rFonts w:hint="eastAsia"/>
          <w:color w:val="auto"/>
        </w:rPr>
        <w:t>本项目非正常排放源强参数见表6.2</w:t>
      </w:r>
      <w:r>
        <w:rPr>
          <w:rFonts w:hint="eastAsia"/>
          <w:color w:val="auto"/>
          <w:lang w:val="en-US" w:eastAsia="zh-CN"/>
        </w:rPr>
        <w:t>-12</w:t>
      </w:r>
      <w:r>
        <w:rPr>
          <w:rFonts w:hint="eastAsia"/>
          <w:color w:val="auto"/>
        </w:rPr>
        <w:t>。</w:t>
      </w:r>
    </w:p>
    <w:p>
      <w:pPr>
        <w:pStyle w:val="7"/>
        <w:ind w:firstLine="480"/>
        <w:rPr>
          <w:color w:val="auto"/>
        </w:rPr>
      </w:pPr>
      <w:r>
        <w:rPr>
          <w:rFonts w:hint="eastAsia"/>
          <w:color w:val="auto"/>
        </w:rPr>
        <w:t>（2）拟建、在建项目污染源强</w:t>
      </w:r>
    </w:p>
    <w:p>
      <w:pPr>
        <w:spacing w:line="360" w:lineRule="auto"/>
        <w:ind w:firstLine="480" w:firstLineChars="200"/>
        <w:rPr>
          <w:color w:val="auto"/>
        </w:rPr>
      </w:pPr>
      <w:r>
        <w:rPr>
          <w:rFonts w:hint="eastAsia"/>
          <w:color w:val="auto"/>
        </w:rPr>
        <w:t>在本项目影响范围内，与本项目排放同类污染物的在建项目有“云南宏泰新型材料有限公司年产203万吨电解铝建设项目”，</w:t>
      </w:r>
      <w:r>
        <w:rPr>
          <w:color w:val="auto"/>
        </w:rPr>
        <w:t>以及</w:t>
      </w:r>
      <w:r>
        <w:rPr>
          <w:rFonts w:hint="eastAsia"/>
          <w:color w:val="auto"/>
        </w:rPr>
        <w:t>在</w:t>
      </w:r>
      <w:r>
        <w:rPr>
          <w:color w:val="auto"/>
        </w:rPr>
        <w:t>建的</w:t>
      </w:r>
      <w:r>
        <w:rPr>
          <w:rFonts w:hint="eastAsia"/>
          <w:color w:val="auto"/>
        </w:rPr>
        <w:t>“</w:t>
      </w:r>
      <w:r>
        <w:rPr>
          <w:color w:val="auto"/>
        </w:rPr>
        <w:t>云南创新合金有限公司年产120万吨轻质高强铝合金材料项目</w:t>
      </w:r>
      <w:r>
        <w:rPr>
          <w:rFonts w:hint="eastAsia"/>
          <w:color w:val="auto"/>
        </w:rPr>
        <w:t>”，在进行叠加影响分析时，考虑了该项目的环境影响，拟建、在建污染物源强见表6.2</w:t>
      </w:r>
      <w:r>
        <w:rPr>
          <w:rFonts w:hint="eastAsia"/>
          <w:color w:val="auto"/>
          <w:lang w:val="en-US" w:eastAsia="zh-CN"/>
        </w:rPr>
        <w:t>-13~</w:t>
      </w:r>
      <w:r>
        <w:rPr>
          <w:rFonts w:hint="eastAsia"/>
          <w:color w:val="auto"/>
        </w:rPr>
        <w:t>6.2</w:t>
      </w:r>
      <w:r>
        <w:rPr>
          <w:rFonts w:hint="eastAsia"/>
          <w:color w:val="auto"/>
          <w:lang w:val="en-US" w:eastAsia="zh-CN"/>
        </w:rPr>
        <w:t>-16</w:t>
      </w:r>
      <w:r>
        <w:rPr>
          <w:rFonts w:hint="eastAsia"/>
          <w:color w:val="auto"/>
        </w:rPr>
        <w:t>。</w:t>
      </w:r>
    </w:p>
    <w:p>
      <w:pPr>
        <w:spacing w:line="360" w:lineRule="auto"/>
        <w:ind w:firstLine="480" w:firstLineChars="200"/>
        <w:rPr>
          <w:color w:val="FF0000"/>
        </w:rPr>
      </w:pPr>
    </w:p>
    <w:p>
      <w:pPr>
        <w:spacing w:line="360" w:lineRule="auto"/>
        <w:rPr>
          <w:color w:val="FF0000"/>
        </w:rPr>
        <w:sectPr>
          <w:footerReference r:id="rId13" w:type="default"/>
          <w:pgSz w:w="11906" w:h="16838"/>
          <w:pgMar w:top="1418" w:right="1418" w:bottom="1418" w:left="1701" w:header="851" w:footer="851" w:gutter="0"/>
          <w:cols w:space="720" w:num="1"/>
        </w:sectPr>
      </w:pPr>
    </w:p>
    <w:p>
      <w:pPr>
        <w:pStyle w:val="31"/>
        <w:rPr>
          <w:color w:val="auto"/>
        </w:rPr>
      </w:pPr>
      <w:bookmarkStart w:id="129" w:name="_Hlk43974472"/>
      <w:r>
        <w:rPr>
          <w:rFonts w:hint="eastAsia"/>
          <w:color w:val="auto"/>
        </w:rPr>
        <w:t>表6.2</w:t>
      </w:r>
      <w:r>
        <w:rPr>
          <w:rFonts w:hint="eastAsia"/>
          <w:color w:val="auto"/>
          <w:lang w:val="en-US" w:eastAsia="zh-CN"/>
        </w:rPr>
        <w:t>-10</w:t>
      </w:r>
      <w:r>
        <w:rPr>
          <w:color w:val="auto"/>
        </w:rPr>
        <w:t xml:space="preserve">  </w:t>
      </w:r>
      <w:r>
        <w:rPr>
          <w:rFonts w:hint="eastAsia"/>
          <w:color w:val="auto"/>
        </w:rPr>
        <w:t>本项目正常排放点源参数</w:t>
      </w:r>
    </w:p>
    <w:tbl>
      <w:tblPr>
        <w:tblStyle w:val="27"/>
        <w:tblW w:w="496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449"/>
        <w:gridCol w:w="2912"/>
        <w:gridCol w:w="677"/>
        <w:gridCol w:w="711"/>
        <w:gridCol w:w="691"/>
        <w:gridCol w:w="691"/>
        <w:gridCol w:w="697"/>
        <w:gridCol w:w="699"/>
        <w:gridCol w:w="691"/>
        <w:gridCol w:w="697"/>
        <w:gridCol w:w="702"/>
        <w:gridCol w:w="702"/>
        <w:gridCol w:w="702"/>
        <w:gridCol w:w="713"/>
        <w:gridCol w:w="716"/>
        <w:gridCol w:w="716"/>
        <w:gridCol w:w="76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8" w:hRule="atLeast"/>
        </w:trPr>
        <w:tc>
          <w:tcPr>
            <w:tcW w:w="161"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编号</w:t>
            </w:r>
          </w:p>
        </w:tc>
        <w:tc>
          <w:tcPr>
            <w:tcW w:w="1045"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名称</w:t>
            </w:r>
          </w:p>
        </w:tc>
        <w:tc>
          <w:tcPr>
            <w:tcW w:w="498" w:type="pct"/>
            <w:gridSpan w:val="2"/>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排气筒底部中心坐标（m）</w:t>
            </w:r>
          </w:p>
        </w:tc>
        <w:tc>
          <w:tcPr>
            <w:tcW w:w="248"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排气筒底部海拔高度/m</w:t>
            </w:r>
          </w:p>
        </w:tc>
        <w:tc>
          <w:tcPr>
            <w:tcW w:w="248"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排气筒高度/m</w:t>
            </w:r>
          </w:p>
        </w:tc>
        <w:tc>
          <w:tcPr>
            <w:tcW w:w="250"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排气筒出口内径/m</w:t>
            </w:r>
          </w:p>
        </w:tc>
        <w:tc>
          <w:tcPr>
            <w:tcW w:w="251"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烟气流速/（m/s）</w:t>
            </w:r>
          </w:p>
        </w:tc>
        <w:tc>
          <w:tcPr>
            <w:tcW w:w="248"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烟气温度/℃</w:t>
            </w:r>
          </w:p>
        </w:tc>
        <w:tc>
          <w:tcPr>
            <w:tcW w:w="2051" w:type="pct"/>
            <w:gridSpan w:val="8"/>
            <w:tcBorders>
              <w:right w:val="single" w:color="auto" w:sz="4" w:space="0"/>
              <w:tl2br w:val="nil"/>
              <w:tr2bl w:val="nil"/>
            </w:tcBorders>
            <w:shd w:val="clear" w:color="000000" w:fill="FFFFFF"/>
            <w:vAlign w:val="center"/>
          </w:tcPr>
          <w:p>
            <w:pPr>
              <w:adjustRightInd w:val="0"/>
              <w:snapToGrid w:val="0"/>
              <w:jc w:val="center"/>
              <w:rPr>
                <w:color w:val="auto"/>
                <w:sz w:val="18"/>
                <w:szCs w:val="18"/>
              </w:rPr>
            </w:pPr>
            <w:r>
              <w:rPr>
                <w:color w:val="auto"/>
                <w:kern w:val="0"/>
                <w:sz w:val="18"/>
                <w:szCs w:val="18"/>
                <w:lang w:bidi="ar"/>
              </w:rPr>
              <w:t>污染物排放速率/(kg/h)</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1045"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43"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i/>
                <w:color w:val="auto"/>
                <w:sz w:val="18"/>
                <w:szCs w:val="18"/>
              </w:rPr>
            </w:pPr>
            <w:r>
              <w:rPr>
                <w:i/>
                <w:color w:val="auto"/>
                <w:kern w:val="0"/>
                <w:sz w:val="18"/>
                <w:szCs w:val="18"/>
                <w:lang w:bidi="ar"/>
              </w:rPr>
              <w:t>X</w:t>
            </w:r>
          </w:p>
        </w:tc>
        <w:tc>
          <w:tcPr>
            <w:tcW w:w="255"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i/>
                <w:color w:val="auto"/>
                <w:sz w:val="18"/>
                <w:szCs w:val="18"/>
              </w:rPr>
            </w:pPr>
            <w:r>
              <w:rPr>
                <w:i/>
                <w:color w:val="auto"/>
                <w:kern w:val="0"/>
                <w:sz w:val="18"/>
                <w:szCs w:val="18"/>
                <w:lang w:bidi="ar"/>
              </w:rPr>
              <w:t>Y</w:t>
            </w:r>
          </w:p>
        </w:tc>
        <w:tc>
          <w:tcPr>
            <w:tcW w:w="248"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kern w:val="0"/>
                <w:sz w:val="18"/>
                <w:szCs w:val="18"/>
                <w:lang w:bidi="ar"/>
              </w:rPr>
            </w:pPr>
          </w:p>
        </w:tc>
        <w:tc>
          <w:tcPr>
            <w:tcW w:w="248"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50"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51"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48"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50"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TSP</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PM</w:t>
            </w:r>
            <w:r>
              <w:rPr>
                <w:color w:val="auto"/>
                <w:kern w:val="0"/>
                <w:sz w:val="18"/>
                <w:szCs w:val="18"/>
                <w:vertAlign w:val="subscript"/>
                <w:lang w:bidi="ar"/>
              </w:rPr>
              <w:t>10</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PM</w:t>
            </w:r>
            <w:r>
              <w:rPr>
                <w:color w:val="auto"/>
                <w:kern w:val="0"/>
                <w:sz w:val="18"/>
                <w:szCs w:val="18"/>
                <w:vertAlign w:val="subscript"/>
                <w:lang w:bidi="ar"/>
              </w:rPr>
              <w:t>2.5</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SO</w:t>
            </w:r>
            <w:r>
              <w:rPr>
                <w:color w:val="auto"/>
                <w:kern w:val="0"/>
                <w:sz w:val="18"/>
                <w:szCs w:val="18"/>
                <w:vertAlign w:val="subscript"/>
                <w:lang w:bidi="ar"/>
              </w:rPr>
              <w:t>2</w:t>
            </w:r>
          </w:p>
        </w:tc>
        <w:tc>
          <w:tcPr>
            <w:tcW w:w="256" w:type="pct"/>
            <w:tcBorders>
              <w:right w:val="single" w:color="auto" w:sz="4" w:space="0"/>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NO</w:t>
            </w:r>
            <w:r>
              <w:rPr>
                <w:color w:val="auto"/>
                <w:kern w:val="0"/>
                <w:sz w:val="18"/>
                <w:szCs w:val="18"/>
                <w:vertAlign w:val="subscript"/>
                <w:lang w:bidi="ar"/>
              </w:rPr>
              <w:t>x</w:t>
            </w:r>
          </w:p>
        </w:tc>
        <w:tc>
          <w:tcPr>
            <w:tcW w:w="257" w:type="pct"/>
            <w:tcBorders>
              <w:left w:val="single" w:color="auto" w:sz="4" w:space="0"/>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F</w:t>
            </w:r>
          </w:p>
        </w:tc>
        <w:tc>
          <w:tcPr>
            <w:tcW w:w="257" w:type="pct"/>
            <w:tcBorders>
              <w:left w:val="single" w:color="auto" w:sz="4" w:space="0"/>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HCl</w:t>
            </w:r>
          </w:p>
        </w:tc>
        <w:tc>
          <w:tcPr>
            <w:tcW w:w="275" w:type="pct"/>
            <w:tcBorders>
              <w:left w:val="single" w:color="auto" w:sz="4" w:space="0"/>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CL</w:t>
            </w:r>
            <w:r>
              <w:rPr>
                <w:color w:val="auto"/>
                <w:kern w:val="0"/>
                <w:sz w:val="18"/>
                <w:szCs w:val="18"/>
                <w:vertAlign w:val="subscript"/>
                <w:lang w:bidi="ar"/>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P1</w:t>
            </w:r>
            <w:r>
              <w:rPr>
                <w:rFonts w:hint="eastAsia"/>
                <w:color w:val="auto"/>
                <w:kern w:val="0"/>
                <w:sz w:val="18"/>
                <w:szCs w:val="18"/>
                <w:lang w:bidi="ar"/>
              </w:rPr>
              <w:t>-1</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一期工程生产</w:t>
            </w:r>
            <w:r>
              <w:rPr>
                <w:color w:val="auto"/>
                <w:kern w:val="0"/>
                <w:sz w:val="18"/>
                <w:szCs w:val="18"/>
                <w:lang w:bidi="ar"/>
              </w:rPr>
              <w:t>车间熔保炉系统排气筒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-52</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-121</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30</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2.0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16.75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12</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12</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4.8</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1.28</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5.08</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0.0042</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0.21</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0.12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1-</w:t>
            </w:r>
            <w:r>
              <w:rPr>
                <w:color w:val="auto"/>
                <w:kern w:val="0"/>
                <w:sz w:val="18"/>
                <w:szCs w:val="18"/>
                <w:lang w:bidi="ar"/>
              </w:rPr>
              <w:t>2</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一期工程铝灰分离系统排气筒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-134</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-64</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20</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1.6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1.51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0.21</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0.21</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w:t>
            </w:r>
            <w:r>
              <w:rPr>
                <w:color w:val="auto"/>
                <w:sz w:val="18"/>
                <w:szCs w:val="18"/>
              </w:rPr>
              <w:t>84</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1-</w:t>
            </w:r>
            <w:r>
              <w:rPr>
                <w:color w:val="auto"/>
                <w:kern w:val="0"/>
                <w:sz w:val="18"/>
                <w:szCs w:val="18"/>
                <w:lang w:bidi="ar"/>
              </w:rPr>
              <w:t>3</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一期工程圆铸锭批次式均质炉排气筒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-89</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61</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0.9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3.88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0.14</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sz w:val="18"/>
                <w:szCs w:val="18"/>
              </w:rPr>
              <w:t>0.14</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0.056</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0.23</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0.9</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P1-4</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sz w:val="18"/>
                <w:szCs w:val="18"/>
              </w:rPr>
              <w:t>一期工程圆铸锭连续式均质炉排气筒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-23</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42</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0.9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1.94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0.068</w:t>
            </w:r>
          </w:p>
        </w:tc>
        <w:tc>
          <w:tcPr>
            <w:tcW w:w="252" w:type="pct"/>
            <w:tcBorders>
              <w:tl2br w:val="nil"/>
              <w:tr2bl w:val="nil"/>
            </w:tcBorders>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0.068</w:t>
            </w:r>
          </w:p>
        </w:tc>
        <w:tc>
          <w:tcPr>
            <w:tcW w:w="252" w:type="pct"/>
            <w:tcBorders>
              <w:tl2br w:val="nil"/>
              <w:tr2bl w:val="nil"/>
            </w:tcBorders>
            <w:noWrap/>
            <w:tcMar>
              <w:top w:w="15" w:type="dxa"/>
              <w:left w:w="15" w:type="dxa"/>
              <w:right w:w="15" w:type="dxa"/>
            </w:tcMar>
          </w:tcPr>
          <w:p>
            <w:pPr>
              <w:adjustRightInd w:val="0"/>
              <w:snapToGrid w:val="0"/>
              <w:jc w:val="center"/>
              <w:textAlignment w:val="center"/>
              <w:rPr>
                <w:color w:val="auto"/>
                <w:sz w:val="18"/>
                <w:szCs w:val="18"/>
              </w:rPr>
            </w:pPr>
            <w:r>
              <w:rPr>
                <w:rFonts w:hint="eastAsia"/>
                <w:color w:val="auto"/>
                <w:kern w:val="0"/>
                <w:sz w:val="18"/>
                <w:szCs w:val="18"/>
                <w:lang w:bidi="ar"/>
              </w:rPr>
              <w:t>0.0</w:t>
            </w:r>
            <w:r>
              <w:rPr>
                <w:color w:val="auto"/>
                <w:kern w:val="0"/>
                <w:sz w:val="18"/>
                <w:szCs w:val="18"/>
                <w:lang w:bidi="ar"/>
              </w:rPr>
              <w:t>272</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0.11</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0.45</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1-5</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一期工程板锭均质炉排气筒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-13</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-9</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0.9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5.82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0.2</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sz w:val="18"/>
                <w:szCs w:val="18"/>
              </w:rPr>
              <w:t>0.2</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0.08</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0.34</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1.35</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P2-1</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二期工程生产</w:t>
            </w:r>
            <w:r>
              <w:rPr>
                <w:color w:val="auto"/>
                <w:kern w:val="0"/>
                <w:sz w:val="18"/>
                <w:szCs w:val="18"/>
                <w:lang w:bidi="ar"/>
              </w:rPr>
              <w:t>车间熔保炉系统排气筒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142</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-70</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30</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2.0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6.44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1.95</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1.95</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0.78</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0.29</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1.13</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0.0008</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6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2-2</w:t>
            </w:r>
          </w:p>
        </w:tc>
        <w:tc>
          <w:tcPr>
            <w:tcW w:w="104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二期工程铝灰分离系统排气筒</w:t>
            </w:r>
          </w:p>
        </w:tc>
        <w:tc>
          <w:tcPr>
            <w:tcW w:w="24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41</w:t>
            </w:r>
          </w:p>
        </w:tc>
        <w:tc>
          <w:tcPr>
            <w:tcW w:w="2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-198</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20</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1.6 </w:t>
            </w:r>
          </w:p>
        </w:tc>
        <w:tc>
          <w:tcPr>
            <w:tcW w:w="2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0.75 </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2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0.04</w:t>
            </w:r>
          </w:p>
        </w:tc>
        <w:tc>
          <w:tcPr>
            <w:tcW w:w="252"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0.04</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0.01</w:t>
            </w:r>
            <w:r>
              <w:rPr>
                <w:color w:val="auto"/>
                <w:sz w:val="18"/>
                <w:szCs w:val="18"/>
              </w:rPr>
              <w:t>6</w:t>
            </w:r>
          </w:p>
        </w:tc>
        <w:tc>
          <w:tcPr>
            <w:tcW w:w="2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25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25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257"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c>
          <w:tcPr>
            <w:tcW w:w="27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r>
    </w:tbl>
    <w:p>
      <w:pPr>
        <w:pStyle w:val="31"/>
        <w:rPr>
          <w:color w:val="auto"/>
        </w:rPr>
      </w:pPr>
      <w:r>
        <w:rPr>
          <w:rFonts w:hint="eastAsia"/>
          <w:color w:val="auto"/>
        </w:rPr>
        <w:t>表6.2</w:t>
      </w:r>
      <w:r>
        <w:rPr>
          <w:rFonts w:hint="eastAsia"/>
          <w:color w:val="auto"/>
          <w:lang w:val="en-US" w:eastAsia="zh-CN"/>
        </w:rPr>
        <w:t>-11</w:t>
      </w:r>
      <w:r>
        <w:rPr>
          <w:color w:val="auto"/>
        </w:rPr>
        <w:t xml:space="preserve">  </w:t>
      </w:r>
      <w:r>
        <w:rPr>
          <w:rFonts w:hint="eastAsia"/>
          <w:color w:val="auto"/>
        </w:rPr>
        <w:t>本项目正常排放矩形面源参数</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074"/>
        <w:gridCol w:w="2079"/>
        <w:gridCol w:w="1074"/>
        <w:gridCol w:w="1086"/>
        <w:gridCol w:w="789"/>
        <w:gridCol w:w="848"/>
        <w:gridCol w:w="991"/>
        <w:gridCol w:w="1277"/>
        <w:gridCol w:w="991"/>
        <w:gridCol w:w="1266"/>
        <w:gridCol w:w="1266"/>
        <w:gridCol w:w="129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3"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编号</w:t>
            </w:r>
          </w:p>
        </w:tc>
        <w:tc>
          <w:tcPr>
            <w:tcW w:w="741"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名称</w:t>
            </w:r>
          </w:p>
        </w:tc>
        <w:tc>
          <w:tcPr>
            <w:tcW w:w="770" w:type="pct"/>
            <w:gridSpan w:val="2"/>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面源起点坐标/m</w:t>
            </w:r>
          </w:p>
        </w:tc>
        <w:tc>
          <w:tcPr>
            <w:tcW w:w="281"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面源海拔高度/m</w:t>
            </w:r>
          </w:p>
        </w:tc>
        <w:tc>
          <w:tcPr>
            <w:tcW w:w="302"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面源长度/m</w:t>
            </w:r>
          </w:p>
        </w:tc>
        <w:tc>
          <w:tcPr>
            <w:tcW w:w="353"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面源宽度/m</w:t>
            </w:r>
          </w:p>
        </w:tc>
        <w:tc>
          <w:tcPr>
            <w:tcW w:w="455"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5"/>
                <w:szCs w:val="15"/>
              </w:rPr>
            </w:pPr>
            <w:r>
              <w:rPr>
                <w:color w:val="auto"/>
                <w:kern w:val="0"/>
                <w:sz w:val="15"/>
                <w:szCs w:val="15"/>
                <w:lang w:bidi="ar"/>
              </w:rPr>
              <w:t>与正北向夹角/°</w:t>
            </w:r>
          </w:p>
        </w:tc>
        <w:tc>
          <w:tcPr>
            <w:tcW w:w="353"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5"/>
                <w:szCs w:val="15"/>
              </w:rPr>
            </w:pPr>
            <w:r>
              <w:rPr>
                <w:color w:val="auto"/>
                <w:kern w:val="0"/>
                <w:sz w:val="15"/>
                <w:szCs w:val="15"/>
                <w:lang w:bidi="ar"/>
              </w:rPr>
              <w:t>面源有效排放高度/m</w:t>
            </w:r>
          </w:p>
        </w:tc>
        <w:tc>
          <w:tcPr>
            <w:tcW w:w="1362" w:type="pct"/>
            <w:gridSpan w:val="3"/>
            <w:tcBorders>
              <w:tl2br w:val="nil"/>
              <w:tr2bl w:val="nil"/>
            </w:tcBorders>
            <w:tcMar>
              <w:top w:w="15" w:type="dxa"/>
              <w:left w:w="15" w:type="dxa"/>
              <w:right w:w="15" w:type="dxa"/>
            </w:tcMar>
            <w:vAlign w:val="center"/>
          </w:tcPr>
          <w:p>
            <w:pPr>
              <w:widowControl/>
              <w:adjustRightInd w:val="0"/>
              <w:snapToGrid w:val="0"/>
              <w:jc w:val="center"/>
              <w:rPr>
                <w:color w:val="auto"/>
                <w:sz w:val="18"/>
                <w:szCs w:val="18"/>
              </w:rPr>
            </w:pPr>
            <w:r>
              <w:rPr>
                <w:color w:val="auto"/>
                <w:kern w:val="0"/>
                <w:sz w:val="18"/>
                <w:szCs w:val="18"/>
                <w:lang w:bidi="ar"/>
              </w:rPr>
              <w:t>污染物排放速率/(kg/h)</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3"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741"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383"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X</w:t>
            </w:r>
          </w:p>
        </w:tc>
        <w:tc>
          <w:tcPr>
            <w:tcW w:w="387"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Y</w:t>
            </w:r>
          </w:p>
        </w:tc>
        <w:tc>
          <w:tcPr>
            <w:tcW w:w="281"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302"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353"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455"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353"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SO</w:t>
            </w:r>
            <w:r>
              <w:rPr>
                <w:color w:val="auto"/>
                <w:kern w:val="0"/>
                <w:sz w:val="18"/>
                <w:szCs w:val="18"/>
                <w:vertAlign w:val="subscript"/>
                <w:lang w:bidi="ar"/>
              </w:rPr>
              <w:t>2</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NO</w:t>
            </w:r>
            <w:r>
              <w:rPr>
                <w:color w:val="auto"/>
                <w:kern w:val="0"/>
                <w:sz w:val="18"/>
                <w:szCs w:val="18"/>
                <w:vertAlign w:val="subscript"/>
                <w:lang w:bidi="ar"/>
              </w:rPr>
              <w:t>x</w:t>
            </w:r>
          </w:p>
        </w:tc>
        <w:tc>
          <w:tcPr>
            <w:tcW w:w="460"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TSP</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68" w:hRule="atLeast"/>
        </w:trPr>
        <w:tc>
          <w:tcPr>
            <w:tcW w:w="38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A1</w:t>
            </w:r>
          </w:p>
        </w:tc>
        <w:tc>
          <w:tcPr>
            <w:tcW w:w="741"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kern w:val="0"/>
                <w:sz w:val="18"/>
                <w:szCs w:val="18"/>
                <w:lang w:bidi="ar"/>
              </w:rPr>
              <w:t>一期工程熔保炉系统</w:t>
            </w:r>
          </w:p>
        </w:tc>
        <w:tc>
          <w:tcPr>
            <w:tcW w:w="38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-49</w:t>
            </w:r>
          </w:p>
        </w:tc>
        <w:tc>
          <w:tcPr>
            <w:tcW w:w="38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-38</w:t>
            </w:r>
          </w:p>
        </w:tc>
        <w:tc>
          <w:tcPr>
            <w:tcW w:w="28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1545</w:t>
            </w:r>
          </w:p>
        </w:tc>
        <w:tc>
          <w:tcPr>
            <w:tcW w:w="30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205</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50</w:t>
            </w:r>
          </w:p>
        </w:tc>
        <w:tc>
          <w:tcPr>
            <w:tcW w:w="4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-55</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60"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0.4</w:t>
            </w:r>
            <w:r>
              <w:rPr>
                <w:color w:val="auto"/>
                <w:sz w:val="18"/>
                <w:szCs w:val="18"/>
              </w:rPr>
              <w:t>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A2</w:t>
            </w:r>
          </w:p>
        </w:tc>
        <w:tc>
          <w:tcPr>
            <w:tcW w:w="741"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kern w:val="0"/>
                <w:sz w:val="18"/>
                <w:szCs w:val="18"/>
                <w:lang w:bidi="ar"/>
              </w:rPr>
              <w:t>一期工程铝灰分离车间</w:t>
            </w:r>
          </w:p>
        </w:tc>
        <w:tc>
          <w:tcPr>
            <w:tcW w:w="38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-139</w:t>
            </w:r>
          </w:p>
        </w:tc>
        <w:tc>
          <w:tcPr>
            <w:tcW w:w="38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-57</w:t>
            </w:r>
          </w:p>
        </w:tc>
        <w:tc>
          <w:tcPr>
            <w:tcW w:w="28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1545</w:t>
            </w:r>
          </w:p>
        </w:tc>
        <w:tc>
          <w:tcPr>
            <w:tcW w:w="30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67</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w:t>
            </w:r>
          </w:p>
        </w:tc>
        <w:tc>
          <w:tcPr>
            <w:tcW w:w="4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55</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60"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0.054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A3</w:t>
            </w:r>
          </w:p>
        </w:tc>
        <w:tc>
          <w:tcPr>
            <w:tcW w:w="741"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kern w:val="0"/>
                <w:sz w:val="18"/>
                <w:szCs w:val="18"/>
                <w:lang w:bidi="ar"/>
              </w:rPr>
              <w:t>二期工程生产车间</w:t>
            </w:r>
          </w:p>
        </w:tc>
        <w:tc>
          <w:tcPr>
            <w:tcW w:w="38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76</w:t>
            </w:r>
          </w:p>
        </w:tc>
        <w:tc>
          <w:tcPr>
            <w:tcW w:w="38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-122</w:t>
            </w:r>
          </w:p>
        </w:tc>
        <w:tc>
          <w:tcPr>
            <w:tcW w:w="28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1545</w:t>
            </w:r>
          </w:p>
        </w:tc>
        <w:tc>
          <w:tcPr>
            <w:tcW w:w="30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155</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54</w:t>
            </w:r>
          </w:p>
        </w:tc>
        <w:tc>
          <w:tcPr>
            <w:tcW w:w="4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35</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0.00057</w:t>
            </w:r>
          </w:p>
        </w:tc>
        <w:tc>
          <w:tcPr>
            <w:tcW w:w="451"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0.0067</w:t>
            </w:r>
          </w:p>
        </w:tc>
        <w:tc>
          <w:tcPr>
            <w:tcW w:w="460"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A4</w:t>
            </w:r>
          </w:p>
        </w:tc>
        <w:tc>
          <w:tcPr>
            <w:tcW w:w="741"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kern w:val="0"/>
                <w:sz w:val="18"/>
                <w:szCs w:val="18"/>
                <w:lang w:bidi="ar"/>
              </w:rPr>
              <w:t>二期工程铝灰分离车间</w:t>
            </w:r>
          </w:p>
        </w:tc>
        <w:tc>
          <w:tcPr>
            <w:tcW w:w="38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29</w:t>
            </w:r>
          </w:p>
        </w:tc>
        <w:tc>
          <w:tcPr>
            <w:tcW w:w="387"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-189</w:t>
            </w:r>
          </w:p>
        </w:tc>
        <w:tc>
          <w:tcPr>
            <w:tcW w:w="28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1545</w:t>
            </w:r>
          </w:p>
        </w:tc>
        <w:tc>
          <w:tcPr>
            <w:tcW w:w="30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9</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55</w:t>
            </w:r>
          </w:p>
        </w:tc>
        <w:tc>
          <w:tcPr>
            <w:tcW w:w="45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55</w:t>
            </w:r>
          </w:p>
        </w:tc>
        <w:tc>
          <w:tcPr>
            <w:tcW w:w="35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w:t>
            </w:r>
          </w:p>
        </w:tc>
        <w:tc>
          <w:tcPr>
            <w:tcW w:w="4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5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6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0.0</w:t>
            </w:r>
            <w:r>
              <w:rPr>
                <w:color w:val="auto"/>
                <w:sz w:val="18"/>
                <w:szCs w:val="18"/>
              </w:rPr>
              <w:t>1</w:t>
            </w:r>
          </w:p>
        </w:tc>
      </w:tr>
      <w:bookmarkEnd w:id="129"/>
    </w:tbl>
    <w:p>
      <w:pPr>
        <w:pStyle w:val="31"/>
        <w:rPr>
          <w:color w:val="auto"/>
        </w:rPr>
      </w:pPr>
      <w:r>
        <w:rPr>
          <w:rFonts w:hint="eastAsia"/>
          <w:color w:val="auto"/>
        </w:rPr>
        <w:t>表6.2</w:t>
      </w:r>
      <w:r>
        <w:rPr>
          <w:rFonts w:hint="eastAsia"/>
          <w:color w:val="auto"/>
          <w:lang w:val="en-US" w:eastAsia="zh-CN"/>
        </w:rPr>
        <w:t>-12</w:t>
      </w:r>
      <w:r>
        <w:rPr>
          <w:color w:val="auto"/>
        </w:rPr>
        <w:t xml:space="preserve">  </w:t>
      </w:r>
      <w:r>
        <w:rPr>
          <w:rFonts w:hint="eastAsia"/>
          <w:color w:val="auto"/>
        </w:rPr>
        <w:t>本项目非正常排放点源参数</w:t>
      </w:r>
    </w:p>
    <w:tbl>
      <w:tblPr>
        <w:tblStyle w:val="27"/>
        <w:tblW w:w="496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423"/>
        <w:gridCol w:w="2910"/>
        <w:gridCol w:w="651"/>
        <w:gridCol w:w="690"/>
        <w:gridCol w:w="924"/>
        <w:gridCol w:w="832"/>
        <w:gridCol w:w="974"/>
        <w:gridCol w:w="837"/>
        <w:gridCol w:w="929"/>
        <w:gridCol w:w="1185"/>
        <w:gridCol w:w="1185"/>
        <w:gridCol w:w="1185"/>
        <w:gridCol w:w="118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8" w:hRule="atLeast"/>
        </w:trPr>
        <w:tc>
          <w:tcPr>
            <w:tcW w:w="152"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编号</w:t>
            </w:r>
          </w:p>
        </w:tc>
        <w:tc>
          <w:tcPr>
            <w:tcW w:w="1046"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名称</w:t>
            </w:r>
          </w:p>
        </w:tc>
        <w:tc>
          <w:tcPr>
            <w:tcW w:w="482" w:type="pct"/>
            <w:gridSpan w:val="2"/>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排气筒底部中心坐标（m）</w:t>
            </w:r>
          </w:p>
        </w:tc>
        <w:tc>
          <w:tcPr>
            <w:tcW w:w="332"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highlight w:val="yellow"/>
              </w:rPr>
            </w:pPr>
            <w:r>
              <w:rPr>
                <w:color w:val="auto"/>
                <w:sz w:val="18"/>
                <w:szCs w:val="18"/>
              </w:rPr>
              <w:t>排气筒底部海拔高度/m</w:t>
            </w:r>
          </w:p>
        </w:tc>
        <w:tc>
          <w:tcPr>
            <w:tcW w:w="299"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排气筒高度/m</w:t>
            </w:r>
          </w:p>
        </w:tc>
        <w:tc>
          <w:tcPr>
            <w:tcW w:w="350"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排气筒出口内径/m</w:t>
            </w:r>
          </w:p>
        </w:tc>
        <w:tc>
          <w:tcPr>
            <w:tcW w:w="301"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烟气流速/（m/s）</w:t>
            </w:r>
          </w:p>
        </w:tc>
        <w:tc>
          <w:tcPr>
            <w:tcW w:w="334"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烟气温度/℃</w:t>
            </w:r>
          </w:p>
        </w:tc>
        <w:tc>
          <w:tcPr>
            <w:tcW w:w="1704" w:type="pct"/>
            <w:gridSpan w:val="4"/>
            <w:tcBorders>
              <w:right w:val="single" w:color="auto" w:sz="4" w:space="0"/>
              <w:tl2br w:val="nil"/>
              <w:tr2bl w:val="nil"/>
            </w:tcBorders>
            <w:shd w:val="clear" w:color="000000" w:fill="FFFFFF"/>
            <w:vAlign w:val="center"/>
          </w:tcPr>
          <w:p>
            <w:pPr>
              <w:adjustRightInd w:val="0"/>
              <w:snapToGrid w:val="0"/>
              <w:jc w:val="center"/>
              <w:rPr>
                <w:color w:val="auto"/>
                <w:sz w:val="18"/>
                <w:szCs w:val="18"/>
              </w:rPr>
            </w:pPr>
            <w:r>
              <w:rPr>
                <w:color w:val="auto"/>
                <w:kern w:val="0"/>
                <w:sz w:val="18"/>
                <w:szCs w:val="18"/>
                <w:lang w:bidi="ar"/>
              </w:rPr>
              <w:t>污染物排放速率/(kg/h)</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52"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1046"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34"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i/>
                <w:color w:val="auto"/>
                <w:sz w:val="18"/>
                <w:szCs w:val="18"/>
              </w:rPr>
            </w:pPr>
            <w:r>
              <w:rPr>
                <w:i/>
                <w:color w:val="auto"/>
                <w:kern w:val="0"/>
                <w:sz w:val="18"/>
                <w:szCs w:val="18"/>
                <w:lang w:bidi="ar"/>
              </w:rPr>
              <w:t>X</w:t>
            </w:r>
          </w:p>
        </w:tc>
        <w:tc>
          <w:tcPr>
            <w:tcW w:w="248"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i/>
                <w:color w:val="auto"/>
                <w:sz w:val="18"/>
                <w:szCs w:val="18"/>
              </w:rPr>
            </w:pPr>
            <w:r>
              <w:rPr>
                <w:i/>
                <w:color w:val="auto"/>
                <w:kern w:val="0"/>
                <w:sz w:val="18"/>
                <w:szCs w:val="18"/>
                <w:lang w:bidi="ar"/>
              </w:rPr>
              <w:t>Y</w:t>
            </w:r>
          </w:p>
        </w:tc>
        <w:tc>
          <w:tcPr>
            <w:tcW w:w="332"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highlight w:val="yellow"/>
              </w:rPr>
            </w:pPr>
          </w:p>
        </w:tc>
        <w:tc>
          <w:tcPr>
            <w:tcW w:w="299"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350"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301"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334"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426" w:type="pct"/>
            <w:tcBorders>
              <w:right w:val="single" w:color="auto" w:sz="4" w:space="0"/>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TSP</w:t>
            </w:r>
          </w:p>
        </w:tc>
        <w:tc>
          <w:tcPr>
            <w:tcW w:w="426" w:type="pct"/>
            <w:tcBorders>
              <w:left w:val="single" w:color="auto" w:sz="4" w:space="0"/>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F</w:t>
            </w:r>
          </w:p>
        </w:tc>
        <w:tc>
          <w:tcPr>
            <w:tcW w:w="426" w:type="pct"/>
            <w:tcBorders>
              <w:left w:val="single" w:color="auto" w:sz="4" w:space="0"/>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HCl</w:t>
            </w:r>
          </w:p>
        </w:tc>
        <w:tc>
          <w:tcPr>
            <w:tcW w:w="426" w:type="pct"/>
            <w:tcBorders>
              <w:left w:val="single" w:color="auto" w:sz="4" w:space="0"/>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CL</w:t>
            </w:r>
            <w:r>
              <w:rPr>
                <w:color w:val="auto"/>
                <w:kern w:val="0"/>
                <w:sz w:val="18"/>
                <w:szCs w:val="18"/>
                <w:vertAlign w:val="subscript"/>
                <w:lang w:bidi="ar"/>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P1</w:t>
            </w:r>
            <w:r>
              <w:rPr>
                <w:rFonts w:hint="eastAsia"/>
                <w:color w:val="auto"/>
                <w:kern w:val="0"/>
                <w:sz w:val="18"/>
                <w:szCs w:val="18"/>
                <w:lang w:bidi="ar"/>
              </w:rPr>
              <w:t>-1</w:t>
            </w:r>
          </w:p>
        </w:tc>
        <w:tc>
          <w:tcPr>
            <w:tcW w:w="104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一期工程生产</w:t>
            </w:r>
            <w:r>
              <w:rPr>
                <w:color w:val="auto"/>
                <w:kern w:val="0"/>
                <w:sz w:val="18"/>
                <w:szCs w:val="18"/>
                <w:lang w:bidi="ar"/>
              </w:rPr>
              <w:t>车间熔保炉系统排气筒</w:t>
            </w:r>
          </w:p>
        </w:tc>
        <w:tc>
          <w:tcPr>
            <w:tcW w:w="2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-52</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-121</w:t>
            </w:r>
          </w:p>
        </w:tc>
        <w:tc>
          <w:tcPr>
            <w:tcW w:w="33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9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30</w:t>
            </w:r>
          </w:p>
        </w:tc>
        <w:tc>
          <w:tcPr>
            <w:tcW w:w="3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2.0 </w:t>
            </w:r>
          </w:p>
        </w:tc>
        <w:tc>
          <w:tcPr>
            <w:tcW w:w="30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16.75 </w:t>
            </w:r>
          </w:p>
        </w:tc>
        <w:tc>
          <w:tcPr>
            <w:tcW w:w="3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300.06</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0.21</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0.535</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0.29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1-</w:t>
            </w:r>
            <w:r>
              <w:rPr>
                <w:color w:val="auto"/>
                <w:kern w:val="0"/>
                <w:sz w:val="18"/>
                <w:szCs w:val="18"/>
                <w:lang w:bidi="ar"/>
              </w:rPr>
              <w:t>2</w:t>
            </w:r>
          </w:p>
        </w:tc>
        <w:tc>
          <w:tcPr>
            <w:tcW w:w="104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一期工程铝灰分离系统排气筒</w:t>
            </w:r>
          </w:p>
        </w:tc>
        <w:tc>
          <w:tcPr>
            <w:tcW w:w="2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-134</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-64</w:t>
            </w:r>
          </w:p>
        </w:tc>
        <w:tc>
          <w:tcPr>
            <w:tcW w:w="33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9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20</w:t>
            </w:r>
          </w:p>
        </w:tc>
        <w:tc>
          <w:tcPr>
            <w:tcW w:w="3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1.6 </w:t>
            </w:r>
          </w:p>
        </w:tc>
        <w:tc>
          <w:tcPr>
            <w:tcW w:w="30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1.51 </w:t>
            </w:r>
          </w:p>
        </w:tc>
        <w:tc>
          <w:tcPr>
            <w:tcW w:w="3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5.34</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P2-1</w:t>
            </w:r>
          </w:p>
        </w:tc>
        <w:tc>
          <w:tcPr>
            <w:tcW w:w="104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二期工程生产</w:t>
            </w:r>
            <w:r>
              <w:rPr>
                <w:color w:val="auto"/>
                <w:kern w:val="0"/>
                <w:sz w:val="18"/>
                <w:szCs w:val="18"/>
                <w:lang w:bidi="ar"/>
              </w:rPr>
              <w:t>车间熔保炉系统排气筒</w:t>
            </w:r>
          </w:p>
        </w:tc>
        <w:tc>
          <w:tcPr>
            <w:tcW w:w="2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142</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-70</w:t>
            </w:r>
          </w:p>
        </w:tc>
        <w:tc>
          <w:tcPr>
            <w:tcW w:w="33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9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30</w:t>
            </w:r>
          </w:p>
        </w:tc>
        <w:tc>
          <w:tcPr>
            <w:tcW w:w="3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2.0 </w:t>
            </w:r>
          </w:p>
        </w:tc>
        <w:tc>
          <w:tcPr>
            <w:tcW w:w="30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6.44 </w:t>
            </w:r>
          </w:p>
        </w:tc>
        <w:tc>
          <w:tcPr>
            <w:tcW w:w="3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125</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48.78</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0.04</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114" w:hRule="atLeast"/>
        </w:trPr>
        <w:tc>
          <w:tcPr>
            <w:tcW w:w="15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2-2</w:t>
            </w:r>
          </w:p>
        </w:tc>
        <w:tc>
          <w:tcPr>
            <w:tcW w:w="104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二期工程铝灰分离系统排气筒</w:t>
            </w:r>
          </w:p>
        </w:tc>
        <w:tc>
          <w:tcPr>
            <w:tcW w:w="2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41</w:t>
            </w:r>
          </w:p>
        </w:tc>
        <w:tc>
          <w:tcPr>
            <w:tcW w:w="248"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-198</w:t>
            </w:r>
          </w:p>
        </w:tc>
        <w:tc>
          <w:tcPr>
            <w:tcW w:w="33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highlight w:val="yellow"/>
              </w:rPr>
            </w:pPr>
            <w:r>
              <w:rPr>
                <w:rFonts w:hint="eastAsia"/>
                <w:color w:val="auto"/>
                <w:sz w:val="18"/>
                <w:szCs w:val="18"/>
              </w:rPr>
              <w:t>1545</w:t>
            </w:r>
          </w:p>
        </w:tc>
        <w:tc>
          <w:tcPr>
            <w:tcW w:w="29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20</w:t>
            </w:r>
          </w:p>
        </w:tc>
        <w:tc>
          <w:tcPr>
            <w:tcW w:w="35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1.6 </w:t>
            </w:r>
          </w:p>
        </w:tc>
        <w:tc>
          <w:tcPr>
            <w:tcW w:w="301"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 xml:space="preserve">0.75 </w:t>
            </w:r>
          </w:p>
        </w:tc>
        <w:tc>
          <w:tcPr>
            <w:tcW w:w="33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1.0</w:t>
            </w:r>
          </w:p>
        </w:tc>
        <w:tc>
          <w:tcPr>
            <w:tcW w:w="426"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0</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c>
          <w:tcPr>
            <w:tcW w:w="426"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p>
        </w:tc>
      </w:tr>
    </w:tbl>
    <w:p>
      <w:pPr>
        <w:pStyle w:val="31"/>
        <w:rPr>
          <w:color w:val="auto"/>
        </w:rPr>
      </w:pPr>
      <w:r>
        <w:rPr>
          <w:rFonts w:hint="eastAsia"/>
          <w:color w:val="auto"/>
        </w:rPr>
        <w:t>表6.2</w:t>
      </w:r>
      <w:r>
        <w:rPr>
          <w:rFonts w:hint="eastAsia"/>
          <w:color w:val="auto"/>
          <w:lang w:val="en-US" w:eastAsia="zh-CN"/>
        </w:rPr>
        <w:t>-13</w:t>
      </w:r>
      <w:r>
        <w:rPr>
          <w:rFonts w:hint="eastAsia"/>
          <w:color w:val="auto"/>
        </w:rPr>
        <w:t xml:space="preserve"> </w:t>
      </w:r>
      <w:r>
        <w:rPr>
          <w:color w:val="auto"/>
        </w:rPr>
        <w:t xml:space="preserve"> 在建项目点源排放参数（云南宏泰新型材料有限公司年产203万吨电解铝建设项目）</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0"/>
        <w:gridCol w:w="3523"/>
        <w:gridCol w:w="768"/>
        <w:gridCol w:w="924"/>
        <w:gridCol w:w="921"/>
        <w:gridCol w:w="611"/>
        <w:gridCol w:w="921"/>
        <w:gridCol w:w="765"/>
        <w:gridCol w:w="611"/>
        <w:gridCol w:w="921"/>
        <w:gridCol w:w="611"/>
        <w:gridCol w:w="765"/>
        <w:gridCol w:w="768"/>
        <w:gridCol w:w="766"/>
        <w:gridCol w:w="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编号</w:t>
            </w:r>
          </w:p>
        </w:tc>
        <w:tc>
          <w:tcPr>
            <w:tcW w:w="1239"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名称</w:t>
            </w:r>
          </w:p>
        </w:tc>
        <w:tc>
          <w:tcPr>
            <w:tcW w:w="595" w:type="pct"/>
            <w:gridSpan w:val="2"/>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排气筒底部中心坐标（m）</w:t>
            </w:r>
          </w:p>
        </w:tc>
        <w:tc>
          <w:tcPr>
            <w:tcW w:w="324"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排气筒底部海拔高度/m</w:t>
            </w:r>
          </w:p>
        </w:tc>
        <w:tc>
          <w:tcPr>
            <w:tcW w:w="215"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排气筒高度/m</w:t>
            </w:r>
          </w:p>
        </w:tc>
        <w:tc>
          <w:tcPr>
            <w:tcW w:w="324"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排气筒出口内径/m</w:t>
            </w:r>
          </w:p>
        </w:tc>
        <w:tc>
          <w:tcPr>
            <w:tcW w:w="269"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烟气流速/（m/s）</w:t>
            </w:r>
          </w:p>
        </w:tc>
        <w:tc>
          <w:tcPr>
            <w:tcW w:w="215" w:type="pct"/>
            <w:vMerge w:val="restar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烟气温度/℃</w:t>
            </w:r>
          </w:p>
        </w:tc>
        <w:tc>
          <w:tcPr>
            <w:tcW w:w="1615" w:type="pct"/>
            <w:gridSpan w:val="6"/>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1239"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270" w:type="pct"/>
            <w:shd w:val="clear" w:color="000000" w:fill="FFFFFF"/>
            <w:vAlign w:val="center"/>
          </w:tcPr>
          <w:p>
            <w:pPr>
              <w:widowControl/>
              <w:adjustRightInd w:val="0"/>
              <w:snapToGrid w:val="0"/>
              <w:ind w:right="-120" w:rightChars="-50"/>
              <w:jc w:val="center"/>
              <w:rPr>
                <w:i/>
                <w:iCs/>
                <w:color w:val="auto"/>
                <w:kern w:val="0"/>
                <w:sz w:val="18"/>
                <w:szCs w:val="18"/>
              </w:rPr>
            </w:pPr>
            <w:r>
              <w:rPr>
                <w:i/>
                <w:iCs/>
                <w:color w:val="auto"/>
                <w:kern w:val="0"/>
                <w:sz w:val="18"/>
                <w:szCs w:val="18"/>
              </w:rPr>
              <w:t>X</w:t>
            </w:r>
          </w:p>
        </w:tc>
        <w:tc>
          <w:tcPr>
            <w:tcW w:w="324" w:type="pct"/>
            <w:shd w:val="clear" w:color="000000" w:fill="FFFFFF"/>
            <w:vAlign w:val="center"/>
          </w:tcPr>
          <w:p>
            <w:pPr>
              <w:widowControl/>
              <w:adjustRightInd w:val="0"/>
              <w:snapToGrid w:val="0"/>
              <w:ind w:right="-120" w:rightChars="-50"/>
              <w:jc w:val="center"/>
              <w:rPr>
                <w:i/>
                <w:iCs/>
                <w:color w:val="auto"/>
                <w:kern w:val="0"/>
                <w:sz w:val="18"/>
                <w:szCs w:val="18"/>
              </w:rPr>
            </w:pPr>
            <w:r>
              <w:rPr>
                <w:i/>
                <w:iCs/>
                <w:color w:val="auto"/>
                <w:kern w:val="0"/>
                <w:sz w:val="18"/>
                <w:szCs w:val="18"/>
              </w:rPr>
              <w:t>Y</w:t>
            </w:r>
          </w:p>
        </w:tc>
        <w:tc>
          <w:tcPr>
            <w:tcW w:w="324"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215"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324"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269"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215" w:type="pct"/>
            <w:vMerge w:val="continue"/>
            <w:shd w:val="clear" w:color="auto" w:fill="auto"/>
            <w:vAlign w:val="center"/>
          </w:tcPr>
          <w:p>
            <w:pPr>
              <w:widowControl/>
              <w:adjustRightInd w:val="0"/>
              <w:snapToGrid w:val="0"/>
              <w:ind w:right="-120" w:rightChars="-50"/>
              <w:jc w:val="center"/>
              <w:rPr>
                <w:color w:val="auto"/>
                <w:kern w:val="0"/>
                <w:sz w:val="18"/>
                <w:szCs w:val="18"/>
              </w:rPr>
            </w:pPr>
          </w:p>
        </w:tc>
        <w:tc>
          <w:tcPr>
            <w:tcW w:w="324" w:type="pc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SO2</w:t>
            </w:r>
          </w:p>
        </w:tc>
        <w:tc>
          <w:tcPr>
            <w:tcW w:w="215" w:type="pct"/>
            <w:shd w:val="clear" w:color="000000" w:fill="FFFFFF"/>
            <w:vAlign w:val="center"/>
          </w:tcPr>
          <w:p>
            <w:pPr>
              <w:widowControl/>
              <w:adjustRightInd w:val="0"/>
              <w:snapToGrid w:val="0"/>
              <w:ind w:right="-120" w:rightChars="-50"/>
              <w:jc w:val="center"/>
              <w:rPr>
                <w:color w:val="auto"/>
                <w:kern w:val="0"/>
                <w:sz w:val="18"/>
                <w:szCs w:val="18"/>
              </w:rPr>
            </w:pPr>
            <w:r>
              <w:rPr>
                <w:color w:val="auto"/>
                <w:kern w:val="0"/>
                <w:sz w:val="18"/>
                <w:szCs w:val="18"/>
              </w:rPr>
              <w:t>NO2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TSP</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PM10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PM2.5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A系列电解烟气净化系统烟囱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354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711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12.83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127.103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18.405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18.405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7.362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B系列电解烟气净化系统烟囱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581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794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12.83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127.103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18.405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18.405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7.362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C系列电解烟气净化系统烟囱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769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355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104.361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1029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535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734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272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378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4#原料仓库氧化铝卸料收尘系统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1172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1029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P19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535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734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272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378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4#原料仓库氧化铝提升收尘系统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1172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2#原料仓库氟化铝卸料收尘系统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535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734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5#原料仓库氟化铝卸料收尘系统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380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1#阳极组装车间装卸站1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1343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1274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10.96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0.310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0.124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1#阳极组装车间装卸站2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1452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1193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10.96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0.310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0.124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1#阳极组装车间电解质清理1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1279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1182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P29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1#阳极组装车间电解质清理2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1352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1121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1#阳极组装车间电解质破碎1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1364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1117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11.67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0.132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1#阳极组装车间电解质破碎2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1422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1083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11.67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0.132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1#阳极组装车间残极压脱1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1531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1127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0.660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0.264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1#阳极组装车间残极压脱2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1454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1073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0.660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0.264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1#阳极组装车间磷铁环压脱及清理1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1530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1.32</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0.590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0.590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0.236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1#阳极组装车间磷铁环压脱及清理2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1108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1.32</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0.590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0.590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0.236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1#阳极组装车间钢爪抛丸及烘干1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1587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1092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1#阳极组装车间钢爪抛丸及烘干2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1486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1007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1#阳极组装车间导杆清刷1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1474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P39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1#阳极组装车间导杆清刷2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1521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1056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1#阳极组装车间阳极钢爪自动熔焊</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1520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1105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12.73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0.090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0.090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1#阳极组装车间中频炉及磷生铁浇注1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1323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1111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0.450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0.450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1#阳极组装车间中频炉及磷生铁浇注2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1394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1067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0.450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0.450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应急备用阳极组装车间电解质清理</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1092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1285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13.58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应急备用阳极组装车间电解质破碎</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1090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1303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12.99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0.235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0.235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0.094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应急备用阳极组装车间残极压脱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1088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1321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0.7</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11.55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0.160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0.064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应急备用阳极组装车间磷铁环压脱及清理</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1097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1293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10.69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0.120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0.120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0.048</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应急备用阳极组装车间中频炉及磷生铁浇注</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1097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1303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0.9</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0.270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0.270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0.108</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1#铸造车间混合炉</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439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605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0.700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0.700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P49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2#铸造车间混合炉</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1097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595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0.700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0.700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槽大修车间</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195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299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0.9</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13.10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0.120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抬包车间抬包清理1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886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抬包车间抬包清理2</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896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抬包车间抬包清理3</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906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746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抬包车间吸铝管清理</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8.84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0.160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0.064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抬包车间铝灰处理系统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858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676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炭渣处理1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906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1421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14.15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炭渣处理1</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919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1570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14.15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D系列电解烟气净化系统烟囱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979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199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104.361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P59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E系列电解烟气净化系统烟囱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1121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104.361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F系列电解烟气净化系统烟囱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1328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-48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104.361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17.334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6.934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1523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448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1539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1286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9#原料仓库氧化铝卸料收尘系统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1085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1.040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1523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448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1539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1286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9#原料仓库氧化铝提升收尘系统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1085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50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9.82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0.025</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8#原料仓库氟化铝卸料收尘系统</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1286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11.05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0.200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2#阳极组装车间残极装卸</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1632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902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10.96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0.310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0.310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0.124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P69</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2#阳极组装车间电解质清理</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1709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842</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1.75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P70</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2#阳极组装车间电解质破碎</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1836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757</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11.67</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0.132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P71</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2#阳极组装车间残极压脱</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1906</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731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1542</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11.91</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0.660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0.660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0.264</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P72</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2#阳极组装车间磷铁环压脱及清理</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1951</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799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1544</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1.32</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11.98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0.590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0.590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0.236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P73</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2#阳极组装车间钢爪抛丸及烘干</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1878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885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P74</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2#阳极组装车间导杆清刷</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1904</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860</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11.79</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0.012</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P75</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2#阳极组装车间阳极钢爪自动熔焊</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1803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1546</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12.73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0.090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0.090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0.036</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P76</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2#阳极组装车间中频炉及磷生铁浇注</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1699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965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1558</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1.15</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12.03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0.450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0.450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0.180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P77</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大修渣综合利用破碎</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998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1539</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1555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12.25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0.050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0.050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P78</w:t>
            </w:r>
          </w:p>
        </w:tc>
        <w:tc>
          <w:tcPr>
            <w:tcW w:w="123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大修渣综合利用磨粉</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963</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1498</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1563</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15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0.38</w:t>
            </w:r>
          </w:p>
        </w:tc>
        <w:tc>
          <w:tcPr>
            <w:tcW w:w="269" w:type="pct"/>
            <w:noWrap/>
            <w:vAlign w:val="center"/>
          </w:tcPr>
          <w:p>
            <w:pPr>
              <w:widowControl/>
              <w:adjustRightInd w:val="0"/>
              <w:snapToGrid w:val="0"/>
              <w:ind w:right="-120" w:rightChars="-50"/>
              <w:jc w:val="center"/>
              <w:rPr>
                <w:color w:val="auto"/>
                <w:kern w:val="0"/>
                <w:sz w:val="18"/>
                <w:szCs w:val="18"/>
              </w:rPr>
            </w:pPr>
            <w:r>
              <w:rPr>
                <w:color w:val="auto"/>
                <w:sz w:val="18"/>
                <w:szCs w:val="18"/>
              </w:rPr>
              <w:t>12.25</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25</w:t>
            </w:r>
          </w:p>
        </w:tc>
        <w:tc>
          <w:tcPr>
            <w:tcW w:w="324"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15"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0.050</w:t>
            </w:r>
          </w:p>
        </w:tc>
        <w:tc>
          <w:tcPr>
            <w:tcW w:w="270"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0.050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0.020</w:t>
            </w:r>
          </w:p>
        </w:tc>
        <w:tc>
          <w:tcPr>
            <w:tcW w:w="269" w:type="pct"/>
            <w:noWrap/>
            <w:vAlign w:val="center"/>
          </w:tcPr>
          <w:p>
            <w:pPr>
              <w:widowControl/>
              <w:adjustRightInd w:val="0"/>
              <w:snapToGrid w:val="0"/>
              <w:ind w:right="-120" w:rightChars="-50"/>
              <w:jc w:val="center"/>
              <w:rPr>
                <w:color w:val="auto"/>
                <w:kern w:val="0"/>
                <w:sz w:val="18"/>
                <w:szCs w:val="18"/>
              </w:rPr>
            </w:pPr>
            <w:r>
              <w:rPr>
                <w:color w:val="auto"/>
                <w:kern w:val="0"/>
                <w:sz w:val="18"/>
                <w:szCs w:val="18"/>
              </w:rPr>
              <w:t>0</w:t>
            </w:r>
          </w:p>
        </w:tc>
      </w:tr>
    </w:tbl>
    <w:p>
      <w:pPr>
        <w:pStyle w:val="2"/>
        <w:ind w:left="0" w:leftChars="0" w:firstLine="0" w:firstLineChars="0"/>
        <w:rPr>
          <w:color w:val="auto"/>
        </w:rPr>
      </w:pPr>
    </w:p>
    <w:p>
      <w:pPr>
        <w:pStyle w:val="31"/>
        <w:rPr>
          <w:color w:val="auto"/>
        </w:rPr>
      </w:pPr>
    </w:p>
    <w:p>
      <w:pPr>
        <w:pStyle w:val="31"/>
        <w:rPr>
          <w:color w:val="auto"/>
        </w:rPr>
      </w:pPr>
      <w:r>
        <w:rPr>
          <w:rFonts w:hint="eastAsia"/>
          <w:color w:val="auto"/>
        </w:rPr>
        <w:t>表6.</w:t>
      </w:r>
      <w:r>
        <w:rPr>
          <w:rFonts w:hint="eastAsia"/>
          <w:color w:val="auto"/>
          <w:lang w:val="en-US" w:eastAsia="zh-CN"/>
        </w:rPr>
        <w:t>2-14</w:t>
      </w:r>
      <w:r>
        <w:rPr>
          <w:rFonts w:hint="eastAsia"/>
          <w:color w:val="auto"/>
        </w:rPr>
        <w:t xml:space="preserve"> </w:t>
      </w:r>
      <w:r>
        <w:rPr>
          <w:color w:val="auto"/>
        </w:rPr>
        <w:t xml:space="preserve"> 在建项目面源排放参数（云南宏泰新型材料有限公司年产203万吨电解铝建设项目）</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4445"/>
        <w:gridCol w:w="1191"/>
        <w:gridCol w:w="947"/>
        <w:gridCol w:w="1243"/>
        <w:gridCol w:w="1066"/>
        <w:gridCol w:w="890"/>
        <w:gridCol w:w="1391"/>
        <w:gridCol w:w="1038"/>
        <w:gridCol w:w="13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编号</w:t>
            </w:r>
          </w:p>
        </w:tc>
        <w:tc>
          <w:tcPr>
            <w:tcW w:w="1563"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名称</w:t>
            </w:r>
          </w:p>
        </w:tc>
        <w:tc>
          <w:tcPr>
            <w:tcW w:w="752" w:type="pct"/>
            <w:gridSpan w:val="2"/>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面源起点坐标/m</w:t>
            </w:r>
          </w:p>
        </w:tc>
        <w:tc>
          <w:tcPr>
            <w:tcW w:w="437"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面源海拔高度/m</w:t>
            </w:r>
          </w:p>
        </w:tc>
        <w:tc>
          <w:tcPr>
            <w:tcW w:w="375"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面源长度/m</w:t>
            </w:r>
          </w:p>
        </w:tc>
        <w:tc>
          <w:tcPr>
            <w:tcW w:w="313"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面源宽度/m</w:t>
            </w:r>
          </w:p>
        </w:tc>
        <w:tc>
          <w:tcPr>
            <w:tcW w:w="489"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与正北向夹角/°</w:t>
            </w:r>
          </w:p>
        </w:tc>
        <w:tc>
          <w:tcPr>
            <w:tcW w:w="365" w:type="pct"/>
            <w:vMerge w:val="restart"/>
            <w:tcBorders>
              <w:bottom w:val="single" w:color="auto" w:sz="4" w:space="0"/>
            </w:tcBorders>
            <w:shd w:val="clear" w:color="000000" w:fill="FFFFFF"/>
            <w:vAlign w:val="center"/>
          </w:tcPr>
          <w:p>
            <w:pPr>
              <w:widowControl/>
              <w:adjustRightInd w:val="0"/>
              <w:snapToGrid w:val="0"/>
              <w:jc w:val="center"/>
              <w:rPr>
                <w:color w:val="auto"/>
                <w:kern w:val="0"/>
                <w:sz w:val="18"/>
                <w:szCs w:val="18"/>
              </w:rPr>
            </w:pPr>
            <w:r>
              <w:rPr>
                <w:color w:val="auto"/>
                <w:kern w:val="0"/>
                <w:sz w:val="18"/>
                <w:szCs w:val="18"/>
              </w:rPr>
              <w:t>面源有效排放高度/m</w:t>
            </w:r>
          </w:p>
        </w:tc>
        <w:tc>
          <w:tcPr>
            <w:tcW w:w="492" w:type="pct"/>
            <w:vMerge w:val="restart"/>
            <w:tcBorders>
              <w:bottom w:val="single" w:color="auto" w:sz="4" w:space="0"/>
            </w:tcBorders>
            <w:vAlign w:val="center"/>
          </w:tcPr>
          <w:p>
            <w:pPr>
              <w:adjustRightInd w:val="0"/>
              <w:snapToGrid w:val="0"/>
              <w:jc w:val="center"/>
              <w:rPr>
                <w:bCs/>
                <w:color w:val="auto"/>
                <w:kern w:val="0"/>
                <w:sz w:val="18"/>
                <w:szCs w:val="18"/>
              </w:rPr>
            </w:pPr>
            <w:r>
              <w:rPr>
                <w:bCs/>
                <w:color w:val="auto"/>
                <w:kern w:val="0"/>
                <w:sz w:val="18"/>
                <w:szCs w:val="18"/>
                <w:lang w:bidi="ar"/>
              </w:rPr>
              <w:t>污染物排放速率/(kg/h)TSP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vMerge w:val="continue"/>
            <w:shd w:val="clear" w:color="auto" w:fill="auto"/>
            <w:vAlign w:val="center"/>
          </w:tcPr>
          <w:p>
            <w:pPr>
              <w:widowControl/>
              <w:adjustRightInd w:val="0"/>
              <w:snapToGrid w:val="0"/>
              <w:jc w:val="center"/>
              <w:rPr>
                <w:color w:val="auto"/>
                <w:kern w:val="0"/>
                <w:sz w:val="18"/>
                <w:szCs w:val="18"/>
              </w:rPr>
            </w:pPr>
          </w:p>
        </w:tc>
        <w:tc>
          <w:tcPr>
            <w:tcW w:w="1563" w:type="pct"/>
            <w:vMerge w:val="continue"/>
            <w:shd w:val="clear" w:color="auto" w:fill="auto"/>
            <w:vAlign w:val="center"/>
          </w:tcPr>
          <w:p>
            <w:pPr>
              <w:widowControl/>
              <w:adjustRightInd w:val="0"/>
              <w:snapToGrid w:val="0"/>
              <w:jc w:val="center"/>
              <w:rPr>
                <w:color w:val="auto"/>
                <w:kern w:val="0"/>
                <w:sz w:val="18"/>
                <w:szCs w:val="18"/>
              </w:rPr>
            </w:pPr>
          </w:p>
        </w:tc>
        <w:tc>
          <w:tcPr>
            <w:tcW w:w="419" w:type="pct"/>
            <w:shd w:val="clear" w:color="000000" w:fill="FFFFFF"/>
            <w:vAlign w:val="center"/>
          </w:tcPr>
          <w:p>
            <w:pPr>
              <w:widowControl/>
              <w:adjustRightInd w:val="0"/>
              <w:snapToGrid w:val="0"/>
              <w:jc w:val="center"/>
              <w:rPr>
                <w:i/>
                <w:iCs/>
                <w:color w:val="auto"/>
                <w:kern w:val="0"/>
                <w:sz w:val="18"/>
                <w:szCs w:val="18"/>
              </w:rPr>
            </w:pPr>
            <w:r>
              <w:rPr>
                <w:i/>
                <w:iCs/>
                <w:color w:val="auto"/>
                <w:kern w:val="0"/>
                <w:sz w:val="18"/>
                <w:szCs w:val="18"/>
              </w:rPr>
              <w:t>X</w:t>
            </w:r>
          </w:p>
        </w:tc>
        <w:tc>
          <w:tcPr>
            <w:tcW w:w="333" w:type="pct"/>
            <w:shd w:val="clear" w:color="000000" w:fill="FFFFFF"/>
            <w:vAlign w:val="center"/>
          </w:tcPr>
          <w:p>
            <w:pPr>
              <w:widowControl/>
              <w:adjustRightInd w:val="0"/>
              <w:snapToGrid w:val="0"/>
              <w:jc w:val="center"/>
              <w:rPr>
                <w:i/>
                <w:iCs/>
                <w:color w:val="auto"/>
                <w:kern w:val="0"/>
                <w:sz w:val="18"/>
                <w:szCs w:val="18"/>
              </w:rPr>
            </w:pPr>
            <w:r>
              <w:rPr>
                <w:i/>
                <w:iCs/>
                <w:color w:val="auto"/>
                <w:kern w:val="0"/>
                <w:sz w:val="18"/>
                <w:szCs w:val="18"/>
              </w:rPr>
              <w:t>Y</w:t>
            </w:r>
          </w:p>
        </w:tc>
        <w:tc>
          <w:tcPr>
            <w:tcW w:w="437" w:type="pct"/>
            <w:vMerge w:val="continue"/>
            <w:vAlign w:val="center"/>
          </w:tcPr>
          <w:p>
            <w:pPr>
              <w:widowControl/>
              <w:adjustRightInd w:val="0"/>
              <w:snapToGrid w:val="0"/>
              <w:jc w:val="center"/>
              <w:rPr>
                <w:color w:val="auto"/>
                <w:kern w:val="0"/>
                <w:sz w:val="18"/>
                <w:szCs w:val="18"/>
              </w:rPr>
            </w:pPr>
          </w:p>
        </w:tc>
        <w:tc>
          <w:tcPr>
            <w:tcW w:w="375" w:type="pct"/>
            <w:vMerge w:val="continue"/>
            <w:vAlign w:val="center"/>
          </w:tcPr>
          <w:p>
            <w:pPr>
              <w:widowControl/>
              <w:adjustRightInd w:val="0"/>
              <w:snapToGrid w:val="0"/>
              <w:jc w:val="center"/>
              <w:rPr>
                <w:color w:val="auto"/>
                <w:kern w:val="0"/>
                <w:sz w:val="18"/>
                <w:szCs w:val="18"/>
              </w:rPr>
            </w:pPr>
          </w:p>
        </w:tc>
        <w:tc>
          <w:tcPr>
            <w:tcW w:w="313" w:type="pct"/>
            <w:vMerge w:val="continue"/>
            <w:vAlign w:val="center"/>
          </w:tcPr>
          <w:p>
            <w:pPr>
              <w:widowControl/>
              <w:adjustRightInd w:val="0"/>
              <w:snapToGrid w:val="0"/>
              <w:jc w:val="center"/>
              <w:rPr>
                <w:color w:val="auto"/>
                <w:kern w:val="0"/>
                <w:sz w:val="18"/>
                <w:szCs w:val="18"/>
              </w:rPr>
            </w:pPr>
          </w:p>
        </w:tc>
        <w:tc>
          <w:tcPr>
            <w:tcW w:w="489" w:type="pct"/>
            <w:vMerge w:val="continue"/>
            <w:vAlign w:val="center"/>
          </w:tcPr>
          <w:p>
            <w:pPr>
              <w:widowControl/>
              <w:adjustRightInd w:val="0"/>
              <w:snapToGrid w:val="0"/>
              <w:jc w:val="center"/>
              <w:rPr>
                <w:color w:val="auto"/>
                <w:kern w:val="0"/>
                <w:sz w:val="18"/>
                <w:szCs w:val="18"/>
              </w:rPr>
            </w:pPr>
          </w:p>
        </w:tc>
        <w:tc>
          <w:tcPr>
            <w:tcW w:w="365" w:type="pct"/>
            <w:vMerge w:val="continue"/>
            <w:vAlign w:val="center"/>
          </w:tcPr>
          <w:p>
            <w:pPr>
              <w:widowControl/>
              <w:adjustRightInd w:val="0"/>
              <w:snapToGrid w:val="0"/>
              <w:jc w:val="center"/>
              <w:rPr>
                <w:color w:val="auto"/>
                <w:kern w:val="0"/>
                <w:sz w:val="18"/>
                <w:szCs w:val="18"/>
              </w:rPr>
            </w:pPr>
          </w:p>
        </w:tc>
        <w:tc>
          <w:tcPr>
            <w:tcW w:w="492" w:type="pct"/>
            <w:vMerge w:val="continue"/>
            <w:vAlign w:val="center"/>
          </w:tcPr>
          <w:p>
            <w:pPr>
              <w:widowControl/>
              <w:adjustRightInd w:val="0"/>
              <w:snapToGrid w:val="0"/>
              <w:jc w:val="center"/>
              <w:rPr>
                <w:i/>
                <w:iCs/>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A5</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1#原料仓库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748</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1031</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A6</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2#原料仓库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535</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736</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A7</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3#原料仓库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272</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371</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A8</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4#原料仓库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1168</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697</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A9</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5#原料仓库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940</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383</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A10</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6#原料仓库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740</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106</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A11</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1#阳极车间</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1427</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1132</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225</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498</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2.548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A12</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应急备用阳极车间</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997</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1151</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54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228</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A13</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1#铸造车间</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420</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574</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36</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234</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16</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2.633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A14</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2#铸造车间</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1056</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546</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36</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234</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16</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2.633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A15</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抬包清理</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869</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717</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32</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100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12</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A16</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大修车间</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956</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840</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30</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142</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12</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A17</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碳渣处理</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904</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1421</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35</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65</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12</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0.904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A18</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7#原料仓库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1519</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447</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A19</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8#原料仓库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1288</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123</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A20</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9#原料仓库</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1088</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-151</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24</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180</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A21</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2#阳极车间</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1803</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862</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225</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498</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11</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2.548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14" w:type="pct"/>
            <w:noWrap/>
            <w:vAlign w:val="center"/>
          </w:tcPr>
          <w:p>
            <w:pPr>
              <w:widowControl/>
              <w:adjustRightInd w:val="0"/>
              <w:snapToGrid w:val="0"/>
              <w:jc w:val="center"/>
              <w:rPr>
                <w:color w:val="auto"/>
                <w:kern w:val="0"/>
                <w:sz w:val="18"/>
                <w:szCs w:val="18"/>
              </w:rPr>
            </w:pPr>
            <w:r>
              <w:rPr>
                <w:color w:val="auto"/>
                <w:kern w:val="0"/>
                <w:sz w:val="18"/>
                <w:szCs w:val="18"/>
              </w:rPr>
              <w:t>A22</w:t>
            </w:r>
          </w:p>
        </w:tc>
        <w:tc>
          <w:tcPr>
            <w:tcW w:w="1563" w:type="pct"/>
            <w:noWrap/>
            <w:vAlign w:val="center"/>
          </w:tcPr>
          <w:p>
            <w:pPr>
              <w:widowControl/>
              <w:adjustRightInd w:val="0"/>
              <w:snapToGrid w:val="0"/>
              <w:jc w:val="center"/>
              <w:rPr>
                <w:color w:val="auto"/>
                <w:kern w:val="0"/>
                <w:sz w:val="18"/>
                <w:szCs w:val="18"/>
              </w:rPr>
            </w:pPr>
            <w:r>
              <w:rPr>
                <w:color w:val="auto"/>
                <w:kern w:val="0"/>
                <w:sz w:val="18"/>
                <w:szCs w:val="18"/>
              </w:rPr>
              <w:t>大修渣处理</w:t>
            </w:r>
          </w:p>
        </w:tc>
        <w:tc>
          <w:tcPr>
            <w:tcW w:w="419" w:type="pct"/>
            <w:noWrap/>
            <w:vAlign w:val="center"/>
          </w:tcPr>
          <w:p>
            <w:pPr>
              <w:widowControl/>
              <w:adjustRightInd w:val="0"/>
              <w:snapToGrid w:val="0"/>
              <w:jc w:val="center"/>
              <w:rPr>
                <w:color w:val="auto"/>
                <w:kern w:val="0"/>
                <w:sz w:val="18"/>
                <w:szCs w:val="18"/>
              </w:rPr>
            </w:pPr>
            <w:r>
              <w:rPr>
                <w:color w:val="auto"/>
                <w:kern w:val="0"/>
                <w:sz w:val="18"/>
                <w:szCs w:val="18"/>
              </w:rPr>
              <w:t>976</w:t>
            </w:r>
          </w:p>
        </w:tc>
        <w:tc>
          <w:tcPr>
            <w:tcW w:w="333" w:type="pct"/>
            <w:noWrap/>
            <w:vAlign w:val="center"/>
          </w:tcPr>
          <w:p>
            <w:pPr>
              <w:widowControl/>
              <w:adjustRightInd w:val="0"/>
              <w:snapToGrid w:val="0"/>
              <w:jc w:val="center"/>
              <w:rPr>
                <w:color w:val="auto"/>
                <w:kern w:val="0"/>
                <w:sz w:val="18"/>
                <w:szCs w:val="18"/>
              </w:rPr>
            </w:pPr>
            <w:r>
              <w:rPr>
                <w:color w:val="auto"/>
                <w:kern w:val="0"/>
                <w:sz w:val="18"/>
                <w:szCs w:val="18"/>
              </w:rPr>
              <w:t>1520</w:t>
            </w:r>
          </w:p>
        </w:tc>
        <w:tc>
          <w:tcPr>
            <w:tcW w:w="437" w:type="pct"/>
            <w:noWrap/>
            <w:vAlign w:val="center"/>
          </w:tcPr>
          <w:p>
            <w:pPr>
              <w:widowControl/>
              <w:adjustRightInd w:val="0"/>
              <w:snapToGrid w:val="0"/>
              <w:jc w:val="center"/>
              <w:rPr>
                <w:color w:val="auto"/>
                <w:kern w:val="0"/>
                <w:sz w:val="18"/>
                <w:szCs w:val="18"/>
              </w:rPr>
            </w:pPr>
            <w:r>
              <w:rPr>
                <w:color w:val="auto"/>
                <w:kern w:val="0"/>
                <w:sz w:val="18"/>
                <w:szCs w:val="18"/>
              </w:rPr>
              <w:t>1560</w:t>
            </w:r>
          </w:p>
        </w:tc>
        <w:tc>
          <w:tcPr>
            <w:tcW w:w="375" w:type="pct"/>
            <w:noWrap/>
            <w:vAlign w:val="center"/>
          </w:tcPr>
          <w:p>
            <w:pPr>
              <w:widowControl/>
              <w:adjustRightInd w:val="0"/>
              <w:snapToGrid w:val="0"/>
              <w:jc w:val="center"/>
              <w:rPr>
                <w:color w:val="auto"/>
                <w:kern w:val="0"/>
                <w:sz w:val="18"/>
                <w:szCs w:val="18"/>
              </w:rPr>
            </w:pPr>
            <w:r>
              <w:rPr>
                <w:color w:val="auto"/>
                <w:kern w:val="0"/>
                <w:sz w:val="18"/>
                <w:szCs w:val="18"/>
              </w:rPr>
              <w:t>36</w:t>
            </w:r>
          </w:p>
        </w:tc>
        <w:tc>
          <w:tcPr>
            <w:tcW w:w="313" w:type="pct"/>
            <w:noWrap/>
            <w:vAlign w:val="center"/>
          </w:tcPr>
          <w:p>
            <w:pPr>
              <w:widowControl/>
              <w:adjustRightInd w:val="0"/>
              <w:snapToGrid w:val="0"/>
              <w:jc w:val="center"/>
              <w:rPr>
                <w:color w:val="auto"/>
                <w:kern w:val="0"/>
                <w:sz w:val="18"/>
                <w:szCs w:val="18"/>
              </w:rPr>
            </w:pPr>
            <w:r>
              <w:rPr>
                <w:color w:val="auto"/>
                <w:kern w:val="0"/>
                <w:sz w:val="18"/>
                <w:szCs w:val="18"/>
              </w:rPr>
              <w:t>102</w:t>
            </w:r>
          </w:p>
        </w:tc>
        <w:tc>
          <w:tcPr>
            <w:tcW w:w="489" w:type="pct"/>
            <w:noWrap/>
            <w:vAlign w:val="center"/>
          </w:tcPr>
          <w:p>
            <w:pPr>
              <w:widowControl/>
              <w:adjustRightInd w:val="0"/>
              <w:snapToGrid w:val="0"/>
              <w:jc w:val="center"/>
              <w:rPr>
                <w:color w:val="auto"/>
                <w:kern w:val="0"/>
                <w:sz w:val="18"/>
                <w:szCs w:val="18"/>
              </w:rPr>
            </w:pPr>
            <w:r>
              <w:rPr>
                <w:color w:val="auto"/>
                <w:kern w:val="0"/>
                <w:sz w:val="18"/>
                <w:szCs w:val="18"/>
              </w:rPr>
              <w:t>-55</w:t>
            </w:r>
          </w:p>
        </w:tc>
        <w:tc>
          <w:tcPr>
            <w:tcW w:w="365" w:type="pct"/>
            <w:noWrap/>
            <w:vAlign w:val="center"/>
          </w:tcPr>
          <w:p>
            <w:pPr>
              <w:widowControl/>
              <w:adjustRightInd w:val="0"/>
              <w:snapToGrid w:val="0"/>
              <w:jc w:val="center"/>
              <w:rPr>
                <w:color w:val="auto"/>
                <w:kern w:val="0"/>
                <w:sz w:val="18"/>
                <w:szCs w:val="18"/>
              </w:rPr>
            </w:pPr>
            <w:r>
              <w:rPr>
                <w:color w:val="auto"/>
                <w:kern w:val="0"/>
                <w:sz w:val="18"/>
                <w:szCs w:val="18"/>
              </w:rPr>
              <w:t>12</w:t>
            </w:r>
          </w:p>
        </w:tc>
        <w:tc>
          <w:tcPr>
            <w:tcW w:w="492" w:type="pct"/>
            <w:noWrap/>
            <w:vAlign w:val="center"/>
          </w:tcPr>
          <w:p>
            <w:pPr>
              <w:widowControl/>
              <w:adjustRightInd w:val="0"/>
              <w:snapToGrid w:val="0"/>
              <w:jc w:val="center"/>
              <w:rPr>
                <w:color w:val="auto"/>
                <w:kern w:val="0"/>
                <w:sz w:val="18"/>
                <w:szCs w:val="18"/>
              </w:rPr>
            </w:pPr>
            <w:r>
              <w:rPr>
                <w:color w:val="auto"/>
                <w:kern w:val="0"/>
                <w:sz w:val="18"/>
                <w:szCs w:val="18"/>
              </w:rPr>
              <w:t>0.807</w:t>
            </w:r>
          </w:p>
        </w:tc>
      </w:tr>
    </w:tbl>
    <w:p>
      <w:pPr>
        <w:pStyle w:val="2"/>
        <w:ind w:left="480" w:firstLine="480"/>
        <w:rPr>
          <w:color w:val="auto"/>
        </w:rPr>
      </w:pPr>
    </w:p>
    <w:p>
      <w:pPr>
        <w:pStyle w:val="31"/>
        <w:rPr>
          <w:color w:val="auto"/>
        </w:rPr>
      </w:pPr>
      <w:r>
        <w:rPr>
          <w:rFonts w:hint="eastAsia"/>
          <w:color w:val="auto"/>
        </w:rPr>
        <w:t>表6.2</w:t>
      </w:r>
      <w:r>
        <w:rPr>
          <w:rFonts w:hint="eastAsia"/>
          <w:color w:val="auto"/>
          <w:lang w:val="en-US" w:eastAsia="zh-CN"/>
        </w:rPr>
        <w:t>-15</w:t>
      </w:r>
      <w:r>
        <w:rPr>
          <w:color w:val="auto"/>
        </w:rPr>
        <w:t xml:space="preserve">  </w:t>
      </w:r>
      <w:r>
        <w:rPr>
          <w:rFonts w:hint="eastAsia"/>
          <w:color w:val="auto"/>
        </w:rPr>
        <w:t>在建</w:t>
      </w:r>
      <w:r>
        <w:rPr>
          <w:color w:val="auto"/>
        </w:rPr>
        <w:t>项目点源参数（云南创新合金有限公司年产120万吨轻质高强铝合金材料项目）</w:t>
      </w:r>
    </w:p>
    <w:tbl>
      <w:tblPr>
        <w:tblStyle w:val="27"/>
        <w:tblW w:w="5004"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511"/>
        <w:gridCol w:w="2329"/>
        <w:gridCol w:w="738"/>
        <w:gridCol w:w="747"/>
        <w:gridCol w:w="738"/>
        <w:gridCol w:w="735"/>
        <w:gridCol w:w="738"/>
        <w:gridCol w:w="741"/>
        <w:gridCol w:w="735"/>
        <w:gridCol w:w="738"/>
        <w:gridCol w:w="744"/>
        <w:gridCol w:w="744"/>
        <w:gridCol w:w="744"/>
        <w:gridCol w:w="755"/>
        <w:gridCol w:w="763"/>
        <w:gridCol w:w="763"/>
        <w:gridCol w:w="77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8" w:hRule="atLeast"/>
        </w:trPr>
        <w:tc>
          <w:tcPr>
            <w:tcW w:w="182"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编号</w:t>
            </w:r>
          </w:p>
        </w:tc>
        <w:tc>
          <w:tcPr>
            <w:tcW w:w="830"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名称</w:t>
            </w:r>
          </w:p>
        </w:tc>
        <w:tc>
          <w:tcPr>
            <w:tcW w:w="529" w:type="pct"/>
            <w:gridSpan w:val="2"/>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排气筒底部中心坐标（m）</w:t>
            </w:r>
          </w:p>
        </w:tc>
        <w:tc>
          <w:tcPr>
            <w:tcW w:w="263"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排气筒底部海拔高度/m</w:t>
            </w:r>
          </w:p>
        </w:tc>
        <w:tc>
          <w:tcPr>
            <w:tcW w:w="262"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排气筒高度/m</w:t>
            </w:r>
          </w:p>
        </w:tc>
        <w:tc>
          <w:tcPr>
            <w:tcW w:w="263"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排气筒出口内径/m</w:t>
            </w:r>
          </w:p>
        </w:tc>
        <w:tc>
          <w:tcPr>
            <w:tcW w:w="264"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烟气流速/（m/s）</w:t>
            </w:r>
          </w:p>
        </w:tc>
        <w:tc>
          <w:tcPr>
            <w:tcW w:w="262" w:type="pct"/>
            <w:vMerge w:val="restar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烟气温度/℃</w:t>
            </w:r>
          </w:p>
        </w:tc>
        <w:tc>
          <w:tcPr>
            <w:tcW w:w="2145" w:type="pct"/>
            <w:gridSpan w:val="8"/>
            <w:tcBorders>
              <w:right w:val="single" w:color="auto" w:sz="4" w:space="0"/>
              <w:tl2br w:val="nil"/>
              <w:tr2bl w:val="nil"/>
            </w:tcBorders>
            <w:shd w:val="clear" w:color="000000" w:fill="FFFFFF"/>
            <w:vAlign w:val="center"/>
          </w:tcPr>
          <w:p>
            <w:pPr>
              <w:adjustRightInd w:val="0"/>
              <w:snapToGrid w:val="0"/>
              <w:jc w:val="center"/>
              <w:rPr>
                <w:color w:val="auto"/>
                <w:sz w:val="18"/>
                <w:szCs w:val="18"/>
              </w:rPr>
            </w:pPr>
            <w:r>
              <w:rPr>
                <w:color w:val="auto"/>
                <w:kern w:val="0"/>
                <w:sz w:val="18"/>
                <w:szCs w:val="18"/>
                <w:lang w:bidi="ar"/>
              </w:rPr>
              <w:t>污染物排放速率/(kg/h)</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830"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63"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i/>
                <w:color w:val="auto"/>
                <w:sz w:val="18"/>
                <w:szCs w:val="18"/>
              </w:rPr>
            </w:pPr>
            <w:r>
              <w:rPr>
                <w:i/>
                <w:color w:val="auto"/>
                <w:kern w:val="0"/>
                <w:sz w:val="18"/>
                <w:szCs w:val="18"/>
                <w:lang w:bidi="ar"/>
              </w:rPr>
              <w:t>X</w:t>
            </w:r>
          </w:p>
        </w:tc>
        <w:tc>
          <w:tcPr>
            <w:tcW w:w="265"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i/>
                <w:color w:val="auto"/>
                <w:sz w:val="18"/>
                <w:szCs w:val="18"/>
              </w:rPr>
            </w:pPr>
            <w:r>
              <w:rPr>
                <w:i/>
                <w:color w:val="auto"/>
                <w:kern w:val="0"/>
                <w:sz w:val="18"/>
                <w:szCs w:val="18"/>
                <w:lang w:bidi="ar"/>
              </w:rPr>
              <w:t>Y</w:t>
            </w:r>
          </w:p>
        </w:tc>
        <w:tc>
          <w:tcPr>
            <w:tcW w:w="263"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62"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63"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64"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62" w:type="pct"/>
            <w:vMerge w:val="continue"/>
            <w:tcBorders>
              <w:tl2br w:val="nil"/>
              <w:tr2bl w:val="nil"/>
            </w:tcBorders>
            <w:shd w:val="clear" w:color="000000" w:fill="FFFFFF"/>
            <w:tcMar>
              <w:top w:w="15" w:type="dxa"/>
              <w:left w:w="15" w:type="dxa"/>
              <w:right w:w="15" w:type="dxa"/>
            </w:tcMar>
            <w:vAlign w:val="center"/>
          </w:tcPr>
          <w:p>
            <w:pPr>
              <w:adjustRightInd w:val="0"/>
              <w:snapToGrid w:val="0"/>
              <w:jc w:val="center"/>
              <w:rPr>
                <w:color w:val="auto"/>
                <w:sz w:val="18"/>
                <w:szCs w:val="18"/>
              </w:rPr>
            </w:pPr>
          </w:p>
        </w:tc>
        <w:tc>
          <w:tcPr>
            <w:tcW w:w="263" w:type="pct"/>
            <w:tcBorders>
              <w:tl2br w:val="nil"/>
              <w:tr2bl w:val="nil"/>
            </w:tcBorders>
            <w:shd w:val="clear" w:color="000000" w:fill="FFFFFF"/>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TSP</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PM</w:t>
            </w:r>
            <w:r>
              <w:rPr>
                <w:color w:val="auto"/>
                <w:kern w:val="0"/>
                <w:sz w:val="18"/>
                <w:szCs w:val="18"/>
                <w:vertAlign w:val="subscript"/>
                <w:lang w:bidi="ar"/>
              </w:rPr>
              <w:t>10</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PM</w:t>
            </w:r>
            <w:r>
              <w:rPr>
                <w:color w:val="auto"/>
                <w:kern w:val="0"/>
                <w:sz w:val="18"/>
                <w:szCs w:val="18"/>
                <w:vertAlign w:val="subscript"/>
                <w:lang w:bidi="ar"/>
              </w:rPr>
              <w:t>2.5</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SO</w:t>
            </w:r>
            <w:r>
              <w:rPr>
                <w:color w:val="auto"/>
                <w:kern w:val="0"/>
                <w:sz w:val="18"/>
                <w:szCs w:val="18"/>
                <w:vertAlign w:val="subscript"/>
                <w:lang w:bidi="ar"/>
              </w:rPr>
              <w:t>2</w:t>
            </w:r>
          </w:p>
        </w:tc>
        <w:tc>
          <w:tcPr>
            <w:tcW w:w="269" w:type="pct"/>
            <w:tcBorders>
              <w:right w:val="single" w:color="auto" w:sz="4" w:space="0"/>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NO</w:t>
            </w:r>
            <w:r>
              <w:rPr>
                <w:color w:val="auto"/>
                <w:kern w:val="0"/>
                <w:sz w:val="18"/>
                <w:szCs w:val="18"/>
                <w:vertAlign w:val="subscript"/>
                <w:lang w:bidi="ar"/>
              </w:rPr>
              <w:t>x</w:t>
            </w:r>
          </w:p>
        </w:tc>
        <w:tc>
          <w:tcPr>
            <w:tcW w:w="272" w:type="pct"/>
            <w:tcBorders>
              <w:left w:val="single" w:color="auto" w:sz="4" w:space="0"/>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F</w:t>
            </w:r>
          </w:p>
        </w:tc>
        <w:tc>
          <w:tcPr>
            <w:tcW w:w="272" w:type="pct"/>
            <w:tcBorders>
              <w:left w:val="single" w:color="auto" w:sz="4" w:space="0"/>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HCl</w:t>
            </w:r>
          </w:p>
        </w:tc>
        <w:tc>
          <w:tcPr>
            <w:tcW w:w="274" w:type="pct"/>
            <w:tcBorders>
              <w:left w:val="single" w:color="auto" w:sz="4" w:space="0"/>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CL</w:t>
            </w:r>
            <w:r>
              <w:rPr>
                <w:color w:val="auto"/>
                <w:kern w:val="0"/>
                <w:sz w:val="18"/>
                <w:szCs w:val="18"/>
                <w:vertAlign w:val="subscript"/>
                <w:lang w:bidi="ar"/>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P1</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1#车间熔保炉系统排气筒1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-58</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140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30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2.0</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8.85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0.278</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0.069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r>
              <w:rPr>
                <w:rFonts w:hint="eastAsia"/>
                <w:color w:val="auto"/>
                <w:kern w:val="0"/>
                <w:sz w:val="18"/>
                <w:szCs w:val="18"/>
                <w:lang w:bidi="ar"/>
              </w:rPr>
              <w:t>420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1.965</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0.0032</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0.171</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0.096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P2</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1#车间熔保炉系统排气筒2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149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30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2.0</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8.85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0.278</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0.069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r>
              <w:rPr>
                <w:rFonts w:hint="eastAsia"/>
                <w:color w:val="auto"/>
                <w:kern w:val="0"/>
                <w:sz w:val="18"/>
                <w:szCs w:val="18"/>
                <w:lang w:bidi="ar"/>
              </w:rPr>
              <w:t>420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1.965</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0.0032</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0.171</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0.096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P3</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1#车间铝灰分离系统排气筒</w:t>
            </w:r>
            <w:r>
              <w:rPr>
                <w:rFonts w:hint="eastAsia"/>
                <w:color w:val="auto"/>
                <w:kern w:val="0"/>
                <w:sz w:val="18"/>
                <w:szCs w:val="18"/>
                <w:lang w:bidi="ar"/>
              </w:rPr>
              <w:t>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33</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107</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1.6</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8.68</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sz w:val="18"/>
                <w:szCs w:val="18"/>
              </w:rPr>
              <w:t>0.088</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0.022</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P4</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1#车间铝灰分离系统排气筒</w:t>
            </w:r>
            <w:r>
              <w:rPr>
                <w:rFonts w:hint="eastAsia"/>
                <w:color w:val="auto"/>
                <w:kern w:val="0"/>
                <w:sz w:val="18"/>
                <w:szCs w:val="18"/>
                <w:lang w:bidi="ar"/>
              </w:rPr>
              <w:t>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-24</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98</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20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1.6</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8.68</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sz w:val="18"/>
                <w:szCs w:val="18"/>
              </w:rPr>
            </w:pPr>
            <w:r>
              <w:rPr>
                <w:color w:val="auto"/>
                <w:sz w:val="18"/>
                <w:szCs w:val="18"/>
              </w:rPr>
              <w:t>0.088</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0.022</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5</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1#车间均质炉排气筒</w:t>
            </w:r>
            <w:r>
              <w:rPr>
                <w:rFonts w:hint="eastAsia"/>
                <w:color w:val="auto"/>
                <w:kern w:val="0"/>
                <w:sz w:val="18"/>
                <w:szCs w:val="18"/>
                <w:lang w:bidi="ar"/>
              </w:rPr>
              <w:t>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182</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-58</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0.9</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6.29</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r>
              <w:rPr>
                <w:rFonts w:hint="eastAsia"/>
                <w:color w:val="auto"/>
                <w:kern w:val="0"/>
                <w:sz w:val="18"/>
                <w:szCs w:val="18"/>
                <w:lang w:bidi="ar"/>
              </w:rPr>
              <w:t>188</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r>
              <w:rPr>
                <w:rFonts w:hint="eastAsia"/>
                <w:color w:val="auto"/>
                <w:kern w:val="0"/>
                <w:sz w:val="18"/>
                <w:szCs w:val="18"/>
                <w:lang w:bidi="ar"/>
              </w:rPr>
              <w:t>263</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1.228</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P6</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1#车间均质炉排气筒</w:t>
            </w:r>
            <w:r>
              <w:rPr>
                <w:rFonts w:hint="eastAsia"/>
                <w:color w:val="auto"/>
                <w:kern w:val="0"/>
                <w:sz w:val="18"/>
                <w:szCs w:val="18"/>
                <w:lang w:bidi="ar"/>
              </w:rPr>
              <w:t>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25</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-10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0.9</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6.29</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r>
              <w:rPr>
                <w:rFonts w:hint="eastAsia"/>
                <w:color w:val="auto"/>
                <w:kern w:val="0"/>
                <w:sz w:val="18"/>
                <w:szCs w:val="18"/>
                <w:lang w:bidi="ar"/>
              </w:rPr>
              <w:t>188</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r>
              <w:rPr>
                <w:rFonts w:hint="eastAsia"/>
                <w:color w:val="auto"/>
                <w:kern w:val="0"/>
                <w:sz w:val="18"/>
                <w:szCs w:val="18"/>
                <w:lang w:bidi="ar"/>
              </w:rPr>
              <w:t>263</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1.228</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w:t>
            </w:r>
            <w:r>
              <w:rPr>
                <w:rFonts w:hint="eastAsia"/>
                <w:color w:val="auto"/>
                <w:kern w:val="0"/>
                <w:sz w:val="18"/>
                <w:szCs w:val="18"/>
                <w:lang w:bidi="ar"/>
              </w:rPr>
              <w:t>7</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2#车间熔保炉系统排气筒1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-149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41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30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2.0</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7.08</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0.171</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0.052</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r>
              <w:rPr>
                <w:rFonts w:hint="eastAsia"/>
                <w:color w:val="auto"/>
                <w:kern w:val="0"/>
                <w:sz w:val="18"/>
                <w:szCs w:val="18"/>
                <w:lang w:bidi="ar"/>
              </w:rPr>
              <w:t>259</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1.210</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0.002</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0.105</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0.059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P8</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2#车间熔保炉系统排气筒2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82</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-124</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30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2.0</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13.27</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0.556</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0.141</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r>
              <w:rPr>
                <w:rFonts w:hint="eastAsia"/>
                <w:color w:val="auto"/>
                <w:kern w:val="0"/>
                <w:sz w:val="18"/>
                <w:szCs w:val="18"/>
                <w:lang w:bidi="ar"/>
              </w:rPr>
              <w:t>840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3</w:t>
            </w:r>
            <w:r>
              <w:rPr>
                <w:color w:val="auto"/>
                <w:kern w:val="0"/>
                <w:sz w:val="18"/>
                <w:szCs w:val="18"/>
                <w:lang w:bidi="ar"/>
              </w:rPr>
              <w:t>.931</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0.0065</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0.342</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0.192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w:t>
            </w:r>
            <w:r>
              <w:rPr>
                <w:color w:val="auto"/>
                <w:kern w:val="0"/>
                <w:sz w:val="18"/>
                <w:szCs w:val="18"/>
                <w:lang w:bidi="ar"/>
              </w:rPr>
              <w:t>9</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2#车间铝灰分离系统排气筒1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w:t>
            </w:r>
            <w:r>
              <w:rPr>
                <w:color w:val="auto"/>
                <w:sz w:val="18"/>
                <w:szCs w:val="18"/>
              </w:rPr>
              <w:t>8</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9</w:t>
            </w:r>
            <w:r>
              <w:rPr>
                <w:color w:val="auto"/>
                <w:sz w:val="18"/>
                <w:szCs w:val="18"/>
              </w:rPr>
              <w:t>9</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20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w:t>
            </w:r>
            <w:r>
              <w:rPr>
                <w:rFonts w:hint="eastAsia"/>
                <w:color w:val="auto"/>
                <w:kern w:val="0"/>
                <w:sz w:val="18"/>
                <w:szCs w:val="18"/>
                <w:lang w:bidi="ar"/>
              </w:rPr>
              <w:t>6</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8.68</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r>
              <w:rPr>
                <w:color w:val="auto"/>
                <w:kern w:val="0"/>
                <w:sz w:val="18"/>
                <w:szCs w:val="18"/>
                <w:lang w:bidi="ar"/>
              </w:rPr>
              <w:t>.115</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r>
              <w:rPr>
                <w:color w:val="auto"/>
                <w:kern w:val="0"/>
                <w:sz w:val="18"/>
                <w:szCs w:val="18"/>
                <w:lang w:bidi="ar"/>
              </w:rPr>
              <w:t>.029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P10</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2#车间铝灰分离系统排气筒</w:t>
            </w:r>
            <w:r>
              <w:rPr>
                <w:rFonts w:hint="eastAsia"/>
                <w:color w:val="auto"/>
                <w:kern w:val="0"/>
                <w:sz w:val="18"/>
                <w:szCs w:val="18"/>
                <w:lang w:bidi="ar"/>
              </w:rPr>
              <w:t>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-75</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-41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20</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w:t>
            </w:r>
            <w:r>
              <w:rPr>
                <w:rFonts w:hint="eastAsia"/>
                <w:color w:val="auto"/>
                <w:kern w:val="0"/>
                <w:sz w:val="18"/>
                <w:szCs w:val="18"/>
                <w:lang w:bidi="ar"/>
              </w:rPr>
              <w:t>6</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8.68</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0</w:t>
            </w:r>
            <w:r>
              <w:rPr>
                <w:color w:val="auto"/>
                <w:kern w:val="0"/>
                <w:sz w:val="18"/>
                <w:szCs w:val="18"/>
                <w:lang w:bidi="ar"/>
              </w:rPr>
              <w:t>.115</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0</w:t>
            </w:r>
            <w:r>
              <w:rPr>
                <w:color w:val="auto"/>
                <w:kern w:val="0"/>
                <w:sz w:val="18"/>
                <w:szCs w:val="18"/>
                <w:lang w:bidi="ar"/>
              </w:rPr>
              <w:t>.029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P11</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2#车间均质炉排气筒</w:t>
            </w:r>
            <w:r>
              <w:rPr>
                <w:rFonts w:hint="eastAsia"/>
                <w:color w:val="auto"/>
                <w:kern w:val="0"/>
                <w:sz w:val="18"/>
                <w:szCs w:val="18"/>
                <w:lang w:bidi="ar"/>
              </w:rPr>
              <w:t>1</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99</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-132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0.9</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9.22</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0.246</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0.031</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0.343</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1.606</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18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P</w:t>
            </w:r>
            <w:r>
              <w:rPr>
                <w:color w:val="auto"/>
                <w:kern w:val="0"/>
                <w:sz w:val="18"/>
                <w:szCs w:val="18"/>
                <w:lang w:bidi="ar"/>
              </w:rPr>
              <w:t>12</w:t>
            </w:r>
          </w:p>
        </w:tc>
        <w:tc>
          <w:tcPr>
            <w:tcW w:w="830"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2#车间均质炉排气筒2</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w:t>
            </w:r>
            <w:r>
              <w:rPr>
                <w:color w:val="auto"/>
                <w:sz w:val="18"/>
                <w:szCs w:val="18"/>
              </w:rPr>
              <w:t>10</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rFonts w:hint="eastAsia"/>
                <w:color w:val="auto"/>
                <w:sz w:val="18"/>
                <w:szCs w:val="18"/>
              </w:rPr>
              <w:t>3</w:t>
            </w:r>
            <w:r>
              <w:rPr>
                <w:color w:val="auto"/>
                <w:sz w:val="18"/>
                <w:szCs w:val="18"/>
              </w:rPr>
              <w:t>6</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sz w:val="18"/>
                <w:szCs w:val="18"/>
              </w:rPr>
            </w:pPr>
            <w:r>
              <w:rPr>
                <w:color w:val="auto"/>
                <w:sz w:val="18"/>
                <w:szCs w:val="18"/>
              </w:rPr>
              <w:t>1565</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0.9</w:t>
            </w:r>
          </w:p>
        </w:tc>
        <w:tc>
          <w:tcPr>
            <w:tcW w:w="264"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9.22</w:t>
            </w:r>
          </w:p>
        </w:tc>
        <w:tc>
          <w:tcPr>
            <w:tcW w:w="26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125</w:t>
            </w:r>
          </w:p>
        </w:tc>
        <w:tc>
          <w:tcPr>
            <w:tcW w:w="263"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0.246</w:t>
            </w:r>
          </w:p>
        </w:tc>
        <w:tc>
          <w:tcPr>
            <w:tcW w:w="265" w:type="pct"/>
            <w:tcBorders>
              <w:tl2br w:val="nil"/>
              <w:tr2bl w:val="nil"/>
            </w:tcBorders>
            <w:vAlign w:val="center"/>
          </w:tcPr>
          <w:p>
            <w:pPr>
              <w:adjustRightInd w:val="0"/>
              <w:snapToGrid w:val="0"/>
              <w:jc w:val="center"/>
              <w:textAlignment w:val="center"/>
              <w:rPr>
                <w:color w:val="auto"/>
                <w:kern w:val="0"/>
                <w:sz w:val="18"/>
                <w:szCs w:val="18"/>
                <w:lang w:bidi="ar"/>
              </w:rPr>
            </w:pPr>
            <w:r>
              <w:rPr>
                <w:rFonts w:hint="eastAsia"/>
                <w:color w:val="auto"/>
                <w:kern w:val="0"/>
                <w:sz w:val="18"/>
                <w:szCs w:val="18"/>
                <w:lang w:bidi="ar"/>
              </w:rPr>
              <w:t>/</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0.031</w:t>
            </w:r>
          </w:p>
        </w:tc>
        <w:tc>
          <w:tcPr>
            <w:tcW w:w="265"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0.343</w:t>
            </w:r>
          </w:p>
        </w:tc>
        <w:tc>
          <w:tcPr>
            <w:tcW w:w="269"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1.606</w:t>
            </w:r>
          </w:p>
        </w:tc>
        <w:tc>
          <w:tcPr>
            <w:tcW w:w="272" w:type="pct"/>
            <w:tcBorders>
              <w:tl2br w:val="nil"/>
              <w:tr2bl w:val="nil"/>
            </w:tcBorders>
            <w:noWrap/>
            <w:tcMar>
              <w:top w:w="15" w:type="dxa"/>
              <w:left w:w="15" w:type="dxa"/>
              <w:right w:w="15" w:type="dxa"/>
            </w:tcMar>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2"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c>
          <w:tcPr>
            <w:tcW w:w="274" w:type="pct"/>
            <w:tcBorders>
              <w:tl2br w:val="nil"/>
              <w:tr2bl w:val="nil"/>
            </w:tcBorders>
            <w:vAlign w:val="center"/>
          </w:tcPr>
          <w:p>
            <w:pPr>
              <w:adjustRightInd w:val="0"/>
              <w:snapToGrid w:val="0"/>
              <w:jc w:val="center"/>
              <w:textAlignment w:val="center"/>
              <w:rPr>
                <w:color w:val="auto"/>
                <w:kern w:val="0"/>
                <w:sz w:val="18"/>
                <w:szCs w:val="18"/>
                <w:lang w:bidi="ar"/>
              </w:rPr>
            </w:pPr>
            <w:r>
              <w:rPr>
                <w:color w:val="auto"/>
                <w:kern w:val="0"/>
                <w:sz w:val="18"/>
                <w:szCs w:val="18"/>
                <w:lang w:bidi="ar"/>
              </w:rPr>
              <w:t>0</w:t>
            </w:r>
          </w:p>
        </w:tc>
      </w:tr>
    </w:tbl>
    <w:p>
      <w:pPr>
        <w:pStyle w:val="31"/>
        <w:rPr>
          <w:color w:val="auto"/>
        </w:rPr>
      </w:pPr>
      <w:r>
        <w:rPr>
          <w:rFonts w:hint="eastAsia"/>
          <w:color w:val="auto"/>
        </w:rPr>
        <w:t>表6.2</w:t>
      </w:r>
      <w:r>
        <w:rPr>
          <w:rFonts w:hint="eastAsia"/>
          <w:color w:val="auto"/>
          <w:lang w:val="en-US" w:eastAsia="zh-CN"/>
        </w:rPr>
        <w:t>-16</w:t>
      </w:r>
      <w:r>
        <w:rPr>
          <w:color w:val="auto"/>
        </w:rPr>
        <w:t xml:space="preserve">  </w:t>
      </w:r>
      <w:r>
        <w:rPr>
          <w:rFonts w:hint="eastAsia"/>
          <w:color w:val="auto"/>
        </w:rPr>
        <w:t>在建</w:t>
      </w:r>
      <w:r>
        <w:rPr>
          <w:color w:val="auto"/>
        </w:rPr>
        <w:t>项目面源参数（云南创新合金有限公司年产120万吨轻质高强铝合金材料项目）</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080"/>
        <w:gridCol w:w="2082"/>
        <w:gridCol w:w="1080"/>
        <w:gridCol w:w="1080"/>
        <w:gridCol w:w="791"/>
        <w:gridCol w:w="850"/>
        <w:gridCol w:w="991"/>
        <w:gridCol w:w="1277"/>
        <w:gridCol w:w="992"/>
        <w:gridCol w:w="380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编号</w:t>
            </w:r>
          </w:p>
        </w:tc>
        <w:tc>
          <w:tcPr>
            <w:tcW w:w="742"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名称</w:t>
            </w:r>
          </w:p>
        </w:tc>
        <w:tc>
          <w:tcPr>
            <w:tcW w:w="770" w:type="pct"/>
            <w:gridSpan w:val="2"/>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面源起点坐标/m</w:t>
            </w:r>
          </w:p>
        </w:tc>
        <w:tc>
          <w:tcPr>
            <w:tcW w:w="282"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面源海拔高度/m</w:t>
            </w:r>
          </w:p>
        </w:tc>
        <w:tc>
          <w:tcPr>
            <w:tcW w:w="303"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面源长度/m</w:t>
            </w:r>
          </w:p>
        </w:tc>
        <w:tc>
          <w:tcPr>
            <w:tcW w:w="353"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面源宽度/m</w:t>
            </w:r>
          </w:p>
        </w:tc>
        <w:tc>
          <w:tcPr>
            <w:tcW w:w="455"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5"/>
                <w:szCs w:val="15"/>
              </w:rPr>
            </w:pPr>
            <w:r>
              <w:rPr>
                <w:color w:val="auto"/>
                <w:kern w:val="0"/>
                <w:sz w:val="15"/>
                <w:szCs w:val="15"/>
                <w:lang w:bidi="ar"/>
              </w:rPr>
              <w:t>与正北向夹角/°</w:t>
            </w:r>
          </w:p>
        </w:tc>
        <w:tc>
          <w:tcPr>
            <w:tcW w:w="353" w:type="pct"/>
            <w:vMerge w:val="restar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color w:val="auto"/>
                <w:sz w:val="15"/>
                <w:szCs w:val="15"/>
              </w:rPr>
            </w:pPr>
            <w:r>
              <w:rPr>
                <w:color w:val="auto"/>
                <w:kern w:val="0"/>
                <w:sz w:val="15"/>
                <w:szCs w:val="15"/>
                <w:lang w:bidi="ar"/>
              </w:rPr>
              <w:t>面源有效排放高度/m</w:t>
            </w:r>
          </w:p>
        </w:tc>
        <w:tc>
          <w:tcPr>
            <w:tcW w:w="1357" w:type="pct"/>
            <w:tcBorders>
              <w:tl2br w:val="nil"/>
              <w:tr2bl w:val="nil"/>
            </w:tcBorders>
            <w:tcMar>
              <w:top w:w="15" w:type="dxa"/>
              <w:left w:w="15" w:type="dxa"/>
              <w:right w:w="15" w:type="dxa"/>
            </w:tcMar>
            <w:vAlign w:val="center"/>
          </w:tcPr>
          <w:p>
            <w:pPr>
              <w:widowControl/>
              <w:adjustRightInd w:val="0"/>
              <w:snapToGrid w:val="0"/>
              <w:jc w:val="center"/>
              <w:rPr>
                <w:color w:val="auto"/>
                <w:sz w:val="18"/>
                <w:szCs w:val="18"/>
              </w:rPr>
            </w:pPr>
            <w:r>
              <w:rPr>
                <w:color w:val="auto"/>
                <w:kern w:val="0"/>
                <w:sz w:val="18"/>
                <w:szCs w:val="18"/>
                <w:lang w:bidi="ar"/>
              </w:rPr>
              <w:t>污染物排放速率/(kg/h)</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742"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385" w:type="pc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i/>
                <w:color w:val="auto"/>
                <w:sz w:val="18"/>
                <w:szCs w:val="18"/>
              </w:rPr>
            </w:pPr>
            <w:r>
              <w:rPr>
                <w:i/>
                <w:color w:val="auto"/>
                <w:kern w:val="0"/>
                <w:sz w:val="18"/>
                <w:szCs w:val="18"/>
                <w:lang w:bidi="ar"/>
              </w:rPr>
              <w:t>X</w:t>
            </w:r>
          </w:p>
        </w:tc>
        <w:tc>
          <w:tcPr>
            <w:tcW w:w="385" w:type="pct"/>
            <w:tcBorders>
              <w:tl2br w:val="nil"/>
              <w:tr2bl w:val="nil"/>
            </w:tcBorders>
            <w:shd w:val="clear" w:color="000000" w:fill="FFFFFF"/>
            <w:tcMar>
              <w:top w:w="15" w:type="dxa"/>
              <w:left w:w="15" w:type="dxa"/>
              <w:right w:w="15" w:type="dxa"/>
            </w:tcMar>
            <w:vAlign w:val="center"/>
          </w:tcPr>
          <w:p>
            <w:pPr>
              <w:widowControl/>
              <w:adjustRightInd w:val="0"/>
              <w:snapToGrid w:val="0"/>
              <w:jc w:val="center"/>
              <w:textAlignment w:val="center"/>
              <w:rPr>
                <w:i/>
                <w:color w:val="auto"/>
                <w:sz w:val="18"/>
                <w:szCs w:val="18"/>
              </w:rPr>
            </w:pPr>
            <w:r>
              <w:rPr>
                <w:i/>
                <w:color w:val="auto"/>
                <w:kern w:val="0"/>
                <w:sz w:val="18"/>
                <w:szCs w:val="18"/>
                <w:lang w:bidi="ar"/>
              </w:rPr>
              <w:t>Y</w:t>
            </w:r>
          </w:p>
        </w:tc>
        <w:tc>
          <w:tcPr>
            <w:tcW w:w="282"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303"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353"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455"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353" w:type="pct"/>
            <w:vMerge w:val="continue"/>
            <w:tcBorders>
              <w:tl2br w:val="nil"/>
              <w:tr2bl w:val="nil"/>
            </w:tcBorders>
            <w:shd w:val="clear" w:color="000000" w:fill="FFFFFF"/>
            <w:tcMar>
              <w:top w:w="15" w:type="dxa"/>
              <w:left w:w="15" w:type="dxa"/>
              <w:right w:w="15" w:type="dxa"/>
            </w:tcMar>
            <w:vAlign w:val="center"/>
          </w:tcPr>
          <w:p>
            <w:pPr>
              <w:widowControl/>
              <w:adjustRightInd w:val="0"/>
              <w:snapToGrid w:val="0"/>
              <w:jc w:val="center"/>
              <w:rPr>
                <w:color w:val="auto"/>
                <w:sz w:val="18"/>
                <w:szCs w:val="18"/>
              </w:rPr>
            </w:pPr>
          </w:p>
        </w:tc>
        <w:tc>
          <w:tcPr>
            <w:tcW w:w="1357" w:type="pct"/>
            <w:tcBorders>
              <w:tl2br w:val="nil"/>
              <w:tr2bl w:val="nil"/>
            </w:tcBorders>
            <w:tcMar>
              <w:top w:w="15" w:type="dxa"/>
              <w:left w:w="15" w:type="dxa"/>
              <w:right w:w="15" w:type="dxa"/>
            </w:tcMar>
            <w:vAlign w:val="center"/>
          </w:tcPr>
          <w:p>
            <w:pPr>
              <w:adjustRightInd w:val="0"/>
              <w:snapToGrid w:val="0"/>
              <w:jc w:val="center"/>
              <w:textAlignment w:val="center"/>
              <w:rPr>
                <w:color w:val="auto"/>
                <w:sz w:val="18"/>
                <w:szCs w:val="18"/>
              </w:rPr>
            </w:pPr>
            <w:r>
              <w:rPr>
                <w:color w:val="auto"/>
                <w:kern w:val="0"/>
                <w:sz w:val="18"/>
                <w:szCs w:val="18"/>
                <w:lang w:bidi="ar"/>
              </w:rPr>
              <w:t>TSP</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A1</w:t>
            </w:r>
          </w:p>
        </w:tc>
        <w:tc>
          <w:tcPr>
            <w:tcW w:w="74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1#车间熔保炉系统</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8</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91</w:t>
            </w:r>
          </w:p>
        </w:tc>
        <w:tc>
          <w:tcPr>
            <w:tcW w:w="28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1565</w:t>
            </w:r>
          </w:p>
        </w:tc>
        <w:tc>
          <w:tcPr>
            <w:tcW w:w="30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220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90</w:t>
            </w:r>
          </w:p>
        </w:tc>
        <w:tc>
          <w:tcPr>
            <w:tcW w:w="45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30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13.6</w:t>
            </w:r>
          </w:p>
        </w:tc>
        <w:tc>
          <w:tcPr>
            <w:tcW w:w="1357" w:type="pct"/>
            <w:tcBorders>
              <w:tl2br w:val="nil"/>
              <w:tr2bl w:val="nil"/>
            </w:tcBorders>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0.101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A2</w:t>
            </w:r>
          </w:p>
        </w:tc>
        <w:tc>
          <w:tcPr>
            <w:tcW w:w="74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1#车间铝灰分离系统</w:t>
            </w:r>
            <w:r>
              <w:rPr>
                <w:rFonts w:hint="eastAsia"/>
                <w:color w:val="auto"/>
                <w:kern w:val="0"/>
                <w:sz w:val="18"/>
                <w:szCs w:val="18"/>
                <w:lang w:bidi="ar"/>
              </w:rPr>
              <w:t>1</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74</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50</w:t>
            </w:r>
          </w:p>
        </w:tc>
        <w:tc>
          <w:tcPr>
            <w:tcW w:w="28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1565</w:t>
            </w:r>
          </w:p>
        </w:tc>
        <w:tc>
          <w:tcPr>
            <w:tcW w:w="30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40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12</w:t>
            </w:r>
          </w:p>
        </w:tc>
        <w:tc>
          <w:tcPr>
            <w:tcW w:w="455" w:type="pct"/>
            <w:tcBorders>
              <w:tl2br w:val="nil"/>
              <w:tr2bl w:val="nil"/>
            </w:tcBorders>
            <w:noWrap/>
            <w:tcMar>
              <w:top w:w="15" w:type="dxa"/>
              <w:left w:w="15" w:type="dxa"/>
              <w:right w:w="15" w:type="dxa"/>
            </w:tcMar>
          </w:tcPr>
          <w:p>
            <w:pPr>
              <w:widowControl/>
              <w:adjustRightInd w:val="0"/>
              <w:snapToGrid w:val="0"/>
              <w:jc w:val="center"/>
              <w:textAlignment w:val="center"/>
              <w:rPr>
                <w:color w:val="auto"/>
                <w:sz w:val="18"/>
                <w:szCs w:val="18"/>
              </w:rPr>
            </w:pPr>
            <w:r>
              <w:rPr>
                <w:color w:val="auto"/>
                <w:kern w:val="0"/>
                <w:sz w:val="18"/>
                <w:szCs w:val="18"/>
                <w:lang w:bidi="ar"/>
              </w:rPr>
              <w:t>30</w:t>
            </w:r>
          </w:p>
        </w:tc>
        <w:tc>
          <w:tcPr>
            <w:tcW w:w="353" w:type="pct"/>
            <w:tcBorders>
              <w:tl2br w:val="nil"/>
              <w:tr2bl w:val="nil"/>
            </w:tcBorders>
            <w:noWrap/>
            <w:tcMar>
              <w:top w:w="15" w:type="dxa"/>
              <w:left w:w="15" w:type="dxa"/>
              <w:right w:w="15" w:type="dxa"/>
            </w:tcMar>
          </w:tcPr>
          <w:p>
            <w:pPr>
              <w:widowControl/>
              <w:adjustRightInd w:val="0"/>
              <w:snapToGrid w:val="0"/>
              <w:jc w:val="center"/>
              <w:textAlignment w:val="center"/>
              <w:rPr>
                <w:color w:val="auto"/>
                <w:sz w:val="18"/>
                <w:szCs w:val="18"/>
              </w:rPr>
            </w:pPr>
            <w:r>
              <w:rPr>
                <w:color w:val="auto"/>
                <w:kern w:val="0"/>
                <w:sz w:val="18"/>
                <w:szCs w:val="18"/>
                <w:lang w:bidi="ar"/>
              </w:rPr>
              <w:t>13.6</w:t>
            </w:r>
          </w:p>
        </w:tc>
        <w:tc>
          <w:tcPr>
            <w:tcW w:w="1357" w:type="pct"/>
            <w:tcBorders>
              <w:tl2br w:val="nil"/>
              <w:tr2bl w:val="nil"/>
            </w:tcBorders>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0.044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A3</w:t>
            </w:r>
          </w:p>
        </w:tc>
        <w:tc>
          <w:tcPr>
            <w:tcW w:w="74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1#车间铝灰分离系统2</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sz w:val="18"/>
                <w:szCs w:val="18"/>
              </w:rPr>
              <w:t>1</w:t>
            </w:r>
            <w:r>
              <w:rPr>
                <w:color w:val="auto"/>
                <w:sz w:val="18"/>
                <w:szCs w:val="18"/>
              </w:rPr>
              <w:t>2</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sz w:val="18"/>
                <w:szCs w:val="18"/>
              </w:rPr>
              <w:t>-</w:t>
            </w:r>
            <w:r>
              <w:rPr>
                <w:color w:val="auto"/>
                <w:sz w:val="18"/>
                <w:szCs w:val="18"/>
              </w:rPr>
              <w:t>20</w:t>
            </w:r>
          </w:p>
        </w:tc>
        <w:tc>
          <w:tcPr>
            <w:tcW w:w="28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1565</w:t>
            </w:r>
          </w:p>
        </w:tc>
        <w:tc>
          <w:tcPr>
            <w:tcW w:w="30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40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12</w:t>
            </w:r>
          </w:p>
        </w:tc>
        <w:tc>
          <w:tcPr>
            <w:tcW w:w="455"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30</w:t>
            </w:r>
          </w:p>
        </w:tc>
        <w:tc>
          <w:tcPr>
            <w:tcW w:w="353"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13.6</w:t>
            </w:r>
          </w:p>
        </w:tc>
        <w:tc>
          <w:tcPr>
            <w:tcW w:w="1357" w:type="pct"/>
            <w:tcBorders>
              <w:tl2br w:val="nil"/>
              <w:tr2bl w:val="nil"/>
            </w:tcBorders>
            <w:tcMar>
              <w:top w:w="15" w:type="dxa"/>
              <w:left w:w="15" w:type="dxa"/>
              <w:right w:w="15" w:type="dxa"/>
            </w:tcMar>
          </w:tcPr>
          <w:p>
            <w:pPr>
              <w:widowControl/>
              <w:adjustRightInd w:val="0"/>
              <w:snapToGrid w:val="0"/>
              <w:jc w:val="center"/>
              <w:textAlignment w:val="center"/>
              <w:rPr>
                <w:color w:val="auto"/>
                <w:kern w:val="0"/>
                <w:sz w:val="18"/>
                <w:szCs w:val="18"/>
                <w:lang w:bidi="ar"/>
              </w:rPr>
            </w:pPr>
            <w:r>
              <w:rPr>
                <w:rFonts w:hint="eastAsia"/>
                <w:color w:val="auto"/>
                <w:kern w:val="0"/>
                <w:sz w:val="18"/>
                <w:szCs w:val="18"/>
                <w:lang w:bidi="ar"/>
              </w:rPr>
              <w:t>0</w:t>
            </w:r>
            <w:r>
              <w:rPr>
                <w:color w:val="auto"/>
                <w:kern w:val="0"/>
                <w:sz w:val="18"/>
                <w:szCs w:val="18"/>
                <w:lang w:bidi="ar"/>
              </w:rPr>
              <w:t>.044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A4</w:t>
            </w:r>
          </w:p>
        </w:tc>
        <w:tc>
          <w:tcPr>
            <w:tcW w:w="74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2#车间熔保炉系统</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-99</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-25</w:t>
            </w:r>
          </w:p>
        </w:tc>
        <w:tc>
          <w:tcPr>
            <w:tcW w:w="28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1565</w:t>
            </w:r>
          </w:p>
        </w:tc>
        <w:tc>
          <w:tcPr>
            <w:tcW w:w="30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200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80</w:t>
            </w:r>
          </w:p>
        </w:tc>
        <w:tc>
          <w:tcPr>
            <w:tcW w:w="455" w:type="pct"/>
            <w:tcBorders>
              <w:tl2br w:val="nil"/>
              <w:tr2bl w:val="nil"/>
            </w:tcBorders>
            <w:noWrap/>
            <w:tcMar>
              <w:top w:w="15" w:type="dxa"/>
              <w:left w:w="15" w:type="dxa"/>
              <w:right w:w="15" w:type="dxa"/>
            </w:tcMar>
          </w:tcPr>
          <w:p>
            <w:pPr>
              <w:widowControl/>
              <w:adjustRightInd w:val="0"/>
              <w:snapToGrid w:val="0"/>
              <w:jc w:val="center"/>
              <w:textAlignment w:val="center"/>
              <w:rPr>
                <w:color w:val="auto"/>
                <w:sz w:val="18"/>
                <w:szCs w:val="18"/>
              </w:rPr>
            </w:pPr>
            <w:r>
              <w:rPr>
                <w:color w:val="auto"/>
                <w:kern w:val="0"/>
                <w:sz w:val="18"/>
                <w:szCs w:val="18"/>
                <w:lang w:bidi="ar"/>
              </w:rPr>
              <w:t>30</w:t>
            </w:r>
          </w:p>
        </w:tc>
        <w:tc>
          <w:tcPr>
            <w:tcW w:w="353" w:type="pct"/>
            <w:tcBorders>
              <w:tl2br w:val="nil"/>
              <w:tr2bl w:val="nil"/>
            </w:tcBorders>
            <w:noWrap/>
            <w:tcMar>
              <w:top w:w="15" w:type="dxa"/>
              <w:left w:w="15" w:type="dxa"/>
              <w:right w:w="15" w:type="dxa"/>
            </w:tcMar>
          </w:tcPr>
          <w:p>
            <w:pPr>
              <w:widowControl/>
              <w:adjustRightInd w:val="0"/>
              <w:snapToGrid w:val="0"/>
              <w:jc w:val="center"/>
              <w:textAlignment w:val="center"/>
              <w:rPr>
                <w:color w:val="auto"/>
                <w:sz w:val="18"/>
                <w:szCs w:val="18"/>
              </w:rPr>
            </w:pPr>
            <w:r>
              <w:rPr>
                <w:color w:val="auto"/>
                <w:kern w:val="0"/>
                <w:sz w:val="18"/>
                <w:szCs w:val="18"/>
                <w:lang w:bidi="ar"/>
              </w:rPr>
              <w:t>13.6</w:t>
            </w:r>
          </w:p>
        </w:tc>
        <w:tc>
          <w:tcPr>
            <w:tcW w:w="1357"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0.301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A5</w:t>
            </w:r>
          </w:p>
        </w:tc>
        <w:tc>
          <w:tcPr>
            <w:tcW w:w="74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2#车间铝灰分离系统</w:t>
            </w:r>
            <w:r>
              <w:rPr>
                <w:rFonts w:hint="eastAsia"/>
                <w:color w:val="auto"/>
                <w:kern w:val="0"/>
                <w:sz w:val="18"/>
                <w:szCs w:val="18"/>
                <w:lang w:bidi="ar"/>
              </w:rPr>
              <w:t>1</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8</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-99</w:t>
            </w:r>
          </w:p>
        </w:tc>
        <w:tc>
          <w:tcPr>
            <w:tcW w:w="28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1565</w:t>
            </w:r>
          </w:p>
        </w:tc>
        <w:tc>
          <w:tcPr>
            <w:tcW w:w="30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40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kern w:val="0"/>
                <w:sz w:val="18"/>
                <w:szCs w:val="18"/>
                <w:lang w:bidi="ar"/>
              </w:rPr>
              <w:t>15</w:t>
            </w:r>
          </w:p>
        </w:tc>
        <w:tc>
          <w:tcPr>
            <w:tcW w:w="455" w:type="pct"/>
            <w:tcBorders>
              <w:tl2br w:val="nil"/>
              <w:tr2bl w:val="nil"/>
            </w:tcBorders>
            <w:noWrap/>
            <w:tcMar>
              <w:top w:w="15" w:type="dxa"/>
              <w:left w:w="15" w:type="dxa"/>
              <w:right w:w="15" w:type="dxa"/>
            </w:tcMar>
          </w:tcPr>
          <w:p>
            <w:pPr>
              <w:widowControl/>
              <w:adjustRightInd w:val="0"/>
              <w:snapToGrid w:val="0"/>
              <w:jc w:val="center"/>
              <w:textAlignment w:val="center"/>
              <w:rPr>
                <w:color w:val="auto"/>
                <w:sz w:val="18"/>
                <w:szCs w:val="18"/>
              </w:rPr>
            </w:pPr>
            <w:r>
              <w:rPr>
                <w:color w:val="auto"/>
                <w:kern w:val="0"/>
                <w:sz w:val="18"/>
                <w:szCs w:val="18"/>
                <w:lang w:bidi="ar"/>
              </w:rPr>
              <w:t>30</w:t>
            </w:r>
          </w:p>
        </w:tc>
        <w:tc>
          <w:tcPr>
            <w:tcW w:w="353" w:type="pct"/>
            <w:tcBorders>
              <w:tl2br w:val="nil"/>
              <w:tr2bl w:val="nil"/>
            </w:tcBorders>
            <w:noWrap/>
            <w:tcMar>
              <w:top w:w="15" w:type="dxa"/>
              <w:left w:w="15" w:type="dxa"/>
              <w:right w:w="15" w:type="dxa"/>
            </w:tcMar>
          </w:tcPr>
          <w:p>
            <w:pPr>
              <w:widowControl/>
              <w:adjustRightInd w:val="0"/>
              <w:snapToGrid w:val="0"/>
              <w:jc w:val="center"/>
              <w:textAlignment w:val="center"/>
              <w:rPr>
                <w:color w:val="auto"/>
                <w:sz w:val="18"/>
                <w:szCs w:val="18"/>
              </w:rPr>
            </w:pPr>
            <w:r>
              <w:rPr>
                <w:color w:val="auto"/>
                <w:kern w:val="0"/>
                <w:sz w:val="18"/>
                <w:szCs w:val="18"/>
                <w:lang w:bidi="ar"/>
              </w:rPr>
              <w:t>13.6</w:t>
            </w:r>
          </w:p>
        </w:tc>
        <w:tc>
          <w:tcPr>
            <w:tcW w:w="1357"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0.058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rFonts w:hint="eastAsia"/>
                <w:color w:val="auto"/>
                <w:kern w:val="0"/>
                <w:sz w:val="18"/>
                <w:szCs w:val="18"/>
                <w:lang w:bidi="ar"/>
              </w:rPr>
              <w:t>A</w:t>
            </w:r>
            <w:r>
              <w:rPr>
                <w:color w:val="auto"/>
                <w:kern w:val="0"/>
                <w:sz w:val="18"/>
                <w:szCs w:val="18"/>
                <w:lang w:bidi="ar"/>
              </w:rPr>
              <w:t>6</w:t>
            </w:r>
          </w:p>
        </w:tc>
        <w:tc>
          <w:tcPr>
            <w:tcW w:w="74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2#车间铝灰分离系统</w:t>
            </w:r>
            <w:r>
              <w:rPr>
                <w:rFonts w:hint="eastAsia"/>
                <w:color w:val="auto"/>
                <w:kern w:val="0"/>
                <w:sz w:val="18"/>
                <w:szCs w:val="18"/>
                <w:lang w:bidi="ar"/>
              </w:rPr>
              <w:t>2</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sz w:val="18"/>
                <w:szCs w:val="18"/>
              </w:rPr>
              <w:t>-</w:t>
            </w:r>
            <w:r>
              <w:rPr>
                <w:color w:val="auto"/>
                <w:sz w:val="18"/>
                <w:szCs w:val="18"/>
              </w:rPr>
              <w:t>40</w:t>
            </w:r>
          </w:p>
        </w:tc>
        <w:tc>
          <w:tcPr>
            <w:tcW w:w="385"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rFonts w:hint="eastAsia"/>
                <w:color w:val="auto"/>
                <w:sz w:val="18"/>
                <w:szCs w:val="18"/>
              </w:rPr>
              <w:t>8</w:t>
            </w:r>
            <w:r>
              <w:rPr>
                <w:color w:val="auto"/>
                <w:sz w:val="18"/>
                <w:szCs w:val="18"/>
              </w:rPr>
              <w:t>5</w:t>
            </w:r>
          </w:p>
        </w:tc>
        <w:tc>
          <w:tcPr>
            <w:tcW w:w="282"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sz w:val="18"/>
                <w:szCs w:val="18"/>
              </w:rPr>
            </w:pPr>
            <w:r>
              <w:rPr>
                <w:color w:val="auto"/>
                <w:sz w:val="18"/>
                <w:szCs w:val="18"/>
              </w:rPr>
              <w:t>1565</w:t>
            </w:r>
          </w:p>
        </w:tc>
        <w:tc>
          <w:tcPr>
            <w:tcW w:w="30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40</w:t>
            </w:r>
          </w:p>
        </w:tc>
        <w:tc>
          <w:tcPr>
            <w:tcW w:w="353" w:type="pct"/>
            <w:tcBorders>
              <w:tl2br w:val="nil"/>
              <w:tr2bl w:val="nil"/>
            </w:tcBorders>
            <w:noWrap/>
            <w:tcMar>
              <w:top w:w="15" w:type="dxa"/>
              <w:left w:w="15" w:type="dxa"/>
              <w:right w:w="15" w:type="dxa"/>
            </w:tcMar>
            <w:vAlign w:val="center"/>
          </w:tcPr>
          <w:p>
            <w:pPr>
              <w:widowControl/>
              <w:adjustRightInd w:val="0"/>
              <w:snapToGrid w:val="0"/>
              <w:jc w:val="center"/>
              <w:textAlignment w:val="center"/>
              <w:rPr>
                <w:color w:val="auto"/>
                <w:kern w:val="0"/>
                <w:sz w:val="18"/>
                <w:szCs w:val="18"/>
                <w:lang w:bidi="ar"/>
              </w:rPr>
            </w:pPr>
            <w:r>
              <w:rPr>
                <w:color w:val="auto"/>
                <w:kern w:val="0"/>
                <w:sz w:val="18"/>
                <w:szCs w:val="18"/>
                <w:lang w:bidi="ar"/>
              </w:rPr>
              <w:t>15</w:t>
            </w:r>
          </w:p>
        </w:tc>
        <w:tc>
          <w:tcPr>
            <w:tcW w:w="455"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30</w:t>
            </w:r>
          </w:p>
        </w:tc>
        <w:tc>
          <w:tcPr>
            <w:tcW w:w="353"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color w:val="auto"/>
                <w:kern w:val="0"/>
                <w:sz w:val="18"/>
                <w:szCs w:val="18"/>
                <w:lang w:bidi="ar"/>
              </w:rPr>
              <w:t>13.6</w:t>
            </w:r>
          </w:p>
        </w:tc>
        <w:tc>
          <w:tcPr>
            <w:tcW w:w="1357" w:type="pct"/>
            <w:tcBorders>
              <w:tl2br w:val="nil"/>
              <w:tr2bl w:val="nil"/>
            </w:tcBorders>
            <w:noWrap/>
            <w:tcMar>
              <w:top w:w="15" w:type="dxa"/>
              <w:left w:w="15" w:type="dxa"/>
              <w:right w:w="15" w:type="dxa"/>
            </w:tcMar>
          </w:tcPr>
          <w:p>
            <w:pPr>
              <w:widowControl/>
              <w:adjustRightInd w:val="0"/>
              <w:snapToGrid w:val="0"/>
              <w:jc w:val="center"/>
              <w:textAlignment w:val="center"/>
              <w:rPr>
                <w:color w:val="auto"/>
                <w:kern w:val="0"/>
                <w:sz w:val="18"/>
                <w:szCs w:val="18"/>
                <w:lang w:bidi="ar"/>
              </w:rPr>
            </w:pPr>
            <w:r>
              <w:rPr>
                <w:rFonts w:hint="eastAsia"/>
                <w:color w:val="auto"/>
                <w:kern w:val="0"/>
                <w:sz w:val="18"/>
                <w:szCs w:val="18"/>
                <w:lang w:bidi="ar"/>
              </w:rPr>
              <w:t>0</w:t>
            </w:r>
            <w:r>
              <w:rPr>
                <w:color w:val="auto"/>
                <w:kern w:val="0"/>
                <w:sz w:val="18"/>
                <w:szCs w:val="18"/>
                <w:lang w:bidi="ar"/>
              </w:rPr>
              <w:t>.058</w:t>
            </w:r>
          </w:p>
        </w:tc>
      </w:tr>
    </w:tbl>
    <w:p>
      <w:pPr>
        <w:rPr>
          <w:color w:val="FF0000"/>
        </w:rPr>
        <w:sectPr>
          <w:pgSz w:w="16838" w:h="11906" w:orient="landscape"/>
          <w:pgMar w:top="1701" w:right="1418" w:bottom="1418" w:left="1418" w:header="851" w:footer="851" w:gutter="0"/>
          <w:cols w:space="720" w:num="1"/>
        </w:sectPr>
      </w:pPr>
    </w:p>
    <w:p>
      <w:pPr>
        <w:pStyle w:val="9"/>
        <w:rPr>
          <w:color w:val="auto"/>
        </w:rPr>
      </w:pPr>
      <w:r>
        <w:rPr>
          <w:rFonts w:hint="eastAsia"/>
          <w:color w:val="auto"/>
        </w:rPr>
        <w:t>6.2.2.</w:t>
      </w:r>
      <w:r>
        <w:rPr>
          <w:color w:val="auto"/>
        </w:rPr>
        <w:t>7</w:t>
      </w:r>
      <w:r>
        <w:rPr>
          <w:rFonts w:hint="eastAsia"/>
          <w:color w:val="auto"/>
        </w:rPr>
        <w:t>预测与评价内容</w:t>
      </w:r>
    </w:p>
    <w:p>
      <w:pPr>
        <w:pStyle w:val="7"/>
        <w:ind w:firstLine="480"/>
        <w:rPr>
          <w:color w:val="auto"/>
        </w:rPr>
      </w:pPr>
      <w:r>
        <w:rPr>
          <w:rFonts w:hint="eastAsia"/>
          <w:color w:val="auto"/>
        </w:rPr>
        <w:t>根据现状评价结果，本项目所在区域为达标区，按照《环境影响评价技术导则》（HJ2.2-2018）8.7预测与评价内容要求，预测与评价内容如下：</w:t>
      </w:r>
    </w:p>
    <w:p>
      <w:pPr>
        <w:pStyle w:val="7"/>
        <w:ind w:firstLine="480"/>
        <w:rPr>
          <w:color w:val="auto"/>
        </w:rPr>
      </w:pPr>
      <w:r>
        <w:rPr>
          <w:rFonts w:hint="eastAsia"/>
          <w:color w:val="auto"/>
        </w:rPr>
        <w:t>（1）项目正常排放条件下，预测环境空气保护目标和网格点主要污染物的短期浓度和长期浓度贡献值，评价其最大浓度占标率；</w:t>
      </w:r>
    </w:p>
    <w:p>
      <w:pPr>
        <w:pStyle w:val="7"/>
        <w:ind w:firstLine="480"/>
        <w:rPr>
          <w:color w:val="auto"/>
        </w:rPr>
      </w:pPr>
      <w:r>
        <w:rPr>
          <w:rFonts w:hint="eastAsia"/>
          <w:color w:val="auto"/>
        </w:rPr>
        <w:t>（2）项目正常排放条件下，本项目污染源+在建项目污染源+环境质量现状浓度后，环境空气保护目标和网格点主要污染物的保证率日平均浓度和年平均质量浓度的达标情况；对于项目排放的主要污染物仅有短期浓度限值的，评价其短期浓度叠加后的达标情况。</w:t>
      </w:r>
    </w:p>
    <w:p>
      <w:pPr>
        <w:pStyle w:val="7"/>
        <w:ind w:firstLine="480"/>
        <w:rPr>
          <w:color w:val="auto"/>
        </w:rPr>
      </w:pPr>
      <w:r>
        <w:rPr>
          <w:rFonts w:hint="eastAsia"/>
          <w:color w:val="auto"/>
        </w:rPr>
        <w:t>（3）项目非正常排放条件下，预测评价环境空气保护目标和网格点主要污染物的1h最大浓度贡献值及占标率。</w:t>
      </w:r>
    </w:p>
    <w:p>
      <w:pPr>
        <w:pStyle w:val="7"/>
        <w:ind w:firstLine="480"/>
        <w:rPr>
          <w:color w:val="auto"/>
        </w:rPr>
      </w:pPr>
      <w:r>
        <w:rPr>
          <w:rFonts w:hint="eastAsia"/>
          <w:color w:val="auto"/>
        </w:rPr>
        <w:t>预测内容与评价要求见表6</w:t>
      </w:r>
      <w:r>
        <w:rPr>
          <w:rFonts w:hint="eastAsia"/>
          <w:color w:val="auto"/>
          <w:lang w:val="en-US" w:eastAsia="zh-CN"/>
        </w:rPr>
        <w:t>.2-17</w:t>
      </w:r>
      <w:r>
        <w:rPr>
          <w:rFonts w:hint="eastAsia"/>
          <w:color w:val="auto"/>
        </w:rPr>
        <w:t>。</w:t>
      </w:r>
    </w:p>
    <w:p>
      <w:pPr>
        <w:pStyle w:val="31"/>
        <w:rPr>
          <w:color w:val="auto"/>
        </w:rPr>
      </w:pPr>
      <w:r>
        <w:rPr>
          <w:rFonts w:hint="eastAsia"/>
          <w:color w:val="auto"/>
        </w:rPr>
        <w:t>表</w:t>
      </w:r>
      <w:r>
        <w:rPr>
          <w:rFonts w:hint="eastAsia"/>
          <w:color w:val="auto"/>
          <w:lang w:val="en-US" w:eastAsia="zh-CN"/>
        </w:rPr>
        <w:t>6.2-17</w:t>
      </w:r>
      <w:r>
        <w:rPr>
          <w:rFonts w:hint="eastAsia"/>
          <w:color w:val="auto"/>
        </w:rPr>
        <w:t xml:space="preserve">  预测内容与评价要求</w:t>
      </w:r>
    </w:p>
    <w:tbl>
      <w:tblPr>
        <w:tblStyle w:val="27"/>
        <w:tblW w:w="90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817"/>
        <w:gridCol w:w="1417"/>
        <w:gridCol w:w="1259"/>
        <w:gridCol w:w="3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Align w:val="center"/>
          </w:tcPr>
          <w:p>
            <w:pPr>
              <w:pStyle w:val="33"/>
              <w:rPr>
                <w:color w:val="auto"/>
              </w:rPr>
            </w:pPr>
            <w:r>
              <w:rPr>
                <w:color w:val="auto"/>
              </w:rPr>
              <w:t>评价对象</w:t>
            </w:r>
          </w:p>
        </w:tc>
        <w:tc>
          <w:tcPr>
            <w:tcW w:w="1817" w:type="dxa"/>
            <w:vAlign w:val="center"/>
          </w:tcPr>
          <w:p>
            <w:pPr>
              <w:pStyle w:val="33"/>
              <w:rPr>
                <w:color w:val="auto"/>
              </w:rPr>
            </w:pPr>
            <w:r>
              <w:rPr>
                <w:color w:val="auto"/>
              </w:rPr>
              <w:t>污染源</w:t>
            </w:r>
          </w:p>
        </w:tc>
        <w:tc>
          <w:tcPr>
            <w:tcW w:w="1417" w:type="dxa"/>
            <w:vAlign w:val="center"/>
          </w:tcPr>
          <w:p>
            <w:pPr>
              <w:pStyle w:val="33"/>
              <w:rPr>
                <w:color w:val="auto"/>
              </w:rPr>
            </w:pPr>
            <w:r>
              <w:rPr>
                <w:color w:val="auto"/>
              </w:rPr>
              <w:t>污染物排放形式</w:t>
            </w:r>
          </w:p>
        </w:tc>
        <w:tc>
          <w:tcPr>
            <w:tcW w:w="1259" w:type="dxa"/>
            <w:vAlign w:val="center"/>
          </w:tcPr>
          <w:p>
            <w:pPr>
              <w:pStyle w:val="33"/>
              <w:rPr>
                <w:color w:val="auto"/>
              </w:rPr>
            </w:pPr>
            <w:r>
              <w:rPr>
                <w:color w:val="auto"/>
              </w:rPr>
              <w:t>预测内容</w:t>
            </w:r>
          </w:p>
        </w:tc>
        <w:tc>
          <w:tcPr>
            <w:tcW w:w="3497" w:type="dxa"/>
            <w:vAlign w:val="center"/>
          </w:tcPr>
          <w:p>
            <w:pPr>
              <w:pStyle w:val="33"/>
              <w:rPr>
                <w:color w:val="auto"/>
              </w:rPr>
            </w:pPr>
            <w:r>
              <w:rPr>
                <w:color w:val="auto"/>
              </w:rPr>
              <w:t>评价内容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restart"/>
            <w:vAlign w:val="center"/>
          </w:tcPr>
          <w:p>
            <w:pPr>
              <w:pStyle w:val="33"/>
              <w:rPr>
                <w:color w:val="auto"/>
              </w:rPr>
            </w:pPr>
            <w:r>
              <w:rPr>
                <w:color w:val="auto"/>
              </w:rPr>
              <w:t>达标区评价项目</w:t>
            </w:r>
          </w:p>
        </w:tc>
        <w:tc>
          <w:tcPr>
            <w:tcW w:w="1817" w:type="dxa"/>
            <w:vAlign w:val="center"/>
          </w:tcPr>
          <w:p>
            <w:pPr>
              <w:pStyle w:val="33"/>
              <w:rPr>
                <w:color w:val="auto"/>
              </w:rPr>
            </w:pPr>
            <w:r>
              <w:rPr>
                <w:color w:val="auto"/>
              </w:rPr>
              <w:t>新增污染源</w:t>
            </w:r>
          </w:p>
        </w:tc>
        <w:tc>
          <w:tcPr>
            <w:tcW w:w="1417" w:type="dxa"/>
            <w:vAlign w:val="center"/>
          </w:tcPr>
          <w:p>
            <w:pPr>
              <w:pStyle w:val="33"/>
              <w:rPr>
                <w:color w:val="auto"/>
              </w:rPr>
            </w:pPr>
            <w:r>
              <w:rPr>
                <w:color w:val="auto"/>
              </w:rPr>
              <w:t>正常排放</w:t>
            </w:r>
          </w:p>
        </w:tc>
        <w:tc>
          <w:tcPr>
            <w:tcW w:w="1259" w:type="dxa"/>
            <w:vAlign w:val="center"/>
          </w:tcPr>
          <w:p>
            <w:pPr>
              <w:pStyle w:val="33"/>
              <w:rPr>
                <w:color w:val="auto"/>
              </w:rPr>
            </w:pPr>
            <w:r>
              <w:rPr>
                <w:color w:val="auto"/>
              </w:rPr>
              <w:t>短期浓度</w:t>
            </w:r>
          </w:p>
          <w:p>
            <w:pPr>
              <w:pStyle w:val="33"/>
              <w:rPr>
                <w:color w:val="auto"/>
              </w:rPr>
            </w:pPr>
            <w:r>
              <w:rPr>
                <w:color w:val="auto"/>
              </w:rPr>
              <w:t>长期浓度</w:t>
            </w:r>
          </w:p>
        </w:tc>
        <w:tc>
          <w:tcPr>
            <w:tcW w:w="3497" w:type="dxa"/>
            <w:vAlign w:val="center"/>
          </w:tcPr>
          <w:p>
            <w:pPr>
              <w:pStyle w:val="33"/>
              <w:rPr>
                <w:color w:val="auto"/>
              </w:rPr>
            </w:pPr>
            <w:r>
              <w:rPr>
                <w:color w:val="auto"/>
              </w:rPr>
              <w:t>最大浓度占标率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continue"/>
            <w:vAlign w:val="center"/>
          </w:tcPr>
          <w:p>
            <w:pPr>
              <w:pStyle w:val="33"/>
              <w:rPr>
                <w:color w:val="auto"/>
              </w:rPr>
            </w:pPr>
          </w:p>
        </w:tc>
        <w:tc>
          <w:tcPr>
            <w:tcW w:w="1817" w:type="dxa"/>
            <w:vAlign w:val="center"/>
          </w:tcPr>
          <w:p>
            <w:pPr>
              <w:pStyle w:val="33"/>
              <w:rPr>
                <w:color w:val="auto"/>
              </w:rPr>
            </w:pPr>
            <w:r>
              <w:rPr>
                <w:color w:val="auto"/>
              </w:rPr>
              <w:t>新增污染源</w:t>
            </w:r>
            <w:r>
              <w:rPr>
                <w:rFonts w:hint="eastAsia"/>
                <w:color w:val="auto"/>
              </w:rPr>
              <w:t>+在建项目污染源</w:t>
            </w:r>
          </w:p>
        </w:tc>
        <w:tc>
          <w:tcPr>
            <w:tcW w:w="1417" w:type="dxa"/>
            <w:vAlign w:val="center"/>
          </w:tcPr>
          <w:p>
            <w:pPr>
              <w:pStyle w:val="33"/>
              <w:rPr>
                <w:color w:val="auto"/>
              </w:rPr>
            </w:pPr>
            <w:r>
              <w:rPr>
                <w:color w:val="auto"/>
              </w:rPr>
              <w:t>正常排放</w:t>
            </w:r>
          </w:p>
        </w:tc>
        <w:tc>
          <w:tcPr>
            <w:tcW w:w="1259" w:type="dxa"/>
            <w:vAlign w:val="center"/>
          </w:tcPr>
          <w:p>
            <w:pPr>
              <w:pStyle w:val="33"/>
              <w:rPr>
                <w:color w:val="auto"/>
              </w:rPr>
            </w:pPr>
            <w:r>
              <w:rPr>
                <w:color w:val="auto"/>
              </w:rPr>
              <w:t>短期浓度</w:t>
            </w:r>
          </w:p>
          <w:p>
            <w:pPr>
              <w:pStyle w:val="33"/>
              <w:rPr>
                <w:color w:val="auto"/>
              </w:rPr>
            </w:pPr>
            <w:r>
              <w:rPr>
                <w:color w:val="auto"/>
              </w:rPr>
              <w:t>长期浓度</w:t>
            </w:r>
          </w:p>
        </w:tc>
        <w:tc>
          <w:tcPr>
            <w:tcW w:w="3497" w:type="dxa"/>
            <w:vAlign w:val="center"/>
          </w:tcPr>
          <w:p>
            <w:pPr>
              <w:pStyle w:val="33"/>
              <w:rPr>
                <w:color w:val="auto"/>
              </w:rPr>
            </w:pPr>
            <w:r>
              <w:rPr>
                <w:color w:val="auto"/>
              </w:rPr>
              <w:t>叠加环境质量现状浓度后的保证率日平均质量浓度和年平均质量浓度的占标率，或短期浓度的达标情况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continue"/>
            <w:vAlign w:val="center"/>
          </w:tcPr>
          <w:p>
            <w:pPr>
              <w:pStyle w:val="33"/>
              <w:rPr>
                <w:color w:val="auto"/>
              </w:rPr>
            </w:pPr>
          </w:p>
        </w:tc>
        <w:tc>
          <w:tcPr>
            <w:tcW w:w="1817" w:type="dxa"/>
            <w:vAlign w:val="center"/>
          </w:tcPr>
          <w:p>
            <w:pPr>
              <w:pStyle w:val="33"/>
              <w:rPr>
                <w:color w:val="auto"/>
              </w:rPr>
            </w:pPr>
            <w:r>
              <w:rPr>
                <w:color w:val="auto"/>
              </w:rPr>
              <w:t>新增污染源</w:t>
            </w:r>
          </w:p>
        </w:tc>
        <w:tc>
          <w:tcPr>
            <w:tcW w:w="1417" w:type="dxa"/>
            <w:vAlign w:val="center"/>
          </w:tcPr>
          <w:p>
            <w:pPr>
              <w:pStyle w:val="33"/>
              <w:rPr>
                <w:color w:val="auto"/>
              </w:rPr>
            </w:pPr>
            <w:r>
              <w:rPr>
                <w:color w:val="auto"/>
              </w:rPr>
              <w:t>非正常排放</w:t>
            </w:r>
          </w:p>
        </w:tc>
        <w:tc>
          <w:tcPr>
            <w:tcW w:w="1259" w:type="dxa"/>
            <w:vAlign w:val="center"/>
          </w:tcPr>
          <w:p>
            <w:pPr>
              <w:pStyle w:val="33"/>
              <w:rPr>
                <w:color w:val="auto"/>
              </w:rPr>
            </w:pPr>
            <w:r>
              <w:rPr>
                <w:color w:val="auto"/>
              </w:rPr>
              <w:t>1h平均质量浓度</w:t>
            </w:r>
          </w:p>
        </w:tc>
        <w:tc>
          <w:tcPr>
            <w:tcW w:w="3497" w:type="dxa"/>
            <w:vAlign w:val="center"/>
          </w:tcPr>
          <w:p>
            <w:pPr>
              <w:pStyle w:val="33"/>
              <w:rPr>
                <w:color w:val="auto"/>
              </w:rPr>
            </w:pPr>
            <w:r>
              <w:rPr>
                <w:color w:val="auto"/>
              </w:rPr>
              <w:t>最大浓度占标率</w:t>
            </w:r>
          </w:p>
        </w:tc>
      </w:tr>
    </w:tbl>
    <w:p>
      <w:pPr>
        <w:pStyle w:val="9"/>
        <w:rPr>
          <w:color w:val="auto"/>
        </w:rPr>
      </w:pPr>
      <w:r>
        <w:rPr>
          <w:rFonts w:hint="eastAsia"/>
          <w:color w:val="auto"/>
        </w:rPr>
        <w:t>6.2.2.</w:t>
      </w:r>
      <w:r>
        <w:rPr>
          <w:color w:val="auto"/>
        </w:rPr>
        <w:t>8</w:t>
      </w:r>
      <w:r>
        <w:rPr>
          <w:rFonts w:hint="eastAsia"/>
          <w:color w:val="auto"/>
        </w:rPr>
        <w:t>地形数据</w:t>
      </w:r>
    </w:p>
    <w:p>
      <w:pPr>
        <w:pStyle w:val="7"/>
        <w:ind w:firstLine="480"/>
        <w:rPr>
          <w:color w:val="auto"/>
        </w:rPr>
      </w:pPr>
      <w:r>
        <w:rPr>
          <w:rFonts w:hint="eastAsia"/>
          <w:color w:val="auto"/>
        </w:rPr>
        <w:t>EIAProA2018使用的地形数据srtm文件由http</w:t>
      </w:r>
      <w:r>
        <w:rPr>
          <w:rFonts w:hint="eastAsia"/>
          <w:color w:val="auto"/>
          <w:lang w:val="en-US" w:eastAsia="zh-CN"/>
        </w:rPr>
        <w:t>:</w:t>
      </w:r>
      <w:r>
        <w:rPr>
          <w:rFonts w:hint="eastAsia"/>
          <w:color w:val="auto"/>
        </w:rPr>
        <w:t>//srtm.csi.cgiar.org/提供。本项目进一步预测EIAProA2018使用的地形数据选外部DEM文件，外部DEM文件直接采用全球坐标定义的标准DEM文件。满足《环境影响评价技术导则》（HJ2.2-2018）数据分辨率要求。项目预测范围内地形高程图见图</w:t>
      </w:r>
      <w:r>
        <w:rPr>
          <w:color w:val="auto"/>
        </w:rPr>
        <w:t>6.2</w:t>
      </w:r>
      <w:r>
        <w:rPr>
          <w:rFonts w:hint="eastAsia"/>
          <w:color w:val="auto"/>
        </w:rPr>
        <w:t>.2-1。</w:t>
      </w:r>
    </w:p>
    <w:p>
      <w:pPr>
        <w:spacing w:line="360" w:lineRule="auto"/>
        <w:ind w:firstLine="480" w:firstLineChars="200"/>
        <w:rPr>
          <w:color w:val="FF0000"/>
        </w:rPr>
      </w:pPr>
    </w:p>
    <w:p>
      <w:pPr>
        <w:spacing w:line="360" w:lineRule="auto"/>
        <w:rPr>
          <w:rFonts w:hint="eastAsia"/>
          <w:color w:val="FF0000"/>
        </w:rPr>
      </w:pPr>
      <w:r>
        <w:rPr>
          <w:color w:val="FF0000"/>
          <w:lang w:val="en-US" w:eastAsia="zh-CN"/>
        </w:rPr>
        <mc:AlternateContent>
          <mc:Choice Requires="wps">
            <w:drawing>
              <wp:anchor distT="0" distB="0" distL="114300" distR="114300" simplePos="0" relativeHeight="251663360" behindDoc="0" locked="0" layoutInCell="1" allowOverlap="1">
                <wp:simplePos x="0" y="0"/>
                <wp:positionH relativeFrom="column">
                  <wp:posOffset>2211070</wp:posOffset>
                </wp:positionH>
                <wp:positionV relativeFrom="paragraph">
                  <wp:posOffset>2062480</wp:posOffset>
                </wp:positionV>
                <wp:extent cx="131445" cy="109220"/>
                <wp:effectExtent l="48895" t="24130" r="57785" b="47625"/>
                <wp:wrapNone/>
                <wp:docPr id="19" name="六边形 19"/>
                <wp:cNvGraphicFramePr/>
                <a:graphic xmlns:a="http://schemas.openxmlformats.org/drawingml/2006/main">
                  <a:graphicData uri="http://schemas.microsoft.com/office/word/2010/wordprocessingShape">
                    <wps:wsp>
                      <wps:cNvSpPr>
                        <a:spLocks noChangeArrowheads="1"/>
                      </wps:cNvSpPr>
                      <wps:spPr bwMode="auto">
                        <a:xfrm>
                          <a:off x="0" y="0"/>
                          <a:ext cx="131445" cy="109220"/>
                        </a:xfrm>
                        <a:prstGeom prst="hexagon">
                          <a:avLst>
                            <a:gd name="adj" fmla="val 30087"/>
                            <a:gd name="vf" fmla="val 115470"/>
                          </a:avLst>
                        </a:prstGeom>
                        <a:solidFill>
                          <a:srgbClr val="0000FF"/>
                        </a:solidFill>
                        <a:ln w="38100">
                          <a:solidFill>
                            <a:srgbClr val="0000FF"/>
                          </a:solidFill>
                          <a:miter lim="800000"/>
                        </a:ln>
                        <a:effectLst>
                          <a:outerShdw dist="28398" dir="3806097" algn="ctr" rotWithShape="0">
                            <a:srgbClr val="1F3763">
                              <a:alpha val="50000"/>
                            </a:srgbClr>
                          </a:outerShdw>
                        </a:effectLst>
                      </wps:spPr>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174.1pt;margin-top:162.4pt;height:8.6pt;width:10.35pt;z-index:251663360;mso-width-relative:page;mso-height-relative:page;" fillcolor="#0000FF" filled="t" stroked="t" coordsize="21600,21600" o:gfxdata="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Oed9toAAAALAQAADwAAAAAAAAABACAAAAAiAAAAZHJz&#10;L2Rvd25yZXYueG1sUEsBAhQAFAAAAAgAh07iQJc1Q6GtAgAAbQUAAA4AAAAAAAAAAQAgAAAAKQEA&#10;AGRycy9lMm9Eb2MueG1sUEsFBgAAAAAGAAYAWQEAAEgGAAAAAA==&#10;" adj="5400">
                <v:fill on="t" focussize="0,0"/>
                <v:stroke weight="3pt" color="#0000FF" miterlimit="8" joinstyle="miter"/>
                <v:imagedata o:title=""/>
                <o:lock v:ext="edit" aspectratio="f"/>
                <v:shadow on="t" color="#1F3763" opacity="32768f" offset="1pt,2pt" origin="0f,0f" matrix="65536f,0f,0f,65536f"/>
              </v:shape>
            </w:pict>
          </mc:Fallback>
        </mc:AlternateContent>
      </w:r>
      <w:r>
        <w:rPr>
          <w:color w:val="FF0000"/>
          <w:lang w:val="en-US" w:eastAsia="zh-CN"/>
        </w:rPr>
        <mc:AlternateContent>
          <mc:Choice Requires="wps">
            <w:drawing>
              <wp:anchor distT="0" distB="0" distL="114300" distR="114300" simplePos="0" relativeHeight="251664384" behindDoc="0" locked="0" layoutInCell="1" allowOverlap="1">
                <wp:simplePos x="0" y="0"/>
                <wp:positionH relativeFrom="column">
                  <wp:posOffset>1226820</wp:posOffset>
                </wp:positionH>
                <wp:positionV relativeFrom="paragraph">
                  <wp:posOffset>1100455</wp:posOffset>
                </wp:positionV>
                <wp:extent cx="870585" cy="226695"/>
                <wp:effectExtent l="7620" t="5080" r="207645" b="806450"/>
                <wp:wrapNone/>
                <wp:docPr id="15" name="对话气泡: 矩形 15"/>
                <wp:cNvGraphicFramePr/>
                <a:graphic xmlns:a="http://schemas.openxmlformats.org/drawingml/2006/main">
                  <a:graphicData uri="http://schemas.microsoft.com/office/word/2010/wordprocessingShape">
                    <wps:wsp>
                      <wps:cNvSpPr>
                        <a:spLocks noChangeArrowheads="1"/>
                      </wps:cNvSpPr>
                      <wps:spPr bwMode="auto">
                        <a:xfrm>
                          <a:off x="0" y="0"/>
                          <a:ext cx="870585" cy="226695"/>
                        </a:xfrm>
                        <a:prstGeom prst="wedgeRectCallout">
                          <a:avLst>
                            <a:gd name="adj1" fmla="val 70495"/>
                            <a:gd name="adj2" fmla="val 385574"/>
                          </a:avLst>
                        </a:prstGeom>
                        <a:solidFill>
                          <a:srgbClr val="0000FF">
                            <a:alpha val="14999"/>
                          </a:srgbClr>
                        </a:solidFill>
                        <a:ln w="9525">
                          <a:solidFill>
                            <a:srgbClr val="0000FF"/>
                          </a:solidFill>
                          <a:miter lim="800000"/>
                        </a:ln>
                      </wps:spPr>
                      <wps:txbx>
                        <w:txbxContent>
                          <w:p>
                            <w:pPr>
                              <w:adjustRightInd w:val="0"/>
                              <w:snapToGrid w:val="0"/>
                              <w:jc w:val="center"/>
                              <w:rPr>
                                <w:b/>
                                <w:bCs/>
                                <w:color w:val="0000FF"/>
                                <w:sz w:val="18"/>
                                <w:szCs w:val="18"/>
                              </w:rPr>
                            </w:pPr>
                            <w:r>
                              <w:rPr>
                                <w:rFonts w:hint="eastAsia"/>
                                <w:b/>
                                <w:bCs/>
                                <w:color w:val="0000FF"/>
                                <w:sz w:val="18"/>
                                <w:szCs w:val="18"/>
                              </w:rPr>
                              <w:t>本项目位置</w:t>
                            </w:r>
                          </w:p>
                        </w:txbxContent>
                      </wps:txbx>
                      <wps:bodyPr rot="0" vert="horz" wrap="square" lIns="91440" tIns="45720" rIns="91440" bIns="45720" anchor="t" anchorCtr="0" upright="1">
                        <a:noAutofit/>
                      </wps:bodyPr>
                    </wps:wsp>
                  </a:graphicData>
                </a:graphic>
              </wp:anchor>
            </w:drawing>
          </mc:Choice>
          <mc:Fallback>
            <w:pict>
              <v:shape id="对话气泡: 矩形 15" o:spid="_x0000_s1026" o:spt="61" type="#_x0000_t61" style="position:absolute;left:0pt;margin-left:96.6pt;margin-top:86.65pt;height:17.85pt;width:68.55pt;z-index:251664384;mso-width-relative:page;mso-height-relative:page;" fillcolor="#0000FF" filled="t" stroked="t" coordsize="21600,21600" o:gfxdata="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iKvsdcAAAAL&#10;AQAADwAAAAAAAAABACAAAAAiAAAAZHJzL2Rvd25yZXYueG1sUEsBAhQAFAAAAAgAh07iQCznnhyP&#10;AgAACAUAAA4AAAAAAAAAAQAgAAAAJgEAAGRycy9lMm9Eb2MueG1sUEsFBgAAAAAGAAYAWQEAACcG&#10;AAAAAA==&#10;" adj="26027,94084">
                <v:fill on="t" opacity="9829f" focussize="0,0"/>
                <v:stroke color="#0000FF" miterlimit="8" joinstyle="miter"/>
                <v:imagedata o:title=""/>
                <o:lock v:ext="edit" aspectratio="f"/>
                <v:textbox>
                  <w:txbxContent>
                    <w:p>
                      <w:pPr>
                        <w:adjustRightInd w:val="0"/>
                        <w:snapToGrid w:val="0"/>
                        <w:jc w:val="center"/>
                        <w:rPr>
                          <w:b/>
                          <w:bCs/>
                          <w:color w:val="0000FF"/>
                          <w:sz w:val="18"/>
                          <w:szCs w:val="18"/>
                        </w:rPr>
                      </w:pPr>
                      <w:r>
                        <w:rPr>
                          <w:rFonts w:hint="eastAsia"/>
                          <w:b/>
                          <w:bCs/>
                          <w:color w:val="0000FF"/>
                          <w:sz w:val="18"/>
                          <w:szCs w:val="18"/>
                        </w:rPr>
                        <w:t>本项目位置</w:t>
                      </w:r>
                    </w:p>
                  </w:txbxContent>
                </v:textbox>
              </v:shape>
            </w:pict>
          </mc:Fallback>
        </mc:AlternateContent>
      </w:r>
      <w:r>
        <w:rPr>
          <w:color w:val="FF0000"/>
        </w:rPr>
        <w:drawing>
          <wp:inline distT="0" distB="0" distL="0" distR="0">
            <wp:extent cx="5274310" cy="3975735"/>
            <wp:effectExtent l="0" t="0" r="254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7"/>
                    <a:stretch>
                      <a:fillRect/>
                    </a:stretch>
                  </pic:blipFill>
                  <pic:spPr>
                    <a:xfrm>
                      <a:off x="0" y="0"/>
                      <a:ext cx="5274310" cy="3975735"/>
                    </a:xfrm>
                    <a:prstGeom prst="rect">
                      <a:avLst/>
                    </a:prstGeom>
                  </pic:spPr>
                </pic:pic>
              </a:graphicData>
            </a:graphic>
          </wp:inline>
        </w:drawing>
      </w:r>
    </w:p>
    <w:p>
      <w:pPr>
        <w:pStyle w:val="44"/>
        <w:bidi w:val="0"/>
      </w:pPr>
      <w:r>
        <w:t>图</w:t>
      </w:r>
      <w:r>
        <w:rPr>
          <w:rFonts w:hint="eastAsia"/>
          <w:lang w:val="en-US" w:eastAsia="zh-CN"/>
        </w:rPr>
        <w:t>6.2-9</w:t>
      </w:r>
      <w:r>
        <w:t xml:space="preserve">  项目预测范围内地形高程图（单位：m）</w:t>
      </w:r>
    </w:p>
    <w:p>
      <w:pPr>
        <w:pStyle w:val="9"/>
        <w:rPr>
          <w:color w:val="auto"/>
        </w:rPr>
      </w:pPr>
      <w:r>
        <w:rPr>
          <w:color w:val="auto"/>
        </w:rPr>
        <w:t>6.2.2.9地面特征参数</w:t>
      </w:r>
    </w:p>
    <w:p>
      <w:pPr>
        <w:spacing w:line="360" w:lineRule="auto"/>
        <w:ind w:firstLine="480" w:firstLineChars="200"/>
        <w:rPr>
          <w:color w:val="auto"/>
        </w:rPr>
      </w:pPr>
      <w:r>
        <w:rPr>
          <w:color w:val="auto"/>
        </w:rPr>
        <w:t>本项目进一步预测地面特征参数选取如下：</w:t>
      </w:r>
    </w:p>
    <w:p>
      <w:pPr>
        <w:spacing w:line="360" w:lineRule="auto"/>
        <w:ind w:firstLine="480" w:firstLineChars="200"/>
        <w:rPr>
          <w:rFonts w:hint="eastAsia"/>
          <w:color w:val="auto"/>
        </w:rPr>
      </w:pPr>
      <w:r>
        <w:rPr>
          <w:color w:val="auto"/>
        </w:rPr>
        <w:t>地面分扇区数为1</w:t>
      </w:r>
      <w:r>
        <w:rPr>
          <w:rFonts w:hint="eastAsia"/>
          <w:color w:val="auto"/>
        </w:rPr>
        <w:t>区</w:t>
      </w:r>
      <w:r>
        <w:rPr>
          <w:color w:val="auto"/>
        </w:rPr>
        <w:t>，</w:t>
      </w:r>
      <w:r>
        <w:rPr>
          <w:rFonts w:hint="eastAsia"/>
          <w:color w:val="auto"/>
        </w:rPr>
        <w:t>A</w:t>
      </w:r>
      <w:r>
        <w:rPr>
          <w:color w:val="auto"/>
        </w:rPr>
        <w:t>ERMET</w:t>
      </w:r>
      <w:r>
        <w:rPr>
          <w:rFonts w:hint="eastAsia"/>
          <w:color w:val="auto"/>
        </w:rPr>
        <w:t>通用地表类型选针叶林，通用地表湿度选潮湿气候</w:t>
      </w:r>
      <w:r>
        <w:rPr>
          <w:color w:val="auto"/>
        </w:rPr>
        <w:t>，地面特征参数见</w:t>
      </w:r>
      <w:r>
        <w:rPr>
          <w:rFonts w:hint="eastAsia"/>
          <w:color w:val="auto"/>
        </w:rPr>
        <w:t>表</w:t>
      </w:r>
      <w:r>
        <w:rPr>
          <w:rFonts w:hint="eastAsia"/>
          <w:color w:val="auto"/>
          <w:lang w:val="en-US" w:eastAsia="zh-CN"/>
        </w:rPr>
        <w:t>6.2-18</w:t>
      </w:r>
      <w:r>
        <w:rPr>
          <w:color w:val="auto"/>
        </w:rPr>
        <w:t>。</w:t>
      </w:r>
    </w:p>
    <w:p>
      <w:pPr>
        <w:pStyle w:val="41"/>
        <w:bidi w:val="0"/>
      </w:pPr>
      <w:r>
        <w:rPr>
          <w:rFonts w:hint="eastAsia"/>
        </w:rPr>
        <w:t>表</w:t>
      </w:r>
      <w:r>
        <w:rPr>
          <w:rFonts w:hint="eastAsia"/>
          <w:lang w:val="en-US" w:eastAsia="zh-CN"/>
        </w:rPr>
        <w:t xml:space="preserve">6.2-18 </w:t>
      </w:r>
      <w:r>
        <w:t xml:space="preserve"> 地面特征参数</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2"/>
        <w:gridCol w:w="1262"/>
        <w:gridCol w:w="2208"/>
        <w:gridCol w:w="1266"/>
        <w:gridCol w:w="1263"/>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noWrap/>
            <w:vAlign w:val="center"/>
          </w:tcPr>
          <w:p>
            <w:pPr>
              <w:pStyle w:val="32"/>
              <w:bidi w:val="0"/>
            </w:pPr>
            <w:r>
              <w:rPr>
                <w:rFonts w:hint="eastAsia"/>
              </w:rPr>
              <w:t>序号</w:t>
            </w:r>
          </w:p>
        </w:tc>
        <w:tc>
          <w:tcPr>
            <w:tcW w:w="741" w:type="pct"/>
            <w:noWrap/>
            <w:vAlign w:val="center"/>
          </w:tcPr>
          <w:p>
            <w:pPr>
              <w:pStyle w:val="32"/>
              <w:bidi w:val="0"/>
              <w:rPr>
                <w:rFonts w:hint="eastAsia"/>
              </w:rPr>
            </w:pPr>
            <w:r>
              <w:rPr>
                <w:rFonts w:hint="eastAsia"/>
              </w:rPr>
              <w:t>扇区</w:t>
            </w:r>
          </w:p>
        </w:tc>
        <w:tc>
          <w:tcPr>
            <w:tcW w:w="1296" w:type="pct"/>
            <w:noWrap/>
            <w:vAlign w:val="center"/>
          </w:tcPr>
          <w:p>
            <w:pPr>
              <w:pStyle w:val="32"/>
              <w:bidi w:val="0"/>
              <w:rPr>
                <w:rFonts w:hint="eastAsia"/>
              </w:rPr>
            </w:pPr>
            <w:r>
              <w:rPr>
                <w:rFonts w:hint="eastAsia"/>
              </w:rPr>
              <w:t>时段</w:t>
            </w:r>
          </w:p>
        </w:tc>
        <w:tc>
          <w:tcPr>
            <w:tcW w:w="741" w:type="pct"/>
            <w:noWrap/>
            <w:vAlign w:val="center"/>
          </w:tcPr>
          <w:p>
            <w:pPr>
              <w:pStyle w:val="32"/>
              <w:bidi w:val="0"/>
              <w:rPr>
                <w:rFonts w:hint="eastAsia"/>
              </w:rPr>
            </w:pPr>
            <w:r>
              <w:rPr>
                <w:rFonts w:hint="eastAsia"/>
              </w:rPr>
              <w:t>正午反照率</w:t>
            </w:r>
          </w:p>
        </w:tc>
        <w:tc>
          <w:tcPr>
            <w:tcW w:w="741" w:type="pct"/>
            <w:noWrap/>
            <w:vAlign w:val="center"/>
          </w:tcPr>
          <w:p>
            <w:pPr>
              <w:pStyle w:val="32"/>
              <w:bidi w:val="0"/>
              <w:rPr>
                <w:rFonts w:hint="eastAsia"/>
              </w:rPr>
            </w:pPr>
            <w:r>
              <w:rPr>
                <w:rFonts w:hint="eastAsia"/>
              </w:rPr>
              <w:t>BOWEN</w:t>
            </w:r>
          </w:p>
        </w:tc>
        <w:tc>
          <w:tcPr>
            <w:tcW w:w="740" w:type="pct"/>
            <w:noWrap/>
            <w:vAlign w:val="center"/>
          </w:tcPr>
          <w:p>
            <w:pPr>
              <w:pStyle w:val="32"/>
              <w:bidi w:val="0"/>
              <w:rPr>
                <w:rFonts w:hint="eastAsia"/>
              </w:rPr>
            </w:pPr>
            <w:r>
              <w:rPr>
                <w:rFonts w:hint="eastAsia"/>
              </w:rPr>
              <w:t>粗糙度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noWrap/>
            <w:vAlign w:val="center"/>
          </w:tcPr>
          <w:p>
            <w:pPr>
              <w:pStyle w:val="32"/>
              <w:bidi w:val="0"/>
              <w:rPr>
                <w:rFonts w:hint="eastAsia"/>
              </w:rPr>
            </w:pPr>
            <w:r>
              <w:rPr>
                <w:rFonts w:hint="eastAsia"/>
              </w:rPr>
              <w:t>1</w:t>
            </w:r>
          </w:p>
        </w:tc>
        <w:tc>
          <w:tcPr>
            <w:tcW w:w="741" w:type="pct"/>
            <w:noWrap/>
            <w:vAlign w:val="center"/>
          </w:tcPr>
          <w:p>
            <w:pPr>
              <w:pStyle w:val="32"/>
              <w:bidi w:val="0"/>
              <w:rPr>
                <w:rFonts w:hint="eastAsia"/>
              </w:rPr>
            </w:pPr>
            <w:r>
              <w:rPr>
                <w:rFonts w:hint="eastAsia"/>
              </w:rPr>
              <w:t>0-3</w:t>
            </w:r>
            <w:r>
              <w:t>6</w:t>
            </w:r>
            <w:r>
              <w:rPr>
                <w:rFonts w:hint="eastAsia"/>
              </w:rPr>
              <w:t>0</w:t>
            </w:r>
          </w:p>
        </w:tc>
        <w:tc>
          <w:tcPr>
            <w:tcW w:w="1296" w:type="pct"/>
            <w:noWrap/>
            <w:vAlign w:val="center"/>
          </w:tcPr>
          <w:p>
            <w:pPr>
              <w:pStyle w:val="32"/>
              <w:bidi w:val="0"/>
              <w:rPr>
                <w:rFonts w:hint="eastAsia"/>
              </w:rPr>
            </w:pPr>
            <w:r>
              <w:rPr>
                <w:rFonts w:hint="eastAsia"/>
              </w:rPr>
              <w:t>冬季(12,1,2月)</w:t>
            </w:r>
          </w:p>
        </w:tc>
        <w:tc>
          <w:tcPr>
            <w:tcW w:w="741" w:type="pct"/>
            <w:noWrap/>
          </w:tcPr>
          <w:p>
            <w:pPr>
              <w:pStyle w:val="32"/>
              <w:bidi w:val="0"/>
              <w:rPr>
                <w:rFonts w:hint="eastAsia"/>
              </w:rPr>
            </w:pPr>
            <w:r>
              <w:t>0.35</w:t>
            </w:r>
          </w:p>
        </w:tc>
        <w:tc>
          <w:tcPr>
            <w:tcW w:w="741" w:type="pct"/>
            <w:noWrap/>
          </w:tcPr>
          <w:p>
            <w:pPr>
              <w:pStyle w:val="32"/>
              <w:bidi w:val="0"/>
              <w:rPr>
                <w:rFonts w:hint="eastAsia"/>
              </w:rPr>
            </w:pPr>
            <w:r>
              <w:t>0.3</w:t>
            </w:r>
          </w:p>
        </w:tc>
        <w:tc>
          <w:tcPr>
            <w:tcW w:w="740" w:type="pct"/>
            <w:noWrap/>
          </w:tcPr>
          <w:p>
            <w:pPr>
              <w:pStyle w:val="32"/>
              <w:bidi w:val="0"/>
              <w:rPr>
                <w:rFonts w:hint="eastAsia"/>
              </w:rPr>
            </w:pPr>
            <w: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noWrap/>
            <w:vAlign w:val="center"/>
          </w:tcPr>
          <w:p>
            <w:pPr>
              <w:pStyle w:val="32"/>
              <w:bidi w:val="0"/>
              <w:rPr>
                <w:rFonts w:hint="eastAsia"/>
              </w:rPr>
            </w:pPr>
            <w:r>
              <w:rPr>
                <w:rFonts w:hint="eastAsia"/>
              </w:rPr>
              <w:t>2</w:t>
            </w:r>
          </w:p>
        </w:tc>
        <w:tc>
          <w:tcPr>
            <w:tcW w:w="741" w:type="pct"/>
            <w:noWrap/>
          </w:tcPr>
          <w:p>
            <w:pPr>
              <w:pStyle w:val="32"/>
              <w:bidi w:val="0"/>
              <w:rPr>
                <w:rFonts w:hint="eastAsia"/>
              </w:rPr>
            </w:pPr>
            <w:r>
              <w:rPr>
                <w:rFonts w:hint="eastAsia"/>
              </w:rPr>
              <w:t>0-3</w:t>
            </w:r>
            <w:r>
              <w:t>6</w:t>
            </w:r>
            <w:r>
              <w:rPr>
                <w:rFonts w:hint="eastAsia"/>
              </w:rPr>
              <w:t>0</w:t>
            </w:r>
          </w:p>
        </w:tc>
        <w:tc>
          <w:tcPr>
            <w:tcW w:w="1296" w:type="pct"/>
            <w:noWrap/>
            <w:vAlign w:val="center"/>
          </w:tcPr>
          <w:p>
            <w:pPr>
              <w:pStyle w:val="32"/>
              <w:bidi w:val="0"/>
              <w:rPr>
                <w:rFonts w:hint="eastAsia"/>
              </w:rPr>
            </w:pPr>
            <w:r>
              <w:rPr>
                <w:rFonts w:hint="eastAsia"/>
              </w:rPr>
              <w:t>春季(3,4,5月)</w:t>
            </w:r>
          </w:p>
        </w:tc>
        <w:tc>
          <w:tcPr>
            <w:tcW w:w="741" w:type="pct"/>
            <w:noWrap/>
          </w:tcPr>
          <w:p>
            <w:pPr>
              <w:pStyle w:val="32"/>
              <w:bidi w:val="0"/>
              <w:rPr>
                <w:rFonts w:hint="eastAsia"/>
              </w:rPr>
            </w:pPr>
            <w:r>
              <w:t>0.12</w:t>
            </w:r>
          </w:p>
        </w:tc>
        <w:tc>
          <w:tcPr>
            <w:tcW w:w="741" w:type="pct"/>
            <w:noWrap/>
          </w:tcPr>
          <w:p>
            <w:pPr>
              <w:pStyle w:val="32"/>
              <w:bidi w:val="0"/>
              <w:rPr>
                <w:rFonts w:hint="eastAsia"/>
              </w:rPr>
            </w:pPr>
            <w:r>
              <w:t>0.3</w:t>
            </w:r>
          </w:p>
        </w:tc>
        <w:tc>
          <w:tcPr>
            <w:tcW w:w="740" w:type="pct"/>
            <w:noWrap/>
          </w:tcPr>
          <w:p>
            <w:pPr>
              <w:pStyle w:val="32"/>
              <w:bidi w:val="0"/>
              <w:rPr>
                <w:rFonts w:hint="eastAsia"/>
              </w:rPr>
            </w:pPr>
            <w: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noWrap/>
            <w:vAlign w:val="center"/>
          </w:tcPr>
          <w:p>
            <w:pPr>
              <w:pStyle w:val="32"/>
              <w:bidi w:val="0"/>
              <w:rPr>
                <w:rFonts w:hint="eastAsia"/>
              </w:rPr>
            </w:pPr>
            <w:r>
              <w:rPr>
                <w:rFonts w:hint="eastAsia"/>
              </w:rPr>
              <w:t>3</w:t>
            </w:r>
          </w:p>
        </w:tc>
        <w:tc>
          <w:tcPr>
            <w:tcW w:w="741" w:type="pct"/>
            <w:noWrap/>
          </w:tcPr>
          <w:p>
            <w:pPr>
              <w:pStyle w:val="32"/>
              <w:bidi w:val="0"/>
              <w:rPr>
                <w:rFonts w:hint="eastAsia"/>
              </w:rPr>
            </w:pPr>
            <w:r>
              <w:rPr>
                <w:rFonts w:hint="eastAsia"/>
              </w:rPr>
              <w:t>0-3</w:t>
            </w:r>
            <w:r>
              <w:t>6</w:t>
            </w:r>
            <w:r>
              <w:rPr>
                <w:rFonts w:hint="eastAsia"/>
              </w:rPr>
              <w:t>0</w:t>
            </w:r>
          </w:p>
        </w:tc>
        <w:tc>
          <w:tcPr>
            <w:tcW w:w="1296" w:type="pct"/>
            <w:noWrap/>
            <w:vAlign w:val="center"/>
          </w:tcPr>
          <w:p>
            <w:pPr>
              <w:pStyle w:val="32"/>
              <w:bidi w:val="0"/>
              <w:rPr>
                <w:rFonts w:hint="eastAsia"/>
              </w:rPr>
            </w:pPr>
            <w:r>
              <w:rPr>
                <w:rFonts w:hint="eastAsia"/>
              </w:rPr>
              <w:t>夏季(6,7,8月)</w:t>
            </w:r>
          </w:p>
        </w:tc>
        <w:tc>
          <w:tcPr>
            <w:tcW w:w="741" w:type="pct"/>
            <w:noWrap/>
          </w:tcPr>
          <w:p>
            <w:pPr>
              <w:pStyle w:val="32"/>
              <w:bidi w:val="0"/>
              <w:rPr>
                <w:rFonts w:hint="eastAsia"/>
              </w:rPr>
            </w:pPr>
            <w:r>
              <w:t>0.12</w:t>
            </w:r>
          </w:p>
        </w:tc>
        <w:tc>
          <w:tcPr>
            <w:tcW w:w="741" w:type="pct"/>
            <w:noWrap/>
          </w:tcPr>
          <w:p>
            <w:pPr>
              <w:pStyle w:val="32"/>
              <w:bidi w:val="0"/>
              <w:rPr>
                <w:rFonts w:hint="eastAsia"/>
              </w:rPr>
            </w:pPr>
            <w:r>
              <w:t>0.2</w:t>
            </w:r>
          </w:p>
        </w:tc>
        <w:tc>
          <w:tcPr>
            <w:tcW w:w="740" w:type="pct"/>
            <w:noWrap/>
          </w:tcPr>
          <w:p>
            <w:pPr>
              <w:pStyle w:val="32"/>
              <w:bidi w:val="0"/>
              <w:rPr>
                <w:rFonts w:hint="eastAsia"/>
              </w:rPr>
            </w:pPr>
            <w: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1" w:type="pct"/>
            <w:noWrap/>
            <w:vAlign w:val="center"/>
          </w:tcPr>
          <w:p>
            <w:pPr>
              <w:pStyle w:val="32"/>
              <w:bidi w:val="0"/>
              <w:rPr>
                <w:rFonts w:hint="eastAsia"/>
              </w:rPr>
            </w:pPr>
            <w:r>
              <w:rPr>
                <w:rFonts w:hint="eastAsia"/>
              </w:rPr>
              <w:t>4</w:t>
            </w:r>
          </w:p>
        </w:tc>
        <w:tc>
          <w:tcPr>
            <w:tcW w:w="741" w:type="pct"/>
            <w:noWrap/>
          </w:tcPr>
          <w:p>
            <w:pPr>
              <w:pStyle w:val="32"/>
              <w:bidi w:val="0"/>
              <w:rPr>
                <w:rFonts w:hint="eastAsia"/>
              </w:rPr>
            </w:pPr>
            <w:r>
              <w:rPr>
                <w:rFonts w:hint="eastAsia"/>
              </w:rPr>
              <w:t>0-3</w:t>
            </w:r>
            <w:r>
              <w:t>6</w:t>
            </w:r>
            <w:r>
              <w:rPr>
                <w:rFonts w:hint="eastAsia"/>
              </w:rPr>
              <w:t>0</w:t>
            </w:r>
          </w:p>
        </w:tc>
        <w:tc>
          <w:tcPr>
            <w:tcW w:w="1296" w:type="pct"/>
            <w:noWrap/>
            <w:vAlign w:val="center"/>
          </w:tcPr>
          <w:p>
            <w:pPr>
              <w:pStyle w:val="32"/>
              <w:bidi w:val="0"/>
              <w:rPr>
                <w:rFonts w:hint="eastAsia"/>
              </w:rPr>
            </w:pPr>
            <w:r>
              <w:rPr>
                <w:rFonts w:hint="eastAsia"/>
              </w:rPr>
              <w:t>秋季(9,10,11月)</w:t>
            </w:r>
          </w:p>
        </w:tc>
        <w:tc>
          <w:tcPr>
            <w:tcW w:w="741" w:type="pct"/>
            <w:noWrap/>
          </w:tcPr>
          <w:p>
            <w:pPr>
              <w:pStyle w:val="32"/>
              <w:bidi w:val="0"/>
              <w:rPr>
                <w:rFonts w:hint="eastAsia"/>
              </w:rPr>
            </w:pPr>
            <w:r>
              <w:t>0.12</w:t>
            </w:r>
          </w:p>
        </w:tc>
        <w:tc>
          <w:tcPr>
            <w:tcW w:w="741" w:type="pct"/>
            <w:noWrap/>
          </w:tcPr>
          <w:p>
            <w:pPr>
              <w:pStyle w:val="32"/>
              <w:bidi w:val="0"/>
              <w:rPr>
                <w:rFonts w:hint="eastAsia"/>
              </w:rPr>
            </w:pPr>
            <w:r>
              <w:t>0.3</w:t>
            </w:r>
          </w:p>
        </w:tc>
        <w:tc>
          <w:tcPr>
            <w:tcW w:w="740" w:type="pct"/>
            <w:noWrap/>
          </w:tcPr>
          <w:p>
            <w:pPr>
              <w:pStyle w:val="32"/>
              <w:bidi w:val="0"/>
              <w:rPr>
                <w:rFonts w:hint="eastAsia"/>
              </w:rPr>
            </w:pPr>
            <w:r>
              <w:t>1.3</w:t>
            </w:r>
          </w:p>
        </w:tc>
      </w:tr>
    </w:tbl>
    <w:p>
      <w:pPr>
        <w:pStyle w:val="9"/>
        <w:rPr>
          <w:color w:val="auto"/>
        </w:rPr>
      </w:pPr>
      <w:r>
        <w:rPr>
          <w:rFonts w:hint="eastAsia"/>
          <w:color w:val="auto"/>
        </w:rPr>
        <w:t>6.2.2.10网格选取及网格点设置</w:t>
      </w:r>
    </w:p>
    <w:p>
      <w:pPr>
        <w:pStyle w:val="7"/>
        <w:ind w:firstLine="480"/>
        <w:rPr>
          <w:color w:val="auto"/>
        </w:rPr>
      </w:pPr>
      <w:r>
        <w:rPr>
          <w:rFonts w:hint="eastAsia"/>
          <w:color w:val="auto"/>
        </w:rPr>
        <w:t>按照《环境影响评价技术导则》（HJ2.2-2018）B.6.3.3要求，本项目网格点采用直角坐标系。评价范围为东西向5.0km，南北向5.0km，根据“导则B6.3.3”：网格点间距采用100m，</w:t>
      </w:r>
      <w:r>
        <w:rPr>
          <w:color w:val="auto"/>
        </w:rPr>
        <w:t>最终预测点2612个（包括现状环境保护目标11个）。</w:t>
      </w:r>
    </w:p>
    <w:p>
      <w:pPr>
        <w:pStyle w:val="7"/>
        <w:ind w:firstLine="480"/>
        <w:rPr>
          <w:color w:val="auto"/>
        </w:rPr>
      </w:pPr>
      <w:r>
        <w:rPr>
          <w:color w:val="auto"/>
        </w:rPr>
        <w:t>按照《环境影响评价技术导则》（HJ2.2-2018）8.8.5要求：大气环境放防护距离确定时，厂界外预测网格分辨率不应超过50m。本项目计算大气环境放防护距离采用距离源中心为1.5km的矩形范围作为预测计算范围、预测网格分辨率按50m的设置，对</w:t>
      </w:r>
      <w:r>
        <w:rPr>
          <w:rFonts w:hint="eastAsia"/>
          <w:color w:val="auto"/>
        </w:rPr>
        <w:t>有短期浓度标准的</w:t>
      </w:r>
      <w:r>
        <w:rPr>
          <w:color w:val="auto"/>
        </w:rPr>
        <w:t>污染物</w:t>
      </w:r>
      <w:r>
        <w:rPr>
          <w:rFonts w:hint="eastAsia"/>
          <w:color w:val="auto"/>
        </w:rPr>
        <w:t>的</w:t>
      </w:r>
      <w:r>
        <w:rPr>
          <w:color w:val="auto"/>
        </w:rPr>
        <w:t>短期浓度进行二次计算</w:t>
      </w:r>
      <w:r>
        <w:rPr>
          <w:rFonts w:hint="eastAsia"/>
          <w:color w:val="auto"/>
        </w:rPr>
        <w:t>。</w:t>
      </w:r>
    </w:p>
    <w:p>
      <w:pPr>
        <w:pStyle w:val="9"/>
        <w:rPr>
          <w:color w:val="auto"/>
        </w:rPr>
      </w:pPr>
      <w:r>
        <w:rPr>
          <w:color w:val="auto"/>
        </w:rPr>
        <w:t>6.2.2.11环境空气保护目标</w:t>
      </w:r>
    </w:p>
    <w:p>
      <w:pPr>
        <w:spacing w:line="360" w:lineRule="auto"/>
        <w:ind w:firstLine="480" w:firstLineChars="200"/>
        <w:rPr>
          <w:color w:val="auto"/>
        </w:rPr>
      </w:pPr>
      <w:r>
        <w:rPr>
          <w:color w:val="auto"/>
        </w:rPr>
        <w:t>本项目预测范围为东西向5km，南北向5km，</w:t>
      </w:r>
      <w:r>
        <w:rPr>
          <w:rFonts w:hint="eastAsia"/>
          <w:color w:val="auto"/>
        </w:rPr>
        <w:t>共有预测</w:t>
      </w:r>
      <w:r>
        <w:rPr>
          <w:color w:val="auto"/>
        </w:rPr>
        <w:t>环境空气保护</w:t>
      </w:r>
      <w:r>
        <w:rPr>
          <w:rFonts w:hint="eastAsia"/>
          <w:color w:val="auto"/>
        </w:rPr>
        <w:t>目标</w:t>
      </w:r>
      <w:r>
        <w:rPr>
          <w:color w:val="auto"/>
        </w:rPr>
        <w:t>11个，环境空气保护目标相对坐标等情况见</w:t>
      </w:r>
      <w:r>
        <w:rPr>
          <w:rFonts w:hint="eastAsia"/>
          <w:color w:val="auto"/>
        </w:rPr>
        <w:t>表</w:t>
      </w:r>
      <w:r>
        <w:rPr>
          <w:rFonts w:hint="eastAsia"/>
          <w:color w:val="auto"/>
          <w:lang w:val="en-US" w:eastAsia="zh-CN"/>
        </w:rPr>
        <w:t>6.2-19</w:t>
      </w:r>
      <w:r>
        <w:rPr>
          <w:color w:val="auto"/>
        </w:rPr>
        <w:t>。</w:t>
      </w:r>
    </w:p>
    <w:p>
      <w:pPr>
        <w:pStyle w:val="31"/>
        <w:bidi w:val="0"/>
      </w:pPr>
      <w:r>
        <w:rPr>
          <w:rFonts w:hint="eastAsia"/>
        </w:rPr>
        <w:t>表6.2</w:t>
      </w:r>
      <w:r>
        <w:rPr>
          <w:rFonts w:hint="eastAsia"/>
          <w:lang w:val="en-US" w:eastAsia="zh-CN"/>
        </w:rPr>
        <w:t>-19</w:t>
      </w:r>
      <w:r>
        <w:t xml:space="preserve">  预测环境空气保护目标</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8"/>
        <w:gridCol w:w="801"/>
        <w:gridCol w:w="801"/>
        <w:gridCol w:w="1125"/>
        <w:gridCol w:w="1341"/>
        <w:gridCol w:w="1558"/>
        <w:gridCol w:w="1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914" w:type="pct"/>
            <w:vMerge w:val="restart"/>
            <w:shd w:val="clear" w:color="auto" w:fill="FFFFFF"/>
            <w:vAlign w:val="center"/>
          </w:tcPr>
          <w:p>
            <w:pPr>
              <w:pStyle w:val="33"/>
              <w:bidi w:val="0"/>
            </w:pPr>
            <w:r>
              <w:rPr>
                <w:rFonts w:hint="eastAsia"/>
              </w:rPr>
              <w:t>名称</w:t>
            </w:r>
          </w:p>
        </w:tc>
        <w:tc>
          <w:tcPr>
            <w:tcW w:w="940" w:type="pct"/>
            <w:gridSpan w:val="2"/>
            <w:shd w:val="clear" w:color="auto" w:fill="FFFFFF"/>
            <w:vAlign w:val="center"/>
          </w:tcPr>
          <w:p>
            <w:pPr>
              <w:pStyle w:val="33"/>
              <w:bidi w:val="0"/>
              <w:rPr>
                <w:rFonts w:hint="eastAsia"/>
              </w:rPr>
            </w:pPr>
            <w:r>
              <w:rPr>
                <w:rFonts w:hint="eastAsia"/>
              </w:rPr>
              <w:t>坐标</w:t>
            </w:r>
            <w:r>
              <w:t>/m</w:t>
            </w:r>
          </w:p>
        </w:tc>
        <w:tc>
          <w:tcPr>
            <w:tcW w:w="660" w:type="pct"/>
            <w:vMerge w:val="restart"/>
            <w:shd w:val="clear" w:color="auto" w:fill="FFFFFF"/>
            <w:vAlign w:val="center"/>
          </w:tcPr>
          <w:p>
            <w:pPr>
              <w:pStyle w:val="33"/>
              <w:bidi w:val="0"/>
              <w:rPr>
                <w:rFonts w:hint="eastAsia"/>
              </w:rPr>
            </w:pPr>
            <w:r>
              <w:rPr>
                <w:rFonts w:hint="eastAsia"/>
              </w:rPr>
              <w:t>保护内容</w:t>
            </w:r>
          </w:p>
        </w:tc>
        <w:tc>
          <w:tcPr>
            <w:tcW w:w="787" w:type="pct"/>
            <w:vMerge w:val="restart"/>
            <w:shd w:val="clear" w:color="auto" w:fill="FFFFFF"/>
            <w:vAlign w:val="center"/>
          </w:tcPr>
          <w:p>
            <w:pPr>
              <w:pStyle w:val="33"/>
              <w:bidi w:val="0"/>
              <w:rPr>
                <w:rFonts w:hint="eastAsia"/>
              </w:rPr>
            </w:pPr>
            <w:r>
              <w:rPr>
                <w:rFonts w:hint="eastAsia"/>
              </w:rPr>
              <w:t>环境功能区</w:t>
            </w:r>
          </w:p>
        </w:tc>
        <w:tc>
          <w:tcPr>
            <w:tcW w:w="914" w:type="pct"/>
            <w:vMerge w:val="restart"/>
            <w:shd w:val="clear" w:color="auto" w:fill="FFFFFF"/>
            <w:vAlign w:val="center"/>
          </w:tcPr>
          <w:p>
            <w:pPr>
              <w:pStyle w:val="33"/>
              <w:bidi w:val="0"/>
              <w:rPr>
                <w:rFonts w:hint="eastAsia"/>
              </w:rPr>
            </w:pPr>
            <w:r>
              <w:rPr>
                <w:rFonts w:hint="eastAsia"/>
              </w:rPr>
              <w:t>相对厂址方位</w:t>
            </w:r>
          </w:p>
        </w:tc>
        <w:tc>
          <w:tcPr>
            <w:tcW w:w="785" w:type="pct"/>
            <w:vMerge w:val="restart"/>
            <w:shd w:val="clear" w:color="auto" w:fill="FFFFFF"/>
            <w:vAlign w:val="center"/>
          </w:tcPr>
          <w:p>
            <w:pPr>
              <w:pStyle w:val="33"/>
              <w:bidi w:val="0"/>
              <w:rPr>
                <w:rFonts w:hint="eastAsia"/>
              </w:rPr>
            </w:pPr>
            <w:r>
              <w:rPr>
                <w:rFonts w:hint="eastAsia"/>
              </w:rPr>
              <w:t>相对预测原点（0,</w:t>
            </w:r>
            <w:r>
              <w:t>0</w:t>
            </w:r>
            <w:r>
              <w:rPr>
                <w:rFonts w:hint="eastAsia"/>
              </w:rPr>
              <w:t>）距离</w:t>
            </w:r>
            <w: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4" w:type="pct"/>
            <w:vMerge w:val="continue"/>
            <w:vAlign w:val="center"/>
          </w:tcPr>
          <w:p>
            <w:pPr>
              <w:pStyle w:val="33"/>
              <w:bidi w:val="0"/>
            </w:pPr>
          </w:p>
        </w:tc>
        <w:tc>
          <w:tcPr>
            <w:tcW w:w="470" w:type="pct"/>
            <w:shd w:val="clear" w:color="auto" w:fill="FFFFFF"/>
            <w:vAlign w:val="center"/>
          </w:tcPr>
          <w:p>
            <w:pPr>
              <w:pStyle w:val="33"/>
              <w:bidi w:val="0"/>
              <w:rPr>
                <w:rFonts w:hint="eastAsia"/>
              </w:rPr>
            </w:pPr>
            <w:r>
              <w:t>X</w:t>
            </w:r>
          </w:p>
        </w:tc>
        <w:tc>
          <w:tcPr>
            <w:tcW w:w="470" w:type="pct"/>
            <w:shd w:val="clear" w:color="auto" w:fill="FFFFFF"/>
            <w:vAlign w:val="center"/>
          </w:tcPr>
          <w:p>
            <w:pPr>
              <w:pStyle w:val="33"/>
              <w:bidi w:val="0"/>
            </w:pPr>
            <w:r>
              <w:t>Y</w:t>
            </w:r>
          </w:p>
        </w:tc>
        <w:tc>
          <w:tcPr>
            <w:tcW w:w="660" w:type="pct"/>
            <w:vMerge w:val="continue"/>
            <w:vAlign w:val="center"/>
          </w:tcPr>
          <w:p>
            <w:pPr>
              <w:pStyle w:val="33"/>
              <w:bidi w:val="0"/>
            </w:pPr>
          </w:p>
        </w:tc>
        <w:tc>
          <w:tcPr>
            <w:tcW w:w="787" w:type="pct"/>
            <w:vMerge w:val="continue"/>
            <w:vAlign w:val="center"/>
          </w:tcPr>
          <w:p>
            <w:pPr>
              <w:pStyle w:val="33"/>
              <w:bidi w:val="0"/>
            </w:pPr>
          </w:p>
        </w:tc>
        <w:tc>
          <w:tcPr>
            <w:tcW w:w="914" w:type="pct"/>
            <w:vMerge w:val="continue"/>
            <w:vAlign w:val="center"/>
          </w:tcPr>
          <w:p>
            <w:pPr>
              <w:pStyle w:val="33"/>
              <w:bidi w:val="0"/>
            </w:pPr>
          </w:p>
        </w:tc>
        <w:tc>
          <w:tcPr>
            <w:tcW w:w="785" w:type="pct"/>
            <w:vMerge w:val="continue"/>
            <w:vAlign w:val="center"/>
          </w:tcPr>
          <w:p>
            <w:pPr>
              <w:pStyle w:val="33"/>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pPr>
            <w:r>
              <w:rPr>
                <w:rFonts w:hint="eastAsia"/>
              </w:rPr>
              <w:t>马鞍山</w:t>
            </w:r>
          </w:p>
        </w:tc>
        <w:tc>
          <w:tcPr>
            <w:tcW w:w="470" w:type="pct"/>
            <w:shd w:val="clear" w:color="auto" w:fill="auto"/>
            <w:noWrap/>
            <w:vAlign w:val="center"/>
          </w:tcPr>
          <w:p>
            <w:pPr>
              <w:pStyle w:val="33"/>
              <w:bidi w:val="0"/>
              <w:rPr>
                <w:rFonts w:hint="eastAsia"/>
              </w:rPr>
            </w:pPr>
            <w:r>
              <w:rPr>
                <w:rFonts w:hint="eastAsia"/>
              </w:rPr>
              <w:t>1123</w:t>
            </w:r>
          </w:p>
        </w:tc>
        <w:tc>
          <w:tcPr>
            <w:tcW w:w="470" w:type="pct"/>
            <w:shd w:val="clear" w:color="auto" w:fill="auto"/>
            <w:noWrap/>
            <w:vAlign w:val="center"/>
          </w:tcPr>
          <w:p>
            <w:pPr>
              <w:pStyle w:val="33"/>
              <w:bidi w:val="0"/>
              <w:rPr>
                <w:rFonts w:hint="eastAsia"/>
              </w:rPr>
            </w:pPr>
            <w:r>
              <w:rPr>
                <w:rFonts w:hint="eastAsia"/>
              </w:rPr>
              <w:t>2448</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NNE(28)</w:t>
            </w:r>
          </w:p>
        </w:tc>
        <w:tc>
          <w:tcPr>
            <w:tcW w:w="785" w:type="pct"/>
            <w:shd w:val="clear" w:color="auto" w:fill="auto"/>
            <w:noWrap/>
            <w:vAlign w:val="center"/>
          </w:tcPr>
          <w:p>
            <w:pPr>
              <w:pStyle w:val="33"/>
              <w:bidi w:val="0"/>
              <w:rPr>
                <w:rFonts w:hint="eastAsia"/>
              </w:rPr>
            </w:pPr>
            <w:r>
              <w:rPr>
                <w:rFonts w:hint="eastAsia"/>
              </w:rPr>
              <w:t>2815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三家寨</w:t>
            </w:r>
          </w:p>
        </w:tc>
        <w:tc>
          <w:tcPr>
            <w:tcW w:w="470" w:type="pct"/>
            <w:shd w:val="clear" w:color="auto" w:fill="auto"/>
            <w:noWrap/>
            <w:vAlign w:val="center"/>
          </w:tcPr>
          <w:p>
            <w:pPr>
              <w:pStyle w:val="33"/>
              <w:bidi w:val="0"/>
              <w:rPr>
                <w:rFonts w:hint="eastAsia"/>
              </w:rPr>
            </w:pPr>
            <w:r>
              <w:rPr>
                <w:rFonts w:hint="eastAsia"/>
              </w:rPr>
              <w:t>-916</w:t>
            </w:r>
          </w:p>
        </w:tc>
        <w:tc>
          <w:tcPr>
            <w:tcW w:w="470" w:type="pct"/>
            <w:shd w:val="clear" w:color="auto" w:fill="auto"/>
            <w:noWrap/>
            <w:vAlign w:val="center"/>
          </w:tcPr>
          <w:p>
            <w:pPr>
              <w:pStyle w:val="33"/>
              <w:bidi w:val="0"/>
              <w:rPr>
                <w:rFonts w:hint="eastAsia"/>
              </w:rPr>
            </w:pPr>
            <w:r>
              <w:rPr>
                <w:rFonts w:hint="eastAsia"/>
              </w:rPr>
              <w:t>2277</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NNW(343)</w:t>
            </w:r>
          </w:p>
        </w:tc>
        <w:tc>
          <w:tcPr>
            <w:tcW w:w="785" w:type="pct"/>
            <w:shd w:val="clear" w:color="auto" w:fill="auto"/>
            <w:noWrap/>
            <w:vAlign w:val="center"/>
          </w:tcPr>
          <w:p>
            <w:pPr>
              <w:pStyle w:val="33"/>
              <w:bidi w:val="0"/>
              <w:rPr>
                <w:rFonts w:hint="eastAsia"/>
              </w:rPr>
            </w:pPr>
            <w:r>
              <w:rPr>
                <w:rFonts w:hint="eastAsia"/>
              </w:rPr>
              <w:t>2425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碧云村</w:t>
            </w:r>
          </w:p>
        </w:tc>
        <w:tc>
          <w:tcPr>
            <w:tcW w:w="470" w:type="pct"/>
            <w:shd w:val="clear" w:color="auto" w:fill="auto"/>
            <w:noWrap/>
            <w:vAlign w:val="center"/>
          </w:tcPr>
          <w:p>
            <w:pPr>
              <w:pStyle w:val="33"/>
              <w:bidi w:val="0"/>
              <w:rPr>
                <w:rFonts w:hint="eastAsia"/>
              </w:rPr>
            </w:pPr>
            <w:r>
              <w:rPr>
                <w:rFonts w:hint="eastAsia"/>
              </w:rPr>
              <w:t>-1238</w:t>
            </w:r>
          </w:p>
        </w:tc>
        <w:tc>
          <w:tcPr>
            <w:tcW w:w="470" w:type="pct"/>
            <w:shd w:val="clear" w:color="auto" w:fill="auto"/>
            <w:noWrap/>
            <w:vAlign w:val="center"/>
          </w:tcPr>
          <w:p>
            <w:pPr>
              <w:pStyle w:val="33"/>
              <w:bidi w:val="0"/>
              <w:rPr>
                <w:rFonts w:hint="eastAsia"/>
              </w:rPr>
            </w:pPr>
            <w:r>
              <w:rPr>
                <w:rFonts w:hint="eastAsia"/>
              </w:rPr>
              <w:t>1699</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NNW(329)</w:t>
            </w:r>
          </w:p>
        </w:tc>
        <w:tc>
          <w:tcPr>
            <w:tcW w:w="785" w:type="pct"/>
            <w:shd w:val="clear" w:color="auto" w:fill="auto"/>
            <w:noWrap/>
            <w:vAlign w:val="center"/>
          </w:tcPr>
          <w:p>
            <w:pPr>
              <w:pStyle w:val="33"/>
              <w:bidi w:val="0"/>
              <w:rPr>
                <w:rFonts w:hint="eastAsia"/>
              </w:rPr>
            </w:pPr>
            <w:r>
              <w:rPr>
                <w:rFonts w:hint="eastAsia"/>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处暑</w:t>
            </w:r>
          </w:p>
        </w:tc>
        <w:tc>
          <w:tcPr>
            <w:tcW w:w="470" w:type="pct"/>
            <w:shd w:val="clear" w:color="auto" w:fill="auto"/>
            <w:noWrap/>
            <w:vAlign w:val="center"/>
          </w:tcPr>
          <w:p>
            <w:pPr>
              <w:pStyle w:val="33"/>
              <w:bidi w:val="0"/>
              <w:rPr>
                <w:rFonts w:hint="eastAsia"/>
              </w:rPr>
            </w:pPr>
            <w:r>
              <w:rPr>
                <w:rFonts w:hint="eastAsia"/>
              </w:rPr>
              <w:t>-184</w:t>
            </w:r>
          </w:p>
        </w:tc>
        <w:tc>
          <w:tcPr>
            <w:tcW w:w="470" w:type="pct"/>
            <w:shd w:val="clear" w:color="auto" w:fill="auto"/>
            <w:noWrap/>
            <w:vAlign w:val="center"/>
          </w:tcPr>
          <w:p>
            <w:pPr>
              <w:pStyle w:val="33"/>
              <w:bidi w:val="0"/>
              <w:rPr>
                <w:rFonts w:hint="eastAsia"/>
              </w:rPr>
            </w:pPr>
            <w:r>
              <w:rPr>
                <w:rFonts w:hint="eastAsia"/>
              </w:rPr>
              <w:t>919</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N(1)</w:t>
            </w:r>
          </w:p>
        </w:tc>
        <w:tc>
          <w:tcPr>
            <w:tcW w:w="785" w:type="pct"/>
            <w:shd w:val="clear" w:color="auto" w:fill="auto"/>
            <w:noWrap/>
            <w:vAlign w:val="center"/>
          </w:tcPr>
          <w:p>
            <w:pPr>
              <w:pStyle w:val="33"/>
              <w:bidi w:val="0"/>
              <w:rPr>
                <w:rFonts w:hint="eastAsia"/>
              </w:rPr>
            </w:pPr>
            <w:r>
              <w:rPr>
                <w:rFonts w:hint="eastAsia"/>
              </w:rPr>
              <w:t>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小听湖</w:t>
            </w:r>
          </w:p>
        </w:tc>
        <w:tc>
          <w:tcPr>
            <w:tcW w:w="470" w:type="pct"/>
            <w:shd w:val="clear" w:color="auto" w:fill="auto"/>
            <w:noWrap/>
            <w:vAlign w:val="center"/>
          </w:tcPr>
          <w:p>
            <w:pPr>
              <w:pStyle w:val="33"/>
              <w:bidi w:val="0"/>
              <w:rPr>
                <w:rFonts w:hint="eastAsia"/>
              </w:rPr>
            </w:pPr>
            <w:r>
              <w:rPr>
                <w:rFonts w:hint="eastAsia"/>
              </w:rPr>
              <w:t>2091</w:t>
            </w:r>
          </w:p>
        </w:tc>
        <w:tc>
          <w:tcPr>
            <w:tcW w:w="470" w:type="pct"/>
            <w:shd w:val="clear" w:color="auto" w:fill="auto"/>
            <w:noWrap/>
            <w:vAlign w:val="center"/>
          </w:tcPr>
          <w:p>
            <w:pPr>
              <w:pStyle w:val="33"/>
              <w:bidi w:val="0"/>
              <w:rPr>
                <w:rFonts w:hint="eastAsia"/>
              </w:rPr>
            </w:pPr>
            <w:r>
              <w:rPr>
                <w:rFonts w:hint="eastAsia"/>
              </w:rPr>
              <w:t>538</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ENE(76)</w:t>
            </w:r>
          </w:p>
        </w:tc>
        <w:tc>
          <w:tcPr>
            <w:tcW w:w="785" w:type="pct"/>
            <w:shd w:val="clear" w:color="auto" w:fill="auto"/>
            <w:noWrap/>
            <w:vAlign w:val="center"/>
          </w:tcPr>
          <w:p>
            <w:pPr>
              <w:pStyle w:val="33"/>
              <w:bidi w:val="0"/>
              <w:rPr>
                <w:rFonts w:hint="eastAsia"/>
              </w:rPr>
            </w:pPr>
            <w:r>
              <w:rPr>
                <w:rFonts w:hint="eastAsia"/>
              </w:rPr>
              <w:t>2359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布标</w:t>
            </w:r>
          </w:p>
        </w:tc>
        <w:tc>
          <w:tcPr>
            <w:tcW w:w="470" w:type="pct"/>
            <w:shd w:val="clear" w:color="auto" w:fill="auto"/>
            <w:noWrap/>
            <w:vAlign w:val="center"/>
          </w:tcPr>
          <w:p>
            <w:pPr>
              <w:pStyle w:val="33"/>
              <w:bidi w:val="0"/>
              <w:rPr>
                <w:rFonts w:hint="eastAsia"/>
              </w:rPr>
            </w:pPr>
            <w:r>
              <w:rPr>
                <w:rFonts w:hint="eastAsia"/>
              </w:rPr>
              <w:t>-553</w:t>
            </w:r>
          </w:p>
        </w:tc>
        <w:tc>
          <w:tcPr>
            <w:tcW w:w="470" w:type="pct"/>
            <w:shd w:val="clear" w:color="auto" w:fill="auto"/>
            <w:noWrap/>
            <w:vAlign w:val="center"/>
          </w:tcPr>
          <w:p>
            <w:pPr>
              <w:pStyle w:val="33"/>
              <w:bidi w:val="0"/>
              <w:rPr>
                <w:rFonts w:hint="eastAsia"/>
              </w:rPr>
            </w:pPr>
            <w:r>
              <w:rPr>
                <w:rFonts w:hint="eastAsia"/>
              </w:rPr>
              <w:t>-315</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SW(232)</w:t>
            </w:r>
          </w:p>
        </w:tc>
        <w:tc>
          <w:tcPr>
            <w:tcW w:w="785" w:type="pct"/>
            <w:shd w:val="clear" w:color="auto" w:fill="auto"/>
            <w:noWrap/>
            <w:vAlign w:val="center"/>
          </w:tcPr>
          <w:p>
            <w:pPr>
              <w:pStyle w:val="33"/>
              <w:bidi w:val="0"/>
              <w:rPr>
                <w:rFonts w:hint="eastAsia"/>
              </w:rPr>
            </w:pPr>
            <w:r>
              <w:rPr>
                <w:rFonts w:hint="eastAsia"/>
              </w:rPr>
              <w:t>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柏布榔</w:t>
            </w:r>
          </w:p>
        </w:tc>
        <w:tc>
          <w:tcPr>
            <w:tcW w:w="470" w:type="pct"/>
            <w:shd w:val="clear" w:color="auto" w:fill="auto"/>
            <w:noWrap/>
            <w:vAlign w:val="center"/>
          </w:tcPr>
          <w:p>
            <w:pPr>
              <w:pStyle w:val="33"/>
              <w:bidi w:val="0"/>
              <w:rPr>
                <w:rFonts w:hint="eastAsia"/>
              </w:rPr>
            </w:pPr>
            <w:r>
              <w:rPr>
                <w:rFonts w:hint="eastAsia"/>
              </w:rPr>
              <w:t>806</w:t>
            </w:r>
          </w:p>
        </w:tc>
        <w:tc>
          <w:tcPr>
            <w:tcW w:w="470" w:type="pct"/>
            <w:shd w:val="clear" w:color="auto" w:fill="auto"/>
            <w:noWrap/>
            <w:vAlign w:val="center"/>
          </w:tcPr>
          <w:p>
            <w:pPr>
              <w:pStyle w:val="33"/>
              <w:bidi w:val="0"/>
              <w:rPr>
                <w:rFonts w:hint="eastAsia"/>
              </w:rPr>
            </w:pPr>
            <w:r>
              <w:rPr>
                <w:rFonts w:hint="eastAsia"/>
              </w:rPr>
              <w:t>-820</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SE(128)</w:t>
            </w:r>
          </w:p>
        </w:tc>
        <w:tc>
          <w:tcPr>
            <w:tcW w:w="785" w:type="pct"/>
            <w:shd w:val="clear" w:color="auto" w:fill="auto"/>
            <w:noWrap/>
            <w:vAlign w:val="center"/>
          </w:tcPr>
          <w:p>
            <w:pPr>
              <w:pStyle w:val="33"/>
              <w:bidi w:val="0"/>
              <w:rPr>
                <w:rFonts w:hint="eastAsia"/>
              </w:rPr>
            </w:pPr>
            <w:r>
              <w:rPr>
                <w:rFonts w:hint="eastAsia"/>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听湖村</w:t>
            </w:r>
          </w:p>
        </w:tc>
        <w:tc>
          <w:tcPr>
            <w:tcW w:w="470" w:type="pct"/>
            <w:shd w:val="clear" w:color="auto" w:fill="auto"/>
            <w:noWrap/>
            <w:vAlign w:val="center"/>
          </w:tcPr>
          <w:p>
            <w:pPr>
              <w:pStyle w:val="33"/>
              <w:bidi w:val="0"/>
              <w:rPr>
                <w:rFonts w:hint="eastAsia"/>
              </w:rPr>
            </w:pPr>
            <w:r>
              <w:rPr>
                <w:rFonts w:hint="eastAsia"/>
              </w:rPr>
              <w:t>2362</w:t>
            </w:r>
          </w:p>
        </w:tc>
        <w:tc>
          <w:tcPr>
            <w:tcW w:w="470" w:type="pct"/>
            <w:shd w:val="clear" w:color="auto" w:fill="auto"/>
            <w:noWrap/>
            <w:vAlign w:val="center"/>
          </w:tcPr>
          <w:p>
            <w:pPr>
              <w:pStyle w:val="33"/>
              <w:bidi w:val="0"/>
              <w:rPr>
                <w:rFonts w:hint="eastAsia"/>
              </w:rPr>
            </w:pPr>
            <w:r>
              <w:rPr>
                <w:rFonts w:hint="eastAsia"/>
              </w:rPr>
              <w:t>-932</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ESE(109)</w:t>
            </w:r>
          </w:p>
        </w:tc>
        <w:tc>
          <w:tcPr>
            <w:tcW w:w="785" w:type="pct"/>
            <w:shd w:val="clear" w:color="auto" w:fill="auto"/>
            <w:noWrap/>
            <w:vAlign w:val="center"/>
          </w:tcPr>
          <w:p>
            <w:pPr>
              <w:pStyle w:val="33"/>
              <w:bidi w:val="0"/>
              <w:rPr>
                <w:rFonts w:hint="eastAsia"/>
              </w:rPr>
            </w:pPr>
            <w:r>
              <w:rPr>
                <w:rFonts w:hint="eastAsia"/>
              </w:rPr>
              <w:t>2709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园区管委会</w:t>
            </w:r>
          </w:p>
        </w:tc>
        <w:tc>
          <w:tcPr>
            <w:tcW w:w="470" w:type="pct"/>
            <w:shd w:val="clear" w:color="auto" w:fill="auto"/>
            <w:noWrap/>
            <w:vAlign w:val="center"/>
          </w:tcPr>
          <w:p>
            <w:pPr>
              <w:pStyle w:val="33"/>
              <w:bidi w:val="0"/>
              <w:rPr>
                <w:rFonts w:hint="eastAsia"/>
              </w:rPr>
            </w:pPr>
            <w:r>
              <w:rPr>
                <w:rFonts w:hint="eastAsia"/>
              </w:rPr>
              <w:t>-2016</w:t>
            </w:r>
          </w:p>
        </w:tc>
        <w:tc>
          <w:tcPr>
            <w:tcW w:w="470" w:type="pct"/>
            <w:shd w:val="clear" w:color="auto" w:fill="auto"/>
            <w:noWrap/>
            <w:vAlign w:val="center"/>
          </w:tcPr>
          <w:p>
            <w:pPr>
              <w:pStyle w:val="33"/>
              <w:bidi w:val="0"/>
              <w:rPr>
                <w:rFonts w:hint="eastAsia"/>
              </w:rPr>
            </w:pPr>
            <w:r>
              <w:rPr>
                <w:rFonts w:hint="eastAsia"/>
              </w:rPr>
              <w:t>-1680</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SW(228)</w:t>
            </w:r>
          </w:p>
        </w:tc>
        <w:tc>
          <w:tcPr>
            <w:tcW w:w="785" w:type="pct"/>
            <w:shd w:val="clear" w:color="auto" w:fill="auto"/>
            <w:noWrap/>
            <w:vAlign w:val="center"/>
          </w:tcPr>
          <w:p>
            <w:pPr>
              <w:pStyle w:val="33"/>
              <w:bidi w:val="0"/>
              <w:rPr>
                <w:rFonts w:hint="eastAsia"/>
              </w:rPr>
            </w:pPr>
            <w:r>
              <w:rPr>
                <w:rFonts w:hint="eastAsia"/>
              </w:rPr>
              <w:t>2451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914" w:type="pct"/>
            <w:shd w:val="clear" w:color="auto" w:fill="auto"/>
            <w:noWrap/>
            <w:vAlign w:val="center"/>
          </w:tcPr>
          <w:p>
            <w:pPr>
              <w:pStyle w:val="33"/>
              <w:bidi w:val="0"/>
              <w:rPr>
                <w:rFonts w:hint="eastAsia"/>
              </w:rPr>
            </w:pPr>
            <w:r>
              <w:rPr>
                <w:rFonts w:hint="eastAsia"/>
              </w:rPr>
              <w:t>砚山职业高中</w:t>
            </w:r>
          </w:p>
        </w:tc>
        <w:tc>
          <w:tcPr>
            <w:tcW w:w="470" w:type="pct"/>
            <w:shd w:val="clear" w:color="auto" w:fill="auto"/>
            <w:noWrap/>
            <w:vAlign w:val="center"/>
          </w:tcPr>
          <w:p>
            <w:pPr>
              <w:pStyle w:val="33"/>
              <w:bidi w:val="0"/>
              <w:rPr>
                <w:rFonts w:hint="eastAsia"/>
              </w:rPr>
            </w:pPr>
            <w:r>
              <w:rPr>
                <w:rFonts w:hint="eastAsia"/>
              </w:rPr>
              <w:t>-2275</w:t>
            </w:r>
          </w:p>
        </w:tc>
        <w:tc>
          <w:tcPr>
            <w:tcW w:w="470" w:type="pct"/>
            <w:shd w:val="clear" w:color="auto" w:fill="auto"/>
            <w:noWrap/>
            <w:vAlign w:val="center"/>
          </w:tcPr>
          <w:p>
            <w:pPr>
              <w:pStyle w:val="33"/>
              <w:bidi w:val="0"/>
              <w:rPr>
                <w:rFonts w:hint="eastAsia"/>
              </w:rPr>
            </w:pPr>
            <w:r>
              <w:rPr>
                <w:rFonts w:hint="eastAsia"/>
              </w:rPr>
              <w:t>-2060</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SW(226)</w:t>
            </w:r>
          </w:p>
        </w:tc>
        <w:tc>
          <w:tcPr>
            <w:tcW w:w="785" w:type="pct"/>
            <w:shd w:val="clear" w:color="auto" w:fill="auto"/>
            <w:noWrap/>
            <w:vAlign w:val="center"/>
          </w:tcPr>
          <w:p>
            <w:pPr>
              <w:pStyle w:val="33"/>
              <w:bidi w:val="0"/>
              <w:rPr>
                <w:rFonts w:hint="eastAsia"/>
              </w:rPr>
            </w:pPr>
            <w:r>
              <w:rPr>
                <w:rFonts w:hint="eastAsia"/>
              </w:rPr>
              <w:t>2899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永忠</w:t>
            </w:r>
          </w:p>
        </w:tc>
        <w:tc>
          <w:tcPr>
            <w:tcW w:w="470" w:type="pct"/>
            <w:shd w:val="clear" w:color="auto" w:fill="auto"/>
            <w:noWrap/>
            <w:vAlign w:val="center"/>
          </w:tcPr>
          <w:p>
            <w:pPr>
              <w:pStyle w:val="33"/>
              <w:bidi w:val="0"/>
              <w:rPr>
                <w:rFonts w:hint="eastAsia"/>
              </w:rPr>
            </w:pPr>
            <w:r>
              <w:rPr>
                <w:rFonts w:hint="eastAsia"/>
              </w:rPr>
              <w:t>-2022</w:t>
            </w:r>
          </w:p>
        </w:tc>
        <w:tc>
          <w:tcPr>
            <w:tcW w:w="470" w:type="pct"/>
            <w:shd w:val="clear" w:color="auto" w:fill="auto"/>
            <w:noWrap/>
            <w:vAlign w:val="center"/>
          </w:tcPr>
          <w:p>
            <w:pPr>
              <w:pStyle w:val="33"/>
              <w:bidi w:val="0"/>
              <w:rPr>
                <w:rFonts w:hint="eastAsia"/>
              </w:rPr>
            </w:pPr>
            <w:r>
              <w:rPr>
                <w:rFonts w:hint="eastAsia"/>
              </w:rPr>
              <w:t>-1969</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pPr>
            <w:r>
              <w:rPr>
                <w:rFonts w:hint="eastAsia"/>
              </w:rPr>
              <w:t>二类区</w:t>
            </w:r>
          </w:p>
        </w:tc>
        <w:tc>
          <w:tcPr>
            <w:tcW w:w="914" w:type="pct"/>
            <w:shd w:val="clear" w:color="auto" w:fill="auto"/>
            <w:noWrap/>
            <w:vAlign w:val="center"/>
          </w:tcPr>
          <w:p>
            <w:pPr>
              <w:pStyle w:val="33"/>
              <w:bidi w:val="0"/>
            </w:pPr>
            <w:r>
              <w:rPr>
                <w:rFonts w:hint="eastAsia"/>
              </w:rPr>
              <w:t>SW(223)</w:t>
            </w:r>
          </w:p>
        </w:tc>
        <w:tc>
          <w:tcPr>
            <w:tcW w:w="785" w:type="pct"/>
            <w:shd w:val="clear" w:color="auto" w:fill="auto"/>
            <w:noWrap/>
            <w:vAlign w:val="center"/>
          </w:tcPr>
          <w:p>
            <w:pPr>
              <w:pStyle w:val="33"/>
              <w:bidi w:val="0"/>
              <w:rPr>
                <w:rFonts w:hint="eastAsia"/>
              </w:rPr>
            </w:pPr>
            <w:r>
              <w:rPr>
                <w:rFonts w:hint="eastAsia"/>
              </w:rPr>
              <w:t>2657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14" w:type="pct"/>
            <w:shd w:val="clear" w:color="auto" w:fill="auto"/>
            <w:noWrap/>
            <w:vAlign w:val="center"/>
          </w:tcPr>
          <w:p>
            <w:pPr>
              <w:pStyle w:val="33"/>
              <w:bidi w:val="0"/>
              <w:rPr>
                <w:rFonts w:hint="eastAsia"/>
              </w:rPr>
            </w:pPr>
            <w:r>
              <w:rPr>
                <w:rFonts w:hint="eastAsia"/>
              </w:rPr>
              <w:t>听湖水库</w:t>
            </w:r>
          </w:p>
        </w:tc>
        <w:tc>
          <w:tcPr>
            <w:tcW w:w="470" w:type="pct"/>
            <w:shd w:val="clear" w:color="auto" w:fill="auto"/>
            <w:noWrap/>
          </w:tcPr>
          <w:p>
            <w:pPr>
              <w:pStyle w:val="33"/>
              <w:bidi w:val="0"/>
              <w:rPr>
                <w:rFonts w:hint="eastAsia"/>
              </w:rPr>
            </w:pPr>
            <w:r>
              <w:t>-12</w:t>
            </w:r>
          </w:p>
        </w:tc>
        <w:tc>
          <w:tcPr>
            <w:tcW w:w="470" w:type="pct"/>
            <w:shd w:val="clear" w:color="auto" w:fill="auto"/>
            <w:noWrap/>
          </w:tcPr>
          <w:p>
            <w:pPr>
              <w:pStyle w:val="33"/>
              <w:bidi w:val="0"/>
              <w:rPr>
                <w:rFonts w:hint="eastAsia"/>
              </w:rPr>
            </w:pPr>
            <w:r>
              <w:t>-2231</w:t>
            </w:r>
          </w:p>
        </w:tc>
        <w:tc>
          <w:tcPr>
            <w:tcW w:w="660" w:type="pct"/>
            <w:shd w:val="clear" w:color="auto" w:fill="auto"/>
            <w:noWrap/>
            <w:vAlign w:val="center"/>
          </w:tcPr>
          <w:p>
            <w:pPr>
              <w:pStyle w:val="33"/>
              <w:bidi w:val="0"/>
              <w:rPr>
                <w:rFonts w:hint="eastAsia"/>
              </w:rPr>
            </w:pPr>
            <w:r>
              <w:rPr>
                <w:rFonts w:hint="eastAsia"/>
              </w:rPr>
              <w:t>大气环境</w:t>
            </w:r>
          </w:p>
        </w:tc>
        <w:tc>
          <w:tcPr>
            <w:tcW w:w="787" w:type="pct"/>
            <w:shd w:val="clear" w:color="auto" w:fill="auto"/>
            <w:noWrap/>
            <w:vAlign w:val="center"/>
          </w:tcPr>
          <w:p>
            <w:pPr>
              <w:pStyle w:val="33"/>
              <w:bidi w:val="0"/>
              <w:rPr>
                <w:rFonts w:hint="eastAsia"/>
              </w:rPr>
            </w:pPr>
            <w:r>
              <w:rPr>
                <w:rFonts w:hint="eastAsia"/>
              </w:rPr>
              <w:t>一类区</w:t>
            </w:r>
          </w:p>
        </w:tc>
        <w:tc>
          <w:tcPr>
            <w:tcW w:w="914" w:type="pct"/>
            <w:shd w:val="clear" w:color="auto" w:fill="auto"/>
            <w:noWrap/>
            <w:vAlign w:val="center"/>
          </w:tcPr>
          <w:p>
            <w:pPr>
              <w:pStyle w:val="33"/>
              <w:bidi w:val="0"/>
              <w:rPr>
                <w:rFonts w:hint="eastAsia"/>
              </w:rPr>
            </w:pPr>
            <w:r>
              <w:rPr>
                <w:rFonts w:hint="eastAsia"/>
              </w:rPr>
              <w:t>SE(1</w:t>
            </w:r>
            <w:r>
              <w:t>3</w:t>
            </w:r>
            <w:r>
              <w:rPr>
                <w:rFonts w:hint="eastAsia"/>
              </w:rPr>
              <w:t>8)</w:t>
            </w:r>
          </w:p>
        </w:tc>
        <w:tc>
          <w:tcPr>
            <w:tcW w:w="785" w:type="pct"/>
            <w:shd w:val="clear" w:color="auto" w:fill="auto"/>
            <w:noWrap/>
            <w:vAlign w:val="center"/>
          </w:tcPr>
          <w:p>
            <w:pPr>
              <w:pStyle w:val="33"/>
              <w:bidi w:val="0"/>
              <w:rPr>
                <w:rFonts w:hint="eastAsia"/>
              </w:rPr>
            </w:pPr>
            <w:r>
              <w:rPr>
                <w:rFonts w:hint="eastAsia"/>
              </w:rPr>
              <w:t>1</w:t>
            </w:r>
            <w:r>
              <w:t>920</w:t>
            </w:r>
          </w:p>
        </w:tc>
      </w:tr>
    </w:tbl>
    <w:p>
      <w:pPr>
        <w:pStyle w:val="8"/>
        <w:bidi w:val="0"/>
        <w:rPr>
          <w:color w:val="auto"/>
        </w:rPr>
      </w:pPr>
      <w:r>
        <w:rPr>
          <w:rFonts w:hint="eastAsia"/>
          <w:color w:val="auto"/>
        </w:rPr>
        <w:t>6.2.3正常排放预测结果及评价</w:t>
      </w:r>
    </w:p>
    <w:p>
      <w:pPr>
        <w:pStyle w:val="9"/>
        <w:bidi w:val="0"/>
        <w:rPr>
          <w:color w:val="auto"/>
        </w:rPr>
      </w:pPr>
      <w:r>
        <w:rPr>
          <w:rFonts w:hint="eastAsia"/>
          <w:color w:val="auto"/>
        </w:rPr>
        <w:t>6.2.3.1 SO</w:t>
      </w:r>
      <w:r>
        <w:rPr>
          <w:rFonts w:hint="eastAsia"/>
          <w:color w:val="auto"/>
          <w:vertAlign w:val="subscript"/>
        </w:rPr>
        <w:t>2</w:t>
      </w:r>
      <w:r>
        <w:rPr>
          <w:rFonts w:hint="eastAsia"/>
          <w:color w:val="auto"/>
        </w:rPr>
        <w:t>预测结果</w:t>
      </w:r>
    </w:p>
    <w:p>
      <w:pPr>
        <w:spacing w:line="360" w:lineRule="auto"/>
        <w:ind w:firstLine="480" w:firstLineChars="200"/>
        <w:rPr>
          <w:color w:val="auto"/>
        </w:rPr>
      </w:pPr>
      <w:r>
        <w:rPr>
          <w:color w:val="auto"/>
        </w:rPr>
        <w:t>正常工况条件下，本项目环境空气保护目标和网格点的短期浓度和长期浓度贡献值预测结果见表6.2.3-1。本项目污染源+在建项目污染源+环境质量现状浓度后环境空气保护目标和网格点保证率日平均质量浓度和年平均质量浓度预测结果见表6.2</w:t>
      </w:r>
      <w:r>
        <w:rPr>
          <w:rFonts w:hint="eastAsia"/>
          <w:color w:val="auto"/>
          <w:lang w:val="en-US" w:eastAsia="zh-CN"/>
        </w:rPr>
        <w:t>-20</w:t>
      </w:r>
      <w:r>
        <w:rPr>
          <w:color w:val="auto"/>
        </w:rPr>
        <w:t>、表6.2</w:t>
      </w:r>
      <w:r>
        <w:rPr>
          <w:rFonts w:hint="eastAsia"/>
          <w:color w:val="auto"/>
          <w:lang w:val="en-US" w:eastAsia="zh-CN"/>
        </w:rPr>
        <w:t>-20</w:t>
      </w:r>
      <w:r>
        <w:rPr>
          <w:color w:val="auto"/>
        </w:rPr>
        <w:t>。</w:t>
      </w:r>
    </w:p>
    <w:p>
      <w:pPr>
        <w:pStyle w:val="31"/>
        <w:bidi w:val="0"/>
      </w:pPr>
      <w:r>
        <w:t>表6.2</w:t>
      </w:r>
      <w:r>
        <w:rPr>
          <w:rFonts w:hint="eastAsia"/>
          <w:lang w:val="en-US" w:eastAsia="zh-CN"/>
        </w:rPr>
        <w:t>-20</w:t>
      </w:r>
      <w:r>
        <w:t xml:space="preserve">  本项目SO</w:t>
      </w:r>
      <w:r>
        <w:rPr>
          <w:vertAlign w:val="subscript"/>
        </w:rPr>
        <w:t>2</w:t>
      </w:r>
      <w: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1.21256</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21052904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0.24</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0.33966</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210702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0.23</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0.09369</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1.52222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21082706</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0.39171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211127</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0.06789</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0.11</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1.72841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21080407</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0.35</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0.21675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211114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0.14</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0.03165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0.05</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25.45555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21090203</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5.09</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1.73671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210902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1.16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0.3414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0.57</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1.35115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21072203</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0.27</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0.17614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210401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0.12</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0.01394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0.02</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2.5716</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21062420</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0.51</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1.37479</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211022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0.92</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0.16225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0.27</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1.33414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21021008</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0.27</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0.1424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210210</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0.09</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0.01013</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0.02</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0.87065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21092207</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0.17</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0.08434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0.00444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1.23933</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21061301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0.25</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0.27204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211218</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0.18</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0.03298</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0.05</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1.48522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21071920</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0.24551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211218</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0.02869</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0.05</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1.17738</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21111707</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0.24</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0.23382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0.02976</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0.05</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网格点最大值</w:t>
            </w: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-400,500</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35.81131</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21100702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7.16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-200,300</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3.77282</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211114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2.52</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0,200</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1.17725</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1.96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一类区听湖水库最大值</w:t>
            </w: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300,-1900</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1.44257</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21071919</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0.96</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0.34567</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211013</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0.69</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eastAsia="宋体"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0.02624</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0.13</w:t>
            </w:r>
          </w:p>
        </w:tc>
        <w:tc>
          <w:tcPr>
            <w:tcW w:w="901" w:type="dxa"/>
            <w:shd w:val="clear" w:color="auto" w:fill="auto"/>
            <w:noWrap/>
            <w:vAlign w:val="center"/>
          </w:tcPr>
          <w:p>
            <w:pPr>
              <w:widowControl/>
              <w:adjustRightInd w:val="0"/>
              <w:snapToGrid w:val="0"/>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达标</w:t>
            </w:r>
          </w:p>
        </w:tc>
      </w:tr>
    </w:tbl>
    <w:p>
      <w:pPr>
        <w:pStyle w:val="2"/>
        <w:ind w:left="480" w:firstLine="480"/>
        <w:rPr>
          <w:color w:val="FF0000"/>
        </w:rPr>
      </w:pPr>
    </w:p>
    <w:p>
      <w:pPr>
        <w:pStyle w:val="31"/>
        <w:bidi w:val="0"/>
      </w:pPr>
      <w:r>
        <w:t>表6.2</w:t>
      </w:r>
      <w:r>
        <w:rPr>
          <w:rFonts w:hint="eastAsia"/>
          <w:lang w:val="en-US" w:eastAsia="zh-CN"/>
        </w:rPr>
        <w:t>-21</w:t>
      </w:r>
      <w:r>
        <w:t xml:space="preserve">  SO</w:t>
      </w:r>
      <w:r>
        <w:rPr>
          <w:vertAlign w:val="subscript"/>
        </w:rPr>
        <w:t>2</w:t>
      </w:r>
      <w:r>
        <w:t>叠加后98%保证率日平均环境质量浓度预测结果表</w:t>
      </w:r>
    </w:p>
    <w:tbl>
      <w:tblPr>
        <w:tblStyle w:val="27"/>
        <w:tblW w:w="53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1075"/>
        <w:gridCol w:w="1138"/>
        <w:gridCol w:w="1100"/>
        <w:gridCol w:w="887"/>
        <w:gridCol w:w="813"/>
        <w:gridCol w:w="962"/>
        <w:gridCol w:w="788"/>
        <w:gridCol w:w="950"/>
        <w:gridCol w:w="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1.226189</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210114</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43</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44.22619</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29.48</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3.449509</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44.44951</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29.63</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3.797508</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44.79751</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29.87</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2.422504</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210804</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43</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45.4225</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30.28</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0.026592</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41.02659</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27.35</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2.42445</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43.42445</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28.95</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2.005764</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43.00576</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28.67</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1.74839</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42.74839</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28.5</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1.601223</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42.60122</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28.4</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1.404755</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42.40475</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28.27</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1.447514</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210902</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41</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42.44751</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28.3</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-2300,800</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16.75604</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210721</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37</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53.75604</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35.84</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-600,-1600</w:t>
            </w:r>
          </w:p>
        </w:tc>
        <w:tc>
          <w:tcPr>
            <w:tcW w:w="62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60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8.440115</w:t>
            </w:r>
          </w:p>
        </w:tc>
        <w:tc>
          <w:tcPr>
            <w:tcW w:w="48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211130</w:t>
            </w:r>
          </w:p>
        </w:tc>
        <w:tc>
          <w:tcPr>
            <w:tcW w:w="44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14</w:t>
            </w:r>
          </w:p>
        </w:tc>
        <w:tc>
          <w:tcPr>
            <w:tcW w:w="52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22.44011</w:t>
            </w:r>
          </w:p>
        </w:tc>
        <w:tc>
          <w:tcPr>
            <w:tcW w:w="43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50</w:t>
            </w:r>
          </w:p>
        </w:tc>
        <w:tc>
          <w:tcPr>
            <w:tcW w:w="52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44.88</w:t>
            </w:r>
          </w:p>
        </w:tc>
        <w:tc>
          <w:tcPr>
            <w:tcW w:w="3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达标</w:t>
            </w:r>
          </w:p>
        </w:tc>
      </w:tr>
    </w:tbl>
    <w:p>
      <w:pPr>
        <w:pStyle w:val="2"/>
        <w:ind w:left="480" w:firstLine="480"/>
        <w:rPr>
          <w:rFonts w:hint="default" w:ascii="Times New Roman" w:hAnsi="Times New Roman" w:cs="Times New Roman"/>
          <w:color w:val="auto"/>
        </w:rPr>
      </w:pPr>
    </w:p>
    <w:p>
      <w:pPr>
        <w:pStyle w:val="31"/>
        <w:bidi w:val="0"/>
        <w:rPr>
          <w:rFonts w:hint="default" w:ascii="Times New Roman" w:hAnsi="Times New Roman" w:cs="Times New Roman"/>
          <w:color w:val="auto"/>
        </w:rPr>
      </w:pPr>
      <w:r>
        <w:rPr>
          <w:rFonts w:hint="default" w:ascii="Times New Roman" w:hAnsi="Times New Roman" w:cs="Times New Roman"/>
          <w:color w:val="auto"/>
        </w:rPr>
        <w:t>表6.2</w:t>
      </w:r>
      <w:r>
        <w:rPr>
          <w:rFonts w:hint="default" w:ascii="Times New Roman" w:hAnsi="Times New Roman" w:cs="Times New Roman"/>
          <w:color w:val="auto"/>
          <w:lang w:val="en-US" w:eastAsia="zh-CN"/>
        </w:rPr>
        <w:t>-22</w:t>
      </w:r>
      <w:r>
        <w:rPr>
          <w:rFonts w:hint="default" w:ascii="Times New Roman" w:hAnsi="Times New Roman" w:cs="Times New Roman"/>
          <w:color w:val="auto"/>
        </w:rPr>
        <w:t xml:space="preserve">  SO</w:t>
      </w:r>
      <w:r>
        <w:rPr>
          <w:rFonts w:hint="default" w:ascii="Times New Roman" w:hAnsi="Times New Roman" w:cs="Times New Roman"/>
          <w:color w:val="auto"/>
          <w:vertAlign w:val="subscript"/>
        </w:rPr>
        <w:t>2</w:t>
      </w:r>
      <w:r>
        <w:rPr>
          <w:rFonts w:hint="default" w:ascii="Times New Roman" w:hAnsi="Times New Roman" w:cs="Times New Roman"/>
          <w:color w:val="auto"/>
        </w:rPr>
        <w:t>叠加年平均环境质量浓度预测结果表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317"/>
        <w:gridCol w:w="852"/>
        <w:gridCol w:w="1087"/>
        <w:gridCol w:w="850"/>
        <w:gridCol w:w="993"/>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4.31015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21.94577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36.58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1.04712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18.68274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31.14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0.73218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18.3678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30.61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1.11823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18.75385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31.26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1.72936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19.36498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32.27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1.59913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19.23475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32.06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0.63198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18.2676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30.45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0.40671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18.04233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1.15109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18.78671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31.31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1.12105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18.75667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31.26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1.14632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18.78194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1200,1100</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5.25018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17.63562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22.8858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38.14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-600,-1600</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1.1726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r>
    </w:tbl>
    <w:p>
      <w:pPr>
        <w:pStyle w:val="2"/>
        <w:ind w:left="480" w:firstLine="480"/>
        <w:rPr>
          <w:color w:val="FF0000"/>
        </w:rPr>
      </w:pPr>
    </w:p>
    <w:p>
      <w:pPr>
        <w:pStyle w:val="7"/>
        <w:bidi w:val="0"/>
      </w:pPr>
      <w:r>
        <w:t>（2）网格浓度分布图</w:t>
      </w:r>
    </w:p>
    <w:p>
      <w:pPr>
        <w:pStyle w:val="7"/>
        <w:bidi w:val="0"/>
      </w:pPr>
      <w:r>
        <w:t>本项目污染源+在建项目污染源+环境质量现状浓度后，SO</w:t>
      </w:r>
      <w:r>
        <w:rPr>
          <w:vertAlign w:val="subscript"/>
        </w:rPr>
        <w:t>2</w:t>
      </w:r>
      <w:r>
        <w:t>98%保证率日均质量浓度分布图与年均质量浓度分布图如下：</w:t>
      </w:r>
    </w:p>
    <w:p>
      <w:pPr>
        <w:spacing w:line="360" w:lineRule="auto"/>
        <w:rPr>
          <w:color w:val="FF0000"/>
        </w:rPr>
      </w:pPr>
      <w:r>
        <w:rPr>
          <w:color w:val="FF0000"/>
        </w:rPr>
        <w:drawing>
          <wp:inline distT="0" distB="0" distL="0" distR="0">
            <wp:extent cx="5274310" cy="3948430"/>
            <wp:effectExtent l="0" t="0" r="2540" b="139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8"/>
                    <a:stretch>
                      <a:fillRect/>
                    </a:stretch>
                  </pic:blipFill>
                  <pic:spPr>
                    <a:xfrm>
                      <a:off x="0" y="0"/>
                      <a:ext cx="5274310" cy="3948430"/>
                    </a:xfrm>
                    <a:prstGeom prst="rect">
                      <a:avLst/>
                    </a:prstGeom>
                  </pic:spPr>
                </pic:pic>
              </a:graphicData>
            </a:graphic>
          </wp:inline>
        </w:drawing>
      </w:r>
    </w:p>
    <w:p>
      <w:pPr>
        <w:pStyle w:val="44"/>
        <w:bidi w:val="0"/>
        <w:rPr>
          <w:color w:val="FF0000"/>
        </w:rPr>
      </w:pPr>
      <w:r>
        <w:rPr>
          <w:color w:val="FF0000"/>
        </w:rPr>
        <w:t>图6.2</w:t>
      </w:r>
      <w:r>
        <w:rPr>
          <w:rFonts w:hint="eastAsia"/>
          <w:color w:val="FF0000"/>
          <w:lang w:val="en-US" w:eastAsia="zh-CN"/>
        </w:rPr>
        <w:t>-10</w:t>
      </w:r>
      <w:r>
        <w:rPr>
          <w:color w:val="FF0000"/>
        </w:rPr>
        <w:t xml:space="preserve">  SO</w:t>
      </w:r>
      <w:r>
        <w:rPr>
          <w:color w:val="FF0000"/>
          <w:vertAlign w:val="subscript"/>
        </w:rPr>
        <w:t>2</w:t>
      </w:r>
      <w:r>
        <w:rPr>
          <w:color w:val="FF0000"/>
        </w:rPr>
        <w:t>98%保证率日均质量浓度分布图（μg/m</w:t>
      </w:r>
      <w:r>
        <w:rPr>
          <w:color w:val="FF0000"/>
          <w:vertAlign w:val="superscript"/>
        </w:rPr>
        <w:t>3</w:t>
      </w:r>
      <w:r>
        <w:rPr>
          <w:color w:val="FF0000"/>
        </w:rPr>
        <w:t>）</w:t>
      </w:r>
    </w:p>
    <w:p>
      <w:pPr>
        <w:spacing w:line="360" w:lineRule="auto"/>
        <w:rPr>
          <w:color w:val="FF0000"/>
        </w:rPr>
      </w:pPr>
      <w:r>
        <w:rPr>
          <w:color w:val="FF0000"/>
        </w:rPr>
        <w:drawing>
          <wp:inline distT="0" distB="0" distL="0" distR="0">
            <wp:extent cx="5274310" cy="394843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9"/>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w:t>
      </w:r>
      <w:r>
        <w:rPr>
          <w:rFonts w:hint="eastAsia"/>
          <w:color w:val="auto"/>
          <w:lang w:val="en-US" w:eastAsia="zh-CN"/>
        </w:rPr>
        <w:t>6.2-11</w:t>
      </w:r>
      <w:r>
        <w:rPr>
          <w:color w:val="auto"/>
        </w:rPr>
        <w:t xml:space="preserve">  SO</w:t>
      </w:r>
      <w:r>
        <w:rPr>
          <w:color w:val="auto"/>
          <w:vertAlign w:val="subscript"/>
        </w:rPr>
        <w:t>2</w:t>
      </w:r>
      <w:r>
        <w:rPr>
          <w:color w:val="auto"/>
        </w:rPr>
        <w:t>叠加年均质量浓度分布图（μg/m</w:t>
      </w:r>
      <w:r>
        <w:rPr>
          <w:color w:val="auto"/>
          <w:vertAlign w:val="superscript"/>
        </w:rPr>
        <w:t>3</w:t>
      </w:r>
      <w:r>
        <w:rPr>
          <w:color w:val="auto"/>
        </w:rPr>
        <w:t>）</w:t>
      </w:r>
    </w:p>
    <w:p>
      <w:pPr>
        <w:pStyle w:val="7"/>
      </w:pPr>
    </w:p>
    <w:p>
      <w:pPr>
        <w:pStyle w:val="7"/>
        <w:bidi w:val="0"/>
      </w:pPr>
      <w:r>
        <w:t>（3）结果分析</w:t>
      </w:r>
    </w:p>
    <w:p>
      <w:pPr>
        <w:pStyle w:val="7"/>
        <w:bidi w:val="0"/>
      </w:pPr>
      <w:r>
        <w:t>由表6.2</w:t>
      </w:r>
      <w:r>
        <w:rPr>
          <w:rFonts w:hint="eastAsia"/>
          <w:lang w:val="en-US" w:eastAsia="zh-CN"/>
        </w:rPr>
        <w:t>-20</w:t>
      </w:r>
      <w:r>
        <w:t>可知，环境空气保护目标最大小时浓度贡献值占标率为5.09%＜100%，最大日均浓度贡献值占标率为1.16%＜100%，二类区环境空气保护目标最大年均浓度贡献值为0.57%＜30%，无一类区环境空气保护目标；网格点最大小时浓度贡献值占标率为7.16%＜100%，最大日均浓度贡献值占标率为2.52%＜100%，二类区网格点最大年均浓度贡献值为1.96%＜30%，一类区网格点最大年均浓度贡献值为0.13%＜10%。</w:t>
      </w:r>
    </w:p>
    <w:p>
      <w:pPr>
        <w:pStyle w:val="7"/>
        <w:bidi w:val="0"/>
      </w:pPr>
      <w:r>
        <w:t>由表6.2</w:t>
      </w:r>
      <w:r>
        <w:rPr>
          <w:rFonts w:hint="eastAsia"/>
          <w:lang w:val="en-US" w:eastAsia="zh-CN"/>
        </w:rPr>
        <w:t>-21</w:t>
      </w:r>
      <w:r>
        <w:t>可知，本项目污染源+在建项目污染源+环境质量现状浓度后，环境空气保护目标98%保证率最大日均浓度预测值占标率为30.28%，网格点98%保证率最大日均浓度预测值占标率为44.88%，均符合环境质量标准。</w:t>
      </w:r>
    </w:p>
    <w:p>
      <w:pPr>
        <w:pStyle w:val="7"/>
        <w:bidi w:val="0"/>
      </w:pPr>
      <w:r>
        <w:t>由表6.2</w:t>
      </w:r>
      <w:r>
        <w:rPr>
          <w:rFonts w:hint="eastAsia"/>
          <w:lang w:val="en-US" w:eastAsia="zh-CN"/>
        </w:rPr>
        <w:t>-22</w:t>
      </w:r>
      <w:r>
        <w:t>可知，本项目污染源+在建项目污染源+环境质量现状浓度后，环境空气保护目标最大年均浓度预测值占标率为36.58%，网格点最大年均浓度预测值占标率为38.14%，均符合环境质量标准。</w:t>
      </w:r>
    </w:p>
    <w:p>
      <w:pPr>
        <w:pStyle w:val="7"/>
        <w:bidi w:val="0"/>
        <w:rPr>
          <w:color w:val="auto"/>
        </w:rPr>
      </w:pPr>
      <w:r>
        <w:rPr>
          <w:color w:val="auto"/>
        </w:rPr>
        <w:t>综上分析可知，SO</w:t>
      </w:r>
      <w:r>
        <w:rPr>
          <w:color w:val="auto"/>
          <w:vertAlign w:val="subscript"/>
        </w:rPr>
        <w:t>2</w:t>
      </w:r>
      <w:r>
        <w:rPr>
          <w:color w:val="auto"/>
        </w:rPr>
        <w:t>正常排放条件下，环境空气保护目标和网格点短期浓度贡献值占标率均＜100%，二类区年均浓度贡献值占标率均＜30%，一类区年均浓度贡献值占标率均＜10%；本项目污染源+在建项目污染源+环境质量现状浓度后，环境空气保护目标和网格点98%保证率日均浓度、年均浓度预测值占标率均符合环境质量标准，SO</w:t>
      </w:r>
      <w:r>
        <w:rPr>
          <w:color w:val="auto"/>
          <w:vertAlign w:val="subscript"/>
        </w:rPr>
        <w:t>2</w:t>
      </w:r>
      <w:r>
        <w:rPr>
          <w:color w:val="auto"/>
        </w:rPr>
        <w:t>正常排放对环境的影响可以接受。</w:t>
      </w:r>
    </w:p>
    <w:p>
      <w:pPr>
        <w:pStyle w:val="9"/>
        <w:bidi w:val="0"/>
      </w:pPr>
      <w:r>
        <w:rPr>
          <w:rFonts w:hint="eastAsia"/>
        </w:rPr>
        <w:t>6.2.3.2 NO</w:t>
      </w:r>
      <w:r>
        <w:rPr>
          <w:rFonts w:hint="eastAsia"/>
          <w:vertAlign w:val="subscript"/>
        </w:rPr>
        <w:t>2</w:t>
      </w:r>
      <w:r>
        <w:rPr>
          <w:rFonts w:hint="eastAsia"/>
        </w:rPr>
        <w:t>预测结果</w:t>
      </w:r>
    </w:p>
    <w:p>
      <w:pPr>
        <w:pStyle w:val="7"/>
        <w:bidi w:val="0"/>
      </w:pPr>
      <w:r>
        <w:t>NO</w:t>
      </w:r>
      <w:r>
        <w:rPr>
          <w:vertAlign w:val="subscript"/>
        </w:rPr>
        <w:t>2</w:t>
      </w:r>
      <w:r>
        <w:t>转化按环境比率法2（ARM2），该方法采用环境中的NO</w:t>
      </w:r>
      <w:r>
        <w:rPr>
          <w:vertAlign w:val="subscript"/>
        </w:rPr>
        <w:t>2</w:t>
      </w:r>
      <w:r>
        <w:t>/NOx比例与待模拟源NOx浓度来计算环境NO</w:t>
      </w:r>
      <w:r>
        <w:rPr>
          <w:vertAlign w:val="subscript"/>
        </w:rPr>
        <w:t>2</w:t>
      </w:r>
      <w:r>
        <w:t>浓度。ARM2对1小时浓度采用源NOx的比例来自于环境监测NO</w:t>
      </w:r>
      <w:r>
        <w:rPr>
          <w:vertAlign w:val="subscript"/>
        </w:rPr>
        <w:t>2</w:t>
      </w:r>
      <w:r>
        <w:t>/NOx比例值的经验公式。这一比例由程序根据EPA推荐值内定。</w:t>
      </w:r>
    </w:p>
    <w:p>
      <w:pPr>
        <w:pStyle w:val="7"/>
        <w:bidi w:val="0"/>
      </w:pPr>
      <w:r>
        <w:t>正常工况条件下，本项目环境空气保护目标和网格点的短期浓度和长期浓度贡献值预测结果见表6.2</w:t>
      </w:r>
      <w:r>
        <w:rPr>
          <w:rFonts w:hint="eastAsia"/>
          <w:lang w:val="en-US" w:eastAsia="zh-CN"/>
        </w:rPr>
        <w:t>-23</w:t>
      </w:r>
      <w:r>
        <w:t>。本项目污染源+在建项目污染源+环境质量现状浓度后环境空气保护目标和网格点保证率日平均质量浓度和年平均质量浓度预测结果见表6.2</w:t>
      </w:r>
      <w:r>
        <w:rPr>
          <w:rFonts w:hint="eastAsia"/>
          <w:lang w:val="en-US" w:eastAsia="zh-CN"/>
        </w:rPr>
        <w:t>-24</w:t>
      </w:r>
      <w:r>
        <w:t>、表6.2</w:t>
      </w:r>
      <w:r>
        <w:rPr>
          <w:rFonts w:hint="eastAsia"/>
          <w:lang w:val="en-US" w:eastAsia="zh-CN"/>
        </w:rPr>
        <w:t>-25</w:t>
      </w:r>
      <w:r>
        <w:t>。</w:t>
      </w:r>
    </w:p>
    <w:p>
      <w:pPr>
        <w:pStyle w:val="7"/>
        <w:bidi w:val="0"/>
      </w:pPr>
    </w:p>
    <w:p>
      <w:pPr>
        <w:pStyle w:val="7"/>
        <w:bidi w:val="0"/>
      </w:pPr>
    </w:p>
    <w:p>
      <w:pPr>
        <w:pStyle w:val="31"/>
        <w:bidi w:val="0"/>
        <w:rPr>
          <w:b/>
          <w:bCs/>
          <w:color w:val="auto"/>
        </w:rPr>
      </w:pPr>
      <w:r>
        <w:rPr>
          <w:b/>
          <w:bCs/>
          <w:color w:val="auto"/>
        </w:rPr>
        <w:t>表6.2</w:t>
      </w:r>
      <w:r>
        <w:rPr>
          <w:rFonts w:hint="eastAsia"/>
          <w:b/>
          <w:bCs/>
          <w:color w:val="auto"/>
          <w:lang w:val="en-US" w:eastAsia="zh-CN"/>
        </w:rPr>
        <w:t>-23</w:t>
      </w:r>
      <w:r>
        <w:rPr>
          <w:b/>
          <w:bCs/>
          <w:color w:val="auto"/>
        </w:rPr>
        <w:t xml:space="preserve">  本项目</w:t>
      </w:r>
      <w:r>
        <w:rPr>
          <w:rFonts w:hint="eastAsia"/>
          <w:b/>
          <w:bCs/>
          <w:color w:val="auto"/>
        </w:rPr>
        <w:t>N</w:t>
      </w:r>
      <w:r>
        <w:rPr>
          <w:b/>
          <w:bCs/>
          <w:color w:val="auto"/>
        </w:rPr>
        <w:t>O</w:t>
      </w:r>
      <w:r>
        <w:rPr>
          <w:b/>
          <w:bCs/>
          <w:color w:val="auto"/>
          <w:vertAlign w:val="subscript"/>
        </w:rPr>
        <w:t>2</w:t>
      </w:r>
      <w:r>
        <w:rPr>
          <w:b/>
          <w:bCs/>
          <w:color w:val="auto"/>
        </w:rP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1217"/>
        <w:gridCol w:w="950"/>
        <w:gridCol w:w="1167"/>
        <w:gridCol w:w="1100"/>
        <w:gridCol w:w="1033"/>
        <w:gridCol w:w="7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1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4.35456</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21062803</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1.21258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210702</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0.33538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5.45988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21082706</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2.73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1.40335</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211127</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0.24315</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6.18596</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0.77619</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211114</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0.11337</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90.8206</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21090203</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45.41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6.19565</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210902</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7.74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1.2178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4.86457</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21072203</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2.43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0.62813</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210401</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0.05027</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9.22628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21062420</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4.61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4.91075</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211022</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6.14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0.58119</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4.77954</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21021008</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2.39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0.5156</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210210</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0.03668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3.13302</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21092207</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0.30058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0.01604</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4.43897</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21061301</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0.97722</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211218</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5.33873</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21071920</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2.67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0.88134</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211218</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0.10262</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4.23218</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21111707</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0.83359</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0.10643</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17"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-400,500</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116.3193</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21100702</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58.16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-200,300</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13.42222</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211114</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16.78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0,200</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4.23286</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10.58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17"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300,-1900</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1小时</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5.17205</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21071919</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日平均</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1.23256</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211013</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254"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17"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95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全时段</w:t>
            </w:r>
          </w:p>
        </w:tc>
        <w:tc>
          <w:tcPr>
            <w:tcW w:w="116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0.09387</w:t>
            </w:r>
          </w:p>
        </w:tc>
        <w:tc>
          <w:tcPr>
            <w:tcW w:w="1100"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03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7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color w:val="FF0000"/>
        </w:rPr>
      </w:pPr>
    </w:p>
    <w:p>
      <w:pPr>
        <w:pStyle w:val="2"/>
        <w:ind w:left="480" w:firstLine="480"/>
        <w:rPr>
          <w:color w:val="FF0000"/>
        </w:rPr>
      </w:pPr>
    </w:p>
    <w:p>
      <w:pPr>
        <w:pStyle w:val="2"/>
        <w:ind w:left="480" w:firstLine="480"/>
        <w:rPr>
          <w:color w:val="FF0000"/>
        </w:rPr>
      </w:pPr>
    </w:p>
    <w:p>
      <w:pPr>
        <w:pStyle w:val="41"/>
        <w:bidi w:val="0"/>
        <w:rPr>
          <w:rFonts w:hint="default" w:ascii="Times New Roman" w:hAnsi="Times New Roman" w:cs="Times New Roman"/>
          <w:b/>
          <w:bCs/>
          <w:color w:val="auto"/>
        </w:rPr>
      </w:pPr>
      <w:r>
        <w:rPr>
          <w:rFonts w:hint="default" w:ascii="Times New Roman" w:hAnsi="Times New Roman" w:cs="Times New Roman"/>
          <w:b/>
          <w:bCs/>
          <w:color w:val="auto"/>
        </w:rPr>
        <w:t>表6.2</w:t>
      </w:r>
      <w:r>
        <w:rPr>
          <w:rFonts w:hint="default" w:ascii="Times New Roman" w:hAnsi="Times New Roman" w:cs="Times New Roman"/>
          <w:b/>
          <w:bCs/>
          <w:color w:val="auto"/>
          <w:lang w:val="en-US" w:eastAsia="zh-CN"/>
        </w:rPr>
        <w:t>-24</w:t>
      </w:r>
      <w:r>
        <w:rPr>
          <w:rFonts w:hint="default" w:ascii="Times New Roman" w:hAnsi="Times New Roman" w:cs="Times New Roman"/>
          <w:b/>
          <w:bCs/>
          <w:color w:val="auto"/>
        </w:rPr>
        <w:t xml:space="preserve">  NO</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叠加后98%保证率日平均环境质量浓度预测结果表</w:t>
      </w:r>
    </w:p>
    <w:tbl>
      <w:tblPr>
        <w:tblStyle w:val="27"/>
        <w:tblW w:w="5385" w:type="pct"/>
        <w:tblInd w:w="-1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933"/>
        <w:gridCol w:w="1200"/>
        <w:gridCol w:w="1100"/>
        <w:gridCol w:w="983"/>
        <w:gridCol w:w="800"/>
        <w:gridCol w:w="934"/>
        <w:gridCol w:w="716"/>
        <w:gridCol w:w="950"/>
        <w:gridCol w:w="5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0.000881</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210804</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20.00088</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0.199984</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210115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20.19998</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25.25</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0.206635</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210115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20.20663</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25.26</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0.116468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210806</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21.11647</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26.4</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0.039495</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210804</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20.0395</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25.05</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2.399176</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211205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18</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20.39918</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25.5</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0.014948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210804</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20.01495</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25.02</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0.044823</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210115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20.04482</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25.06</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0.14151</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210115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20.14151</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25.18</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0.120846</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210115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20.12085</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25.15</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0.123335</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210115</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20.12333</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25.15</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08" w:type="pct"/>
            <w:shd w:val="clear" w:color="auto" w:fill="auto"/>
            <w:noWrap/>
            <w:vAlign w:val="center"/>
          </w:tcPr>
          <w:p>
            <w:pPr>
              <w:widowControl/>
              <w:adjustRightInd w:val="0"/>
              <w:snapToGrid w:val="0"/>
              <w:jc w:val="center"/>
              <w:rPr>
                <w:rFonts w:hint="default" w:ascii="Times New Roman" w:hAnsi="Times New Roman" w:eastAsia="等线" w:cs="Times New Roman"/>
                <w:color w:val="auto"/>
                <w:sz w:val="18"/>
                <w:szCs w:val="18"/>
              </w:rPr>
            </w:pPr>
            <w:r>
              <w:rPr>
                <w:rFonts w:hint="default" w:ascii="Times New Roman" w:hAnsi="Times New Roman" w:eastAsia="等线" w:cs="Times New Roman"/>
                <w:color w:val="auto"/>
                <w:sz w:val="18"/>
                <w:szCs w:val="18"/>
              </w:rPr>
              <w:t>-600,-1600</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0.976551</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211124</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33</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33.97655</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42.47</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08" w:type="pct"/>
            <w:shd w:val="clear" w:color="auto" w:fill="auto"/>
            <w:noWrap/>
            <w:vAlign w:val="center"/>
          </w:tcPr>
          <w:p>
            <w:pPr>
              <w:widowControl/>
              <w:adjustRightInd w:val="0"/>
              <w:snapToGrid w:val="0"/>
              <w:jc w:val="center"/>
              <w:rPr>
                <w:rFonts w:hint="default" w:ascii="Times New Roman" w:hAnsi="Times New Roman" w:eastAsia="等线" w:cs="Times New Roman"/>
                <w:color w:val="auto"/>
                <w:sz w:val="18"/>
                <w:szCs w:val="18"/>
              </w:rPr>
            </w:pPr>
            <w:r>
              <w:rPr>
                <w:rFonts w:hint="default" w:ascii="Times New Roman" w:hAnsi="Times New Roman" w:eastAsia="等线" w:cs="Times New Roman"/>
                <w:color w:val="auto"/>
                <w:sz w:val="18"/>
                <w:szCs w:val="18"/>
              </w:rPr>
              <w:t>-600,-1600</w:t>
            </w:r>
          </w:p>
        </w:tc>
        <w:tc>
          <w:tcPr>
            <w:tcW w:w="65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98%日平均</w:t>
            </w:r>
          </w:p>
        </w:tc>
        <w:tc>
          <w:tcPr>
            <w:tcW w:w="59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0.976551</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211124</w:t>
            </w:r>
          </w:p>
        </w:tc>
        <w:tc>
          <w:tcPr>
            <w:tcW w:w="4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33</w:t>
            </w:r>
          </w:p>
        </w:tc>
        <w:tc>
          <w:tcPr>
            <w:tcW w:w="50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33.97655</w:t>
            </w:r>
          </w:p>
        </w:tc>
        <w:tc>
          <w:tcPr>
            <w:tcW w:w="39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80</w:t>
            </w:r>
          </w:p>
        </w:tc>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42.47</w:t>
            </w:r>
          </w:p>
        </w:tc>
        <w:tc>
          <w:tcPr>
            <w:tcW w:w="31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eastAsia="等线" w:cs="Times New Roman"/>
                <w:color w:val="auto"/>
                <w:sz w:val="18"/>
                <w:szCs w:val="18"/>
              </w:rPr>
              <w:t>达标</w:t>
            </w:r>
          </w:p>
        </w:tc>
      </w:tr>
    </w:tbl>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表6.2</w:t>
      </w:r>
      <w:r>
        <w:rPr>
          <w:rFonts w:hint="default" w:ascii="Times New Roman" w:hAnsi="Times New Roman" w:cs="Times New Roman"/>
          <w:b/>
          <w:bCs/>
          <w:color w:val="auto"/>
          <w:lang w:val="en-US" w:eastAsia="zh-CN"/>
        </w:rPr>
        <w:t>-25</w:t>
      </w:r>
      <w:r>
        <w:rPr>
          <w:rFonts w:hint="default" w:ascii="Times New Roman" w:hAnsi="Times New Roman" w:cs="Times New Roman"/>
          <w:b/>
          <w:bCs/>
          <w:color w:val="auto"/>
        </w:rPr>
        <w:t xml:space="preserve">  NO</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叠加年平均环境质量浓度预测结果表</w:t>
      </w:r>
    </w:p>
    <w:tbl>
      <w:tblPr>
        <w:tblStyle w:val="27"/>
        <w:tblW w:w="5450" w:type="pct"/>
        <w:tblInd w:w="-2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978"/>
        <w:gridCol w:w="852"/>
        <w:gridCol w:w="1087"/>
        <w:gridCol w:w="850"/>
        <w:gridCol w:w="993"/>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0.44454</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8.639061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21.6</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0.30951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8.504031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21.26</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0.1523</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8.346821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20.87</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1.51772</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9.712241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24.28</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0.06983</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8.264351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20.66</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0.72887</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8.923391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22.31</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0.04993</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8.244451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20.61</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0.0221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8.216621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20.54</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0.15572</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8.350241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20.88</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0.13499</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8.329511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20.82</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0.14068</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8.335201</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20.84</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0,200</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4.78054</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8.194521</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12.97506</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32.44</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2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-600,-1600</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0.12814</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45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3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r>
    </w:tbl>
    <w:p>
      <w:pPr>
        <w:pStyle w:val="7"/>
        <w:bidi w:val="0"/>
      </w:pPr>
      <w:r>
        <w:t>（2）网格浓度分布图</w:t>
      </w:r>
    </w:p>
    <w:p>
      <w:pPr>
        <w:pStyle w:val="7"/>
        <w:bidi w:val="0"/>
        <w:rPr>
          <w:color w:val="auto"/>
        </w:rPr>
      </w:pPr>
      <w:r>
        <w:rPr>
          <w:color w:val="auto"/>
        </w:rPr>
        <w:t>本项目污染源+在建项目污染源+环境质量现状浓度后，NO</w:t>
      </w:r>
      <w:r>
        <w:rPr>
          <w:color w:val="auto"/>
          <w:vertAlign w:val="subscript"/>
        </w:rPr>
        <w:t>2</w:t>
      </w:r>
      <w:r>
        <w:rPr>
          <w:color w:val="auto"/>
        </w:rPr>
        <w:t>98%保证率日均质量浓度分布图与年均质量浓度分布图如下：</w:t>
      </w:r>
    </w:p>
    <w:p>
      <w:pPr>
        <w:spacing w:line="360" w:lineRule="auto"/>
        <w:rPr>
          <w:color w:val="FF0000"/>
        </w:rPr>
      </w:pPr>
      <w:r>
        <w:rPr>
          <w:color w:val="FF0000"/>
        </w:rPr>
        <w:drawing>
          <wp:inline distT="0" distB="0" distL="0" distR="0">
            <wp:extent cx="5274310" cy="394843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0"/>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w:t>
      </w:r>
      <w:r>
        <w:rPr>
          <w:rFonts w:hint="eastAsia"/>
          <w:color w:val="auto"/>
          <w:lang w:val="en-US" w:eastAsia="zh-CN"/>
        </w:rPr>
        <w:t>6.2-12</w:t>
      </w:r>
      <w:r>
        <w:rPr>
          <w:color w:val="auto"/>
        </w:rPr>
        <w:t xml:space="preserve">  NO</w:t>
      </w:r>
      <w:r>
        <w:rPr>
          <w:color w:val="auto"/>
          <w:vertAlign w:val="subscript"/>
        </w:rPr>
        <w:t>2</w:t>
      </w:r>
      <w:r>
        <w:rPr>
          <w:color w:val="auto"/>
        </w:rPr>
        <w:t>98%保证率日均质量浓度分布图（μg/m</w:t>
      </w:r>
      <w:r>
        <w:rPr>
          <w:color w:val="auto"/>
          <w:vertAlign w:val="superscript"/>
        </w:rPr>
        <w:t>3</w:t>
      </w:r>
      <w:r>
        <w:rPr>
          <w:color w:val="auto"/>
        </w:rPr>
        <w:t>）</w:t>
      </w:r>
    </w:p>
    <w:p>
      <w:pPr>
        <w:spacing w:line="360" w:lineRule="auto"/>
        <w:rPr>
          <w:color w:val="FF0000"/>
        </w:rPr>
      </w:pPr>
      <w:r>
        <w:rPr>
          <w:color w:val="FF0000"/>
        </w:rPr>
        <w:drawing>
          <wp:inline distT="0" distB="0" distL="0" distR="0">
            <wp:extent cx="5274310" cy="3948430"/>
            <wp:effectExtent l="0" t="0" r="2540" b="139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61"/>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图6.2</w:t>
      </w:r>
      <w:r>
        <w:rPr>
          <w:rFonts w:hint="eastAsia"/>
          <w:color w:val="auto"/>
          <w:lang w:val="en-US" w:eastAsia="zh-CN"/>
        </w:rPr>
        <w:t>-13</w:t>
      </w:r>
      <w:r>
        <w:rPr>
          <w:color w:val="auto"/>
        </w:rPr>
        <w:t xml:space="preserve">  NO</w:t>
      </w:r>
      <w:r>
        <w:rPr>
          <w:color w:val="auto"/>
          <w:vertAlign w:val="subscript"/>
        </w:rPr>
        <w:t>2</w:t>
      </w:r>
      <w:r>
        <w:rPr>
          <w:color w:val="auto"/>
        </w:rPr>
        <w:t>叠加年均质量浓度分布图（μg/m</w:t>
      </w:r>
      <w:r>
        <w:rPr>
          <w:color w:val="auto"/>
          <w:vertAlign w:val="superscript"/>
        </w:rPr>
        <w:t>3</w:t>
      </w:r>
      <w:r>
        <w:rPr>
          <w:color w:val="auto"/>
        </w:rPr>
        <w:t>）</w:t>
      </w:r>
    </w:p>
    <w:p>
      <w:pPr>
        <w:pStyle w:val="7"/>
      </w:pPr>
    </w:p>
    <w:p>
      <w:pPr>
        <w:pStyle w:val="7"/>
        <w:bidi w:val="0"/>
      </w:pPr>
      <w:r>
        <w:t>（3）结果分析</w:t>
      </w:r>
    </w:p>
    <w:p>
      <w:pPr>
        <w:pStyle w:val="7"/>
        <w:bidi w:val="0"/>
      </w:pPr>
      <w:r>
        <w:t>由表6.2</w:t>
      </w:r>
      <w:r>
        <w:rPr>
          <w:rFonts w:hint="eastAsia"/>
          <w:lang w:val="en-US" w:eastAsia="zh-CN"/>
        </w:rPr>
        <w:t>-23</w:t>
      </w:r>
      <w:r>
        <w:t>可知，环境空气保护目标最大小时浓度贡献值占标率为45.41%＜100%，最大日均浓度贡献值占标率为7.74%＜100%，二类区环境空气保护目标最大年均浓度贡献值为3.04%＜30%，无一类区环境空气保护目标；网格点最大小时浓度贡献值占标率为58.16%＜100%，最大日均浓度贡献值占标率为16.78%＜100%，二类区网格点最大年均浓度贡献值为10.58%＜30%，一类区网格点最大年均浓度贡献值为0.23%＜10%。</w:t>
      </w:r>
    </w:p>
    <w:p>
      <w:pPr>
        <w:pStyle w:val="7"/>
        <w:bidi w:val="0"/>
      </w:pPr>
      <w:r>
        <w:t>由表6.2</w:t>
      </w:r>
      <w:r>
        <w:rPr>
          <w:rFonts w:hint="eastAsia"/>
          <w:lang w:val="en-US" w:eastAsia="zh-CN"/>
        </w:rPr>
        <w:t>-24</w:t>
      </w:r>
      <w:r>
        <w:t>可知，本项目污染源+在建项目污染源+环境质量现状浓度后，环境空气保护目标98%保证率最大日均浓度预测值占标率为26.4%，网格点98%保证率最大日均浓度预测值占标率为42.47%，均符合环境质量标准。</w:t>
      </w:r>
    </w:p>
    <w:p>
      <w:pPr>
        <w:pStyle w:val="7"/>
        <w:bidi w:val="0"/>
      </w:pPr>
      <w:r>
        <w:t>由表6.2</w:t>
      </w:r>
      <w:r>
        <w:rPr>
          <w:rFonts w:hint="eastAsia"/>
          <w:lang w:val="en-US" w:eastAsia="zh-CN"/>
        </w:rPr>
        <w:t>-25</w:t>
      </w:r>
      <w:r>
        <w:t>可知，本项目污染源+在建项目污染源+环境质量现状浓度后，环境空气保护目标最大年均浓度预测值占标率为24.28%，网格点最大年均浓度预测值占标率为32.44%，均符合环境质量标准。</w:t>
      </w:r>
    </w:p>
    <w:p>
      <w:pPr>
        <w:pStyle w:val="7"/>
        <w:bidi w:val="0"/>
      </w:pPr>
      <w:r>
        <w:t>综上分析可知，NO</w:t>
      </w:r>
      <w:r>
        <w:rPr>
          <w:vertAlign w:val="subscript"/>
        </w:rPr>
        <w:t>2</w:t>
      </w:r>
      <w:r>
        <w:t>正常排放条件下，环境空气保护目标和网格点短期浓度贡献值占标率均＜100%，二类区年均浓度贡献值占标率均＜30%，一类区年均浓度贡献值占标率均＜10%；本项目污染源+在建项目污染源+环境质量现状浓度后，环境空气保护目标和网格点98%保证率日均浓度、年均浓度预测值占标率均符合环境质量标准，NO</w:t>
      </w:r>
      <w:r>
        <w:rPr>
          <w:vertAlign w:val="subscript"/>
        </w:rPr>
        <w:t>2</w:t>
      </w:r>
      <w:r>
        <w:t>正常排放对环境的影响可以接受。</w:t>
      </w:r>
    </w:p>
    <w:p>
      <w:pPr>
        <w:pStyle w:val="9"/>
        <w:bidi w:val="0"/>
      </w:pPr>
      <w:r>
        <w:rPr>
          <w:rFonts w:hint="eastAsia"/>
        </w:rPr>
        <w:t>6.2.3.3 TSP预测结果</w:t>
      </w:r>
    </w:p>
    <w:p>
      <w:pPr>
        <w:pStyle w:val="7"/>
        <w:bidi w:val="0"/>
      </w:pPr>
      <w:r>
        <w:t>正常工况条件下，本项目环境空气保护目标和网格点的短期浓度和长期浓度贡献值预测结果见表6.2</w:t>
      </w:r>
      <w:r>
        <w:rPr>
          <w:rFonts w:hint="eastAsia"/>
          <w:lang w:val="en-US" w:eastAsia="zh-CN"/>
        </w:rPr>
        <w:t>-26</w:t>
      </w:r>
      <w:r>
        <w:t>。本项目污染源+在建项目污染源+环境质量现状浓度后环境空气保护目标和网格点日平均质量浓度预测结果见表6.2</w:t>
      </w:r>
      <w:r>
        <w:rPr>
          <w:rFonts w:hint="eastAsia"/>
          <w:lang w:val="en-US" w:eastAsia="zh-CN"/>
        </w:rPr>
        <w:t>-27</w:t>
      </w:r>
      <w:r>
        <w:t>。</w:t>
      </w:r>
    </w:p>
    <w:p>
      <w:pPr>
        <w:pStyle w:val="41"/>
        <w:bidi w:val="0"/>
      </w:pPr>
      <w:r>
        <w:t>表6.2</w:t>
      </w:r>
      <w:r>
        <w:rPr>
          <w:rFonts w:hint="eastAsia"/>
          <w:lang w:val="en-US" w:eastAsia="zh-CN"/>
        </w:rPr>
        <w:t>-26</w:t>
      </w:r>
      <w:r>
        <w:t xml:space="preserve">   本项目</w:t>
      </w:r>
      <w:r>
        <w:rPr>
          <w:rFonts w:hint="eastAsia"/>
        </w:rPr>
        <w:t>TSP</w:t>
      </w:r>
      <w: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1.4586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0.52067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2.23461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211025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0.39985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1.8886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211126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0.2099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6.55118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210827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1.42647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1.47526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210605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0.13039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7.18077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210117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2.39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1.04493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2.52996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210910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0.12492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0.60134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211020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0.04518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1.5798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0.20631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1.41264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0.17503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1.57452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0.18487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46.54326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15.51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9.0983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4.55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-100,-2400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2.99897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-100,-1900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0.20222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color w:val="FF0000"/>
        </w:rPr>
      </w:pPr>
    </w:p>
    <w:p>
      <w:pPr>
        <w:pStyle w:val="31"/>
        <w:bidi w:val="0"/>
        <w:rPr>
          <w:color w:val="auto"/>
        </w:rPr>
      </w:pPr>
      <w:r>
        <w:rPr>
          <w:color w:val="auto"/>
        </w:rPr>
        <w:t>表6.2</w:t>
      </w:r>
      <w:r>
        <w:rPr>
          <w:rFonts w:hint="eastAsia"/>
          <w:color w:val="auto"/>
          <w:lang w:val="en-US" w:eastAsia="zh-CN"/>
        </w:rPr>
        <w:t>-27</w:t>
      </w:r>
      <w:r>
        <w:rPr>
          <w:color w:val="auto"/>
        </w:rPr>
        <w:t xml:space="preserve">  </w:t>
      </w:r>
      <w:r>
        <w:rPr>
          <w:rFonts w:hint="eastAsia"/>
          <w:color w:val="auto"/>
        </w:rPr>
        <w:t>TSP</w:t>
      </w:r>
      <w:r>
        <w:rPr>
          <w:color w:val="auto"/>
        </w:rPr>
        <w:t>叠加后日平均环境质量浓度预测结果表</w:t>
      </w:r>
    </w:p>
    <w:tbl>
      <w:tblPr>
        <w:tblStyle w:val="27"/>
        <w:tblW w:w="5442" w:type="pct"/>
        <w:tblInd w:w="-2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1053"/>
        <w:gridCol w:w="833"/>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39.48576</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211025</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122.5658</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40.86</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31.81918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211222</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114.8992</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38.3</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24.69565</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210722</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107.7757</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35.93</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51.51033</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210722</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134.5903</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44.86</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37.06226</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210210</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120.1423</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40.05</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40.89333</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211218</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123.9733</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41.32</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43.91135</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211221</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126.9913</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42.33</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17.80948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210910</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100.8895</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33.63</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17.46816</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211218</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100.5482</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33.52</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15.60393</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211218</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98.68393</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32.89</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15.24344</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211218</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98.32344</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32.77</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9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400,300</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181.0864</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211203</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83.08</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264.1664</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88.06</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49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67"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1000,-2200</w:t>
            </w:r>
          </w:p>
        </w:tc>
        <w:tc>
          <w:tcPr>
            <w:tcW w:w="44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8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35.79003</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211221</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74.9</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110.69</w:t>
            </w:r>
          </w:p>
        </w:tc>
        <w:tc>
          <w:tcPr>
            <w:tcW w:w="458"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120</w:t>
            </w:r>
          </w:p>
        </w:tc>
        <w:tc>
          <w:tcPr>
            <w:tcW w:w="53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92.24</w:t>
            </w:r>
          </w:p>
        </w:tc>
        <w:tc>
          <w:tcPr>
            <w:tcW w:w="38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color w:val="FF0000"/>
        </w:rPr>
      </w:pPr>
    </w:p>
    <w:p>
      <w:pPr>
        <w:pStyle w:val="7"/>
        <w:bidi w:val="0"/>
      </w:pPr>
      <w:r>
        <w:t>（2）网格浓度分布图</w:t>
      </w:r>
    </w:p>
    <w:p>
      <w:pPr>
        <w:pStyle w:val="7"/>
        <w:bidi w:val="0"/>
      </w:pPr>
      <w:r>
        <w:t>本项目污染源+在建项目污染源+环境质量现状浓度后，</w:t>
      </w:r>
      <w:r>
        <w:rPr>
          <w:rFonts w:hint="eastAsia"/>
        </w:rPr>
        <w:t>TSP</w:t>
      </w:r>
      <w:r>
        <w:t>日均质量浓度分布图如下：</w:t>
      </w:r>
    </w:p>
    <w:p>
      <w:pPr>
        <w:spacing w:line="360" w:lineRule="auto"/>
        <w:rPr>
          <w:color w:val="FF0000"/>
        </w:rPr>
      </w:pPr>
      <w:r>
        <w:rPr>
          <w:color w:val="FF0000"/>
        </w:rPr>
        <w:drawing>
          <wp:inline distT="0" distB="0" distL="0" distR="0">
            <wp:extent cx="5274310" cy="388937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2"/>
                    <a:stretch>
                      <a:fillRect/>
                    </a:stretch>
                  </pic:blipFill>
                  <pic:spPr>
                    <a:xfrm>
                      <a:off x="0" y="0"/>
                      <a:ext cx="5274310" cy="3889375"/>
                    </a:xfrm>
                    <a:prstGeom prst="rect">
                      <a:avLst/>
                    </a:prstGeom>
                  </pic:spPr>
                </pic:pic>
              </a:graphicData>
            </a:graphic>
          </wp:inline>
        </w:drawing>
      </w:r>
    </w:p>
    <w:p>
      <w:pPr>
        <w:pStyle w:val="44"/>
        <w:bidi w:val="0"/>
        <w:rPr>
          <w:color w:val="auto"/>
        </w:rPr>
      </w:pPr>
      <w:r>
        <w:rPr>
          <w:color w:val="auto"/>
        </w:rPr>
        <w:t>图</w:t>
      </w:r>
      <w:r>
        <w:rPr>
          <w:rFonts w:hint="eastAsia"/>
          <w:color w:val="auto"/>
          <w:lang w:val="en-US" w:eastAsia="zh-CN"/>
        </w:rPr>
        <w:t>6.2-14</w:t>
      </w:r>
      <w:r>
        <w:rPr>
          <w:color w:val="auto"/>
        </w:rPr>
        <w:t xml:space="preserve">  </w:t>
      </w:r>
      <w:r>
        <w:rPr>
          <w:rFonts w:hint="eastAsia"/>
          <w:color w:val="auto"/>
        </w:rPr>
        <w:t>TSP</w:t>
      </w:r>
      <w:r>
        <w:rPr>
          <w:color w:val="auto"/>
        </w:rPr>
        <w:t>日均质量浓度分布图（μg/m</w:t>
      </w:r>
      <w:r>
        <w:rPr>
          <w:color w:val="auto"/>
          <w:vertAlign w:val="superscript"/>
        </w:rPr>
        <w:t>3</w:t>
      </w:r>
      <w:r>
        <w:rPr>
          <w:color w:val="auto"/>
        </w:rPr>
        <w:t>）</w:t>
      </w:r>
    </w:p>
    <w:p>
      <w:pPr>
        <w:pStyle w:val="7"/>
        <w:bidi w:val="0"/>
      </w:pPr>
      <w:r>
        <w:t>（3）结果分析</w:t>
      </w:r>
    </w:p>
    <w:p>
      <w:pPr>
        <w:pStyle w:val="7"/>
        <w:bidi w:val="0"/>
      </w:pPr>
      <w:r>
        <w:t>由表6.2</w:t>
      </w:r>
      <w:r>
        <w:rPr>
          <w:rFonts w:hint="eastAsia"/>
          <w:lang w:val="en-US" w:eastAsia="zh-CN"/>
        </w:rPr>
        <w:t>-26</w:t>
      </w:r>
      <w:r>
        <w:t>可知，环境空气保护目标最大日均浓度贡献值占标率为2.39%＜100%，二类区环境空气保护目标最大年均浓度贡献值为0.71%＜30%，无一类区环境空气保护目标；网格点最大日均浓度贡献值占标率为15.51%＜100%，二类区网格点最大年均浓度贡献值为4.55%＜30%，一类区网格点最大年均浓度贡献值为0.25%＜10%。</w:t>
      </w:r>
    </w:p>
    <w:p>
      <w:pPr>
        <w:pStyle w:val="7"/>
        <w:bidi w:val="0"/>
      </w:pPr>
      <w:r>
        <w:t>由表6.2</w:t>
      </w:r>
      <w:r>
        <w:rPr>
          <w:rFonts w:hint="eastAsia"/>
          <w:lang w:val="en-US" w:eastAsia="zh-CN"/>
        </w:rPr>
        <w:t>-27</w:t>
      </w:r>
      <w:r>
        <w:t>可知，本项目污染源+在建项目污染源+环境质量现状浓度后，环境空气保护目标最大日均浓度预测值占标率为44.86%，网格点98%最大日均浓度预测值占标率为92.24%，均符合环境质量标准。</w:t>
      </w:r>
    </w:p>
    <w:p>
      <w:pPr>
        <w:pStyle w:val="7"/>
        <w:bidi w:val="0"/>
      </w:pPr>
      <w:r>
        <w:t>综上分析可知，</w:t>
      </w:r>
      <w:r>
        <w:rPr>
          <w:rFonts w:hint="eastAsia"/>
        </w:rPr>
        <w:t>TSP</w:t>
      </w:r>
      <w:r>
        <w:t>正常排放条件下，环境空气保护目标和网格点短期浓度贡献值占标率均＜100%，二类区年均浓度贡献值占标率均＜30%，一类区年均浓度贡献值占标率均＜10%；本项目污染源+在建项目污染源+环境质量现状浓度后，环境空气保护目标和网格点日均浓度预测值占标率均符合环境质量标准，</w:t>
      </w:r>
      <w:r>
        <w:rPr>
          <w:rFonts w:hint="eastAsia"/>
        </w:rPr>
        <w:t>TSP</w:t>
      </w:r>
      <w:r>
        <w:t>正常排放对环境的影响可以接受。</w:t>
      </w:r>
    </w:p>
    <w:p>
      <w:pPr>
        <w:pStyle w:val="9"/>
        <w:bidi w:val="0"/>
        <w:rPr>
          <w:color w:val="auto"/>
        </w:rPr>
      </w:pPr>
      <w:r>
        <w:rPr>
          <w:rFonts w:hint="eastAsia"/>
          <w:color w:val="auto"/>
        </w:rPr>
        <w:t>6.2.3.4 PM</w:t>
      </w:r>
      <w:r>
        <w:rPr>
          <w:rFonts w:hint="eastAsia"/>
          <w:color w:val="auto"/>
          <w:vertAlign w:val="subscript"/>
        </w:rPr>
        <w:t>10</w:t>
      </w:r>
      <w:r>
        <w:rPr>
          <w:rFonts w:hint="eastAsia"/>
          <w:color w:val="auto"/>
        </w:rPr>
        <w:t>预测结果</w:t>
      </w:r>
    </w:p>
    <w:p>
      <w:pPr>
        <w:pStyle w:val="7"/>
        <w:bidi w:val="0"/>
      </w:pPr>
      <w:r>
        <w:t>正常工况条件下，本项目环境空气保护目标和网格点的短期浓度和长期浓度贡献值预测结果见表6.2.3-9。本项目污染源+在建项目污染源+环境质量现状浓度后环境空气保护目标和网格点保证率日平均质量浓度和年平均质量浓度预测结果见表6.2</w:t>
      </w:r>
      <w:r>
        <w:rPr>
          <w:rFonts w:hint="eastAsia"/>
          <w:lang w:val="en-US" w:eastAsia="zh-CN"/>
        </w:rPr>
        <w:t>-28</w:t>
      </w:r>
      <w:r>
        <w:t>、表6.2</w:t>
      </w:r>
      <w:r>
        <w:rPr>
          <w:rFonts w:hint="eastAsia"/>
          <w:lang w:val="en-US" w:eastAsia="zh-CN"/>
        </w:rPr>
        <w:t>-29</w:t>
      </w:r>
      <w:r>
        <w:t>。</w:t>
      </w:r>
    </w:p>
    <w:p>
      <w:pPr>
        <w:pStyle w:val="31"/>
        <w:bidi w:val="0"/>
        <w:rPr>
          <w:b/>
          <w:bCs/>
          <w:color w:val="auto"/>
        </w:rPr>
      </w:pPr>
      <w:r>
        <w:rPr>
          <w:b/>
          <w:bCs/>
          <w:color w:val="auto"/>
        </w:rPr>
        <w:t>表6.2</w:t>
      </w:r>
      <w:r>
        <w:rPr>
          <w:rFonts w:hint="eastAsia"/>
          <w:b/>
          <w:bCs/>
          <w:color w:val="auto"/>
          <w:lang w:val="en-US" w:eastAsia="zh-CN"/>
        </w:rPr>
        <w:t>-28</w:t>
      </w:r>
      <w:r>
        <w:rPr>
          <w:b/>
          <w:bCs/>
          <w:color w:val="auto"/>
        </w:rPr>
        <w:t xml:space="preserve">  本项目</w:t>
      </w:r>
      <w:r>
        <w:rPr>
          <w:rFonts w:hint="eastAsia"/>
          <w:b/>
          <w:bCs/>
          <w:color w:val="auto"/>
        </w:rPr>
        <w:t>PM</w:t>
      </w:r>
      <w:r>
        <w:rPr>
          <w:rFonts w:hint="eastAsia"/>
          <w:b/>
          <w:bCs/>
          <w:color w:val="auto"/>
          <w:vertAlign w:val="subscript"/>
        </w:rPr>
        <w:t>10</w:t>
      </w:r>
      <w:r>
        <w:rPr>
          <w:b/>
          <w:bCs/>
          <w:color w:val="auto"/>
        </w:rP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1.20664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210204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0.38886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0.56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1.45908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211230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0.97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0.27827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1.05566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210101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0.14437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0.21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6.06282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210827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4.04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1.27796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1.83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0.95146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210401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0.63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0.07096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5.65919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210524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3.77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0.6334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0.7822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0.52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0.05534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0.08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0.51749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0.34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0.02379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0.03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1.51584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0.16354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0.23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1.35853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0.91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0.14191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1.51571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0.15122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0.22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15.73638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211222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10.49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3.45512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70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4.94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2.08582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211013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4.17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0.13455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40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0.34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sz w:val="18"/>
                <w:szCs w:val="18"/>
              </w:rPr>
              <w:t>达标</w:t>
            </w:r>
          </w:p>
        </w:tc>
      </w:tr>
    </w:tbl>
    <w:p>
      <w:pPr>
        <w:pStyle w:val="2"/>
        <w:ind w:left="480" w:firstLine="480"/>
        <w:rPr>
          <w:color w:val="FF0000"/>
        </w:rPr>
      </w:pPr>
    </w:p>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表6.</w:t>
      </w:r>
      <w:r>
        <w:rPr>
          <w:rFonts w:hint="default" w:ascii="Times New Roman" w:hAnsi="Times New Roman" w:cs="Times New Roman"/>
          <w:b/>
          <w:bCs/>
          <w:color w:val="auto"/>
          <w:lang w:val="en-US" w:eastAsia="zh-CN"/>
        </w:rPr>
        <w:t xml:space="preserve">2-29 </w:t>
      </w:r>
      <w:r>
        <w:rPr>
          <w:rFonts w:hint="default" w:ascii="Times New Roman" w:hAnsi="Times New Roman" w:cs="Times New Roman"/>
          <w:b/>
          <w:bCs/>
          <w:color w:val="auto"/>
        </w:rPr>
        <w:t xml:space="preserve"> PM</w:t>
      </w:r>
      <w:r>
        <w:rPr>
          <w:rFonts w:hint="default" w:ascii="Times New Roman" w:hAnsi="Times New Roman" w:cs="Times New Roman"/>
          <w:b/>
          <w:bCs/>
          <w:color w:val="auto"/>
          <w:vertAlign w:val="subscript"/>
        </w:rPr>
        <w:t>10</w:t>
      </w:r>
      <w:r>
        <w:rPr>
          <w:rFonts w:hint="default" w:ascii="Times New Roman" w:hAnsi="Times New Roman" w:cs="Times New Roman"/>
          <w:b/>
          <w:bCs/>
          <w:color w:val="auto"/>
        </w:rPr>
        <w:t>叠加后95%保证率日平均环境质量浓度预测结果表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987"/>
        <w:gridCol w:w="1182"/>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6.437119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76.43712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50.96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0.270996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72.271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48.18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0.017342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72.01734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48.01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1.403717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73.40372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48.94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2.640274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74.64027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49.76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0.035172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72.03517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48.02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0.069969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72.06997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48.05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1500,1300</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24.52699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94.52699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63.02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3.787556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38.78756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77.58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rFonts w:hint="default" w:ascii="Times New Roman" w:hAnsi="Times New Roman" w:cs="Times New Roman"/>
          <w:color w:val="auto"/>
        </w:rPr>
      </w:pPr>
    </w:p>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表6.</w:t>
      </w:r>
      <w:r>
        <w:rPr>
          <w:rFonts w:hint="eastAsia" w:ascii="Times New Roman" w:hAnsi="Times New Roman" w:cs="Times New Roman"/>
          <w:b/>
          <w:bCs/>
          <w:color w:val="auto"/>
          <w:lang w:val="en-US" w:eastAsia="zh-CN"/>
        </w:rPr>
        <w:t>2-30</w:t>
      </w:r>
      <w:r>
        <w:rPr>
          <w:rFonts w:hint="default" w:ascii="Times New Roman" w:hAnsi="Times New Roman" w:cs="Times New Roman"/>
          <w:b/>
          <w:bCs/>
          <w:color w:val="auto"/>
        </w:rPr>
        <w:t xml:space="preserve">  PM</w:t>
      </w:r>
      <w:r>
        <w:rPr>
          <w:rFonts w:hint="default" w:ascii="Times New Roman" w:hAnsi="Times New Roman" w:cs="Times New Roman"/>
          <w:b/>
          <w:bCs/>
          <w:color w:val="auto"/>
          <w:vertAlign w:val="subscript"/>
        </w:rPr>
        <w:t>10</w:t>
      </w:r>
      <w:r>
        <w:rPr>
          <w:rFonts w:hint="default" w:ascii="Times New Roman" w:hAnsi="Times New Roman" w:cs="Times New Roman"/>
          <w:b/>
          <w:bCs/>
          <w:color w:val="auto"/>
        </w:rPr>
        <w:t>叠加年平均环境质量浓度预测结果表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317"/>
        <w:gridCol w:w="852"/>
        <w:gridCol w:w="1087"/>
        <w:gridCol w:w="850"/>
        <w:gridCol w:w="993"/>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5.02368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37.52779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53.61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0.91801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33.42212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47.75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0.64255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33.14666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47.35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3.19959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35.7037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51.01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1.09624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33.60035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1.91758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34.42169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49.17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0.71186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33.21597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47.45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0.24145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32.74556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46.78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0.80092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33.30503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47.58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0.73287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33.23698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47.48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0.75342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33.25753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47.51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1500,1300</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16.49088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32.50411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48.99499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69.99</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0.78605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r>
    </w:tbl>
    <w:p>
      <w:pPr>
        <w:pStyle w:val="2"/>
        <w:ind w:left="480" w:firstLine="480"/>
        <w:rPr>
          <w:rFonts w:hint="default" w:ascii="Times New Roman" w:hAnsi="Times New Roman" w:cs="Times New Roman"/>
          <w:color w:val="auto"/>
        </w:rPr>
      </w:pPr>
    </w:p>
    <w:p>
      <w:pPr>
        <w:pStyle w:val="7"/>
        <w:bidi w:val="0"/>
      </w:pPr>
      <w:r>
        <w:t>（2）网格浓度分布图</w:t>
      </w:r>
    </w:p>
    <w:p>
      <w:pPr>
        <w:pStyle w:val="7"/>
        <w:bidi w:val="0"/>
        <w:rPr>
          <w:color w:val="auto"/>
        </w:rPr>
      </w:pPr>
      <w:r>
        <w:rPr>
          <w:color w:val="auto"/>
        </w:rPr>
        <w:t>本项目污染源+在建项目污染源+环境质量现状浓度后，</w:t>
      </w:r>
      <w:r>
        <w:rPr>
          <w:rFonts w:hint="eastAsia"/>
          <w:color w:val="auto"/>
        </w:rPr>
        <w:t>PM</w:t>
      </w:r>
      <w:r>
        <w:rPr>
          <w:rFonts w:hint="eastAsia"/>
          <w:color w:val="auto"/>
          <w:vertAlign w:val="subscript"/>
        </w:rPr>
        <w:t>10</w:t>
      </w:r>
      <w:r>
        <w:rPr>
          <w:rFonts w:hint="eastAsia"/>
          <w:color w:val="auto"/>
          <w:vertAlign w:val="subscript"/>
          <w:lang w:val="en-US" w:eastAsia="zh-CN"/>
        </w:rPr>
        <w:t xml:space="preserve"> </w:t>
      </w:r>
      <w:r>
        <w:rPr>
          <w:color w:val="auto"/>
        </w:rPr>
        <w:t>95%保证率日均质量浓度分布图与年均质量浓度分布图如下：</w:t>
      </w:r>
    </w:p>
    <w:p>
      <w:pPr>
        <w:spacing w:line="360" w:lineRule="auto"/>
        <w:rPr>
          <w:color w:val="FF0000"/>
        </w:rPr>
      </w:pPr>
      <w:r>
        <w:rPr>
          <w:color w:val="FF0000"/>
        </w:rPr>
        <w:drawing>
          <wp:inline distT="0" distB="0" distL="0" distR="0">
            <wp:extent cx="5274310" cy="394843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3"/>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w:t>
      </w:r>
      <w:r>
        <w:rPr>
          <w:rFonts w:hint="eastAsia"/>
          <w:color w:val="auto"/>
          <w:lang w:val="en-US" w:eastAsia="zh-CN"/>
        </w:rPr>
        <w:t>6.2-15</w:t>
      </w:r>
      <w:r>
        <w:rPr>
          <w:color w:val="auto"/>
        </w:rPr>
        <w:t xml:space="preserve">  </w:t>
      </w:r>
      <w:r>
        <w:rPr>
          <w:rFonts w:hint="eastAsia"/>
          <w:color w:val="auto"/>
        </w:rPr>
        <w:t>PM</w:t>
      </w:r>
      <w:r>
        <w:rPr>
          <w:rFonts w:hint="eastAsia"/>
          <w:color w:val="auto"/>
          <w:vertAlign w:val="subscript"/>
        </w:rPr>
        <w:t>10</w:t>
      </w:r>
      <w:r>
        <w:rPr>
          <w:color w:val="auto"/>
        </w:rPr>
        <w:t>95%保证率日均质量浓度分布图（μg/m</w:t>
      </w:r>
      <w:r>
        <w:rPr>
          <w:color w:val="auto"/>
          <w:vertAlign w:val="superscript"/>
        </w:rPr>
        <w:t>3</w:t>
      </w:r>
      <w:r>
        <w:rPr>
          <w:color w:val="auto"/>
        </w:rPr>
        <w:t>）</w:t>
      </w:r>
    </w:p>
    <w:p>
      <w:pPr>
        <w:spacing w:line="360" w:lineRule="auto"/>
        <w:rPr>
          <w:color w:val="FF0000"/>
        </w:rPr>
      </w:pPr>
      <w:r>
        <w:rPr>
          <w:color w:val="FF0000"/>
        </w:rPr>
        <w:drawing>
          <wp:inline distT="0" distB="0" distL="0" distR="0">
            <wp:extent cx="5274310" cy="394843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4"/>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图6.2</w:t>
      </w:r>
      <w:r>
        <w:rPr>
          <w:rFonts w:hint="eastAsia"/>
          <w:color w:val="auto"/>
          <w:lang w:val="en-US" w:eastAsia="zh-CN"/>
        </w:rPr>
        <w:t xml:space="preserve">-16 </w:t>
      </w:r>
      <w:r>
        <w:rPr>
          <w:color w:val="auto"/>
        </w:rPr>
        <w:t xml:space="preserve"> </w:t>
      </w:r>
      <w:r>
        <w:rPr>
          <w:rFonts w:hint="eastAsia"/>
          <w:color w:val="auto"/>
        </w:rPr>
        <w:t>PM</w:t>
      </w:r>
      <w:r>
        <w:rPr>
          <w:rFonts w:hint="eastAsia"/>
          <w:color w:val="auto"/>
          <w:vertAlign w:val="subscript"/>
        </w:rPr>
        <w:t>10</w:t>
      </w:r>
      <w:r>
        <w:rPr>
          <w:color w:val="auto"/>
        </w:rPr>
        <w:t>叠加年均质量浓度分布图（μg/m</w:t>
      </w:r>
      <w:r>
        <w:rPr>
          <w:color w:val="auto"/>
          <w:vertAlign w:val="superscript"/>
        </w:rPr>
        <w:t>3</w:t>
      </w:r>
      <w:r>
        <w:rPr>
          <w:color w:val="auto"/>
        </w:rPr>
        <w:t>）</w:t>
      </w:r>
    </w:p>
    <w:p>
      <w:pPr>
        <w:pStyle w:val="2"/>
        <w:ind w:left="480" w:firstLine="480"/>
        <w:rPr>
          <w:color w:val="FF0000"/>
        </w:rPr>
      </w:pPr>
    </w:p>
    <w:p>
      <w:pPr>
        <w:pStyle w:val="7"/>
        <w:bidi w:val="0"/>
      </w:pPr>
      <w:r>
        <w:t>（3）结果分析</w:t>
      </w:r>
    </w:p>
    <w:p>
      <w:pPr>
        <w:pStyle w:val="7"/>
        <w:bidi w:val="0"/>
      </w:pPr>
      <w:r>
        <w:t>由表6.2</w:t>
      </w:r>
      <w:r>
        <w:rPr>
          <w:rFonts w:hint="eastAsia"/>
          <w:lang w:val="en-US" w:eastAsia="zh-CN"/>
        </w:rPr>
        <w:t>-28</w:t>
      </w:r>
      <w:r>
        <w:t>可知，环境空气保护目标最大日均浓度贡献值占标率为4.04%＜100%，二类区环境空气保护目标最大年均浓度贡献值为1.83%＜30%，无一类区环境空气保护目标；网格点最大日均浓度贡献值占标率为10.49%＜100%，二类区网格点最大年均浓度贡献值为4.94%＜30%，一类区网格点最大年均浓度贡献值为0.43%＜10%。</w:t>
      </w:r>
    </w:p>
    <w:p>
      <w:pPr>
        <w:pStyle w:val="7"/>
        <w:bidi w:val="0"/>
      </w:pPr>
      <w:r>
        <w:t>由表6.2</w:t>
      </w:r>
      <w:r>
        <w:rPr>
          <w:rFonts w:hint="eastAsia"/>
          <w:lang w:val="en-US" w:eastAsia="zh-CN"/>
        </w:rPr>
        <w:t>-29</w:t>
      </w:r>
      <w:r>
        <w:t>可知，本项目污染源+在建项目污染源+环境质量现状浓度后，环境空气保护目标95%保证率最大日均浓度预测值占标率为50.96%，网格点95%保证率最大日均浓度预测值占标率为77.58%，均符合环境质量标准。</w:t>
      </w:r>
    </w:p>
    <w:p>
      <w:pPr>
        <w:pStyle w:val="7"/>
        <w:bidi w:val="0"/>
      </w:pPr>
      <w:r>
        <w:t>由表6.2</w:t>
      </w:r>
      <w:r>
        <w:rPr>
          <w:rFonts w:hint="eastAsia"/>
          <w:lang w:val="en-US" w:eastAsia="zh-CN"/>
        </w:rPr>
        <w:t>-30</w:t>
      </w:r>
      <w:r>
        <w:t>可知，本项目污染源+在建项目污染源+环境质量现状浓度后，环境空气保护目标最大年均浓度预测值占标率为53.61%，网格点最大年均浓度预测值占标率为69.99%，均符合环境质量标准。</w:t>
      </w:r>
    </w:p>
    <w:p>
      <w:pPr>
        <w:pStyle w:val="7"/>
        <w:bidi w:val="0"/>
        <w:rPr>
          <w:color w:val="auto"/>
        </w:rPr>
      </w:pPr>
      <w:r>
        <w:rPr>
          <w:color w:val="auto"/>
        </w:rPr>
        <w:t>综上分析可知，</w:t>
      </w:r>
      <w:r>
        <w:rPr>
          <w:rFonts w:hint="eastAsia"/>
          <w:color w:val="auto"/>
        </w:rPr>
        <w:t>PM</w:t>
      </w:r>
      <w:r>
        <w:rPr>
          <w:rFonts w:hint="eastAsia"/>
          <w:color w:val="auto"/>
          <w:vertAlign w:val="subscript"/>
        </w:rPr>
        <w:t>10</w:t>
      </w:r>
      <w:r>
        <w:rPr>
          <w:color w:val="auto"/>
        </w:rPr>
        <w:t>正常排放条件下，环境空气保护目标和网格点短期浓度贡献值占标率均＜100%，二类区年均浓度贡献值占标率均＜30%，一类区年均浓度贡献值占标率均＜10%；本项目污染源+在建项目污染源+环境质量现状浓度后，环境空气保护目标和网格点95%保证率日均浓度、年均浓度预测值占标率均符合环境质量标准，</w:t>
      </w:r>
      <w:r>
        <w:rPr>
          <w:rFonts w:hint="eastAsia"/>
          <w:color w:val="auto"/>
        </w:rPr>
        <w:t>PM</w:t>
      </w:r>
      <w:r>
        <w:rPr>
          <w:rFonts w:hint="eastAsia"/>
          <w:color w:val="auto"/>
          <w:vertAlign w:val="subscript"/>
        </w:rPr>
        <w:t>10</w:t>
      </w:r>
      <w:r>
        <w:rPr>
          <w:color w:val="auto"/>
        </w:rPr>
        <w:t>正常排放对环境的影响可以接受。</w:t>
      </w:r>
    </w:p>
    <w:p>
      <w:pPr>
        <w:pStyle w:val="9"/>
        <w:rPr>
          <w:color w:val="auto"/>
        </w:rPr>
      </w:pPr>
      <w:r>
        <w:rPr>
          <w:rFonts w:hint="eastAsia"/>
          <w:color w:val="auto"/>
        </w:rPr>
        <w:t>6.2.3.5 PM</w:t>
      </w:r>
      <w:r>
        <w:rPr>
          <w:rFonts w:hint="eastAsia"/>
          <w:color w:val="auto"/>
          <w:vertAlign w:val="subscript"/>
        </w:rPr>
        <w:t>2.5</w:t>
      </w:r>
      <w:r>
        <w:rPr>
          <w:rFonts w:hint="eastAsia"/>
          <w:color w:val="auto"/>
        </w:rPr>
        <w:t>预测结果</w:t>
      </w:r>
    </w:p>
    <w:p>
      <w:pPr>
        <w:pStyle w:val="7"/>
        <w:bidi w:val="0"/>
      </w:pPr>
      <w:r>
        <w:t>正常工况条件下，本项目环境空气保护目标和网格点的短期浓度和长期浓度贡献值预测结果见表6.2</w:t>
      </w:r>
      <w:r>
        <w:rPr>
          <w:rFonts w:hint="eastAsia"/>
          <w:lang w:val="en-US" w:eastAsia="zh-CN"/>
        </w:rPr>
        <w:t>-31</w:t>
      </w:r>
      <w:r>
        <w:t>。本项目污染源+在建项目污染源+环境质量现状浓度后环境空气保护目标和网格点保证率日平均质量浓度和年平均质量浓度预测结果见表6.2</w:t>
      </w:r>
      <w:r>
        <w:rPr>
          <w:rFonts w:hint="eastAsia"/>
          <w:lang w:val="en-US" w:eastAsia="zh-CN"/>
        </w:rPr>
        <w:t>-32</w:t>
      </w:r>
      <w:r>
        <w:t>、表6.2</w:t>
      </w:r>
      <w:r>
        <w:rPr>
          <w:rFonts w:hint="eastAsia"/>
          <w:lang w:val="en-US" w:eastAsia="zh-CN"/>
        </w:rPr>
        <w:t>-33</w:t>
      </w:r>
      <w:r>
        <w:t>。</w:t>
      </w:r>
    </w:p>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表6.2.</w:t>
      </w:r>
      <w:r>
        <w:rPr>
          <w:rFonts w:hint="default" w:ascii="Times New Roman" w:hAnsi="Times New Roman" w:cs="Times New Roman"/>
          <w:b/>
          <w:bCs/>
          <w:color w:val="auto"/>
          <w:lang w:val="en-US" w:eastAsia="zh-CN"/>
        </w:rPr>
        <w:t>-31</w:t>
      </w:r>
      <w:r>
        <w:rPr>
          <w:rFonts w:hint="default" w:ascii="Times New Roman" w:hAnsi="Times New Roman" w:cs="Times New Roman"/>
          <w:b/>
          <w:bCs/>
          <w:color w:val="auto"/>
        </w:rPr>
        <w:t xml:space="preserve">  本项目PM</w:t>
      </w:r>
      <w:r>
        <w:rPr>
          <w:rFonts w:hint="default" w:ascii="Times New Roman" w:hAnsi="Times New Roman" w:cs="Times New Roman"/>
          <w:b/>
          <w:bCs/>
          <w:color w:val="auto"/>
          <w:vertAlign w:val="subscript"/>
        </w:rPr>
        <w:t>2.5</w:t>
      </w:r>
      <w:r>
        <w:rPr>
          <w:rFonts w:hint="default" w:ascii="Times New Roman" w:hAnsi="Times New Roman" w:cs="Times New Roman"/>
          <w:b/>
          <w:bCs/>
          <w:color w:val="auto"/>
        </w:rP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0.48265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0.15554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0.58363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211230</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0.78</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0.11131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0.42226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0.56</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0.05775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0.17</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2.42513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210827</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3.23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0.51118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1.46</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0.38058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0.51</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0.02839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2.26367</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210524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0.25336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0.31288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0.02214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0.207</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0.28</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0.00952</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0.60634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0.81</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0.06542</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0.19</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0.54341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0.05676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0.60629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0.06049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6.29455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8.39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1.38205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3.95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0.83433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2.38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0.05382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rFonts w:hint="default" w:ascii="Times New Roman" w:hAnsi="Times New Roman" w:cs="Times New Roman"/>
          <w:color w:val="auto"/>
        </w:rPr>
      </w:pPr>
    </w:p>
    <w:p>
      <w:pPr>
        <w:pStyle w:val="41"/>
        <w:bidi w:val="0"/>
        <w:rPr>
          <w:rFonts w:hint="default" w:ascii="Times New Roman" w:hAnsi="Times New Roman" w:cs="Times New Roman"/>
          <w:b/>
          <w:bCs/>
          <w:color w:val="auto"/>
        </w:rPr>
      </w:pPr>
      <w:r>
        <w:rPr>
          <w:rFonts w:hint="default" w:ascii="Times New Roman" w:hAnsi="Times New Roman" w:cs="Times New Roman"/>
          <w:b/>
          <w:bCs/>
          <w:color w:val="auto"/>
        </w:rPr>
        <w:t>表6.2</w:t>
      </w:r>
      <w:r>
        <w:rPr>
          <w:rFonts w:hint="default" w:ascii="Times New Roman" w:hAnsi="Times New Roman" w:cs="Times New Roman"/>
          <w:b/>
          <w:bCs/>
          <w:color w:val="auto"/>
          <w:lang w:val="en-US" w:eastAsia="zh-CN"/>
        </w:rPr>
        <w:t>-32</w:t>
      </w:r>
      <w:r>
        <w:rPr>
          <w:rFonts w:hint="default" w:ascii="Times New Roman" w:hAnsi="Times New Roman" w:cs="Times New Roman"/>
          <w:b/>
          <w:bCs/>
          <w:color w:val="auto"/>
        </w:rPr>
        <w:t xml:space="preserve">  PM</w:t>
      </w:r>
      <w:r>
        <w:rPr>
          <w:rFonts w:hint="default" w:ascii="Times New Roman" w:hAnsi="Times New Roman" w:cs="Times New Roman"/>
          <w:b/>
          <w:bCs/>
          <w:color w:val="auto"/>
          <w:vertAlign w:val="subscript"/>
        </w:rPr>
        <w:t>2.5</w:t>
      </w:r>
      <w:r>
        <w:rPr>
          <w:rFonts w:hint="default" w:ascii="Times New Roman" w:hAnsi="Times New Roman" w:cs="Times New Roman"/>
          <w:b/>
          <w:bCs/>
          <w:color w:val="auto"/>
        </w:rPr>
        <w:t>叠加后95%保证率日平均环境质量浓度预测结果表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987"/>
        <w:gridCol w:w="1182"/>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2.15432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53.15432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70.87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0.269871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51.26987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68.36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0.044857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51.04486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68.06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1.034481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52.03448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69.38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0.027615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51.02761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68.04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210125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12" w:type="pct"/>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1500,1300</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9.80442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58.80442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78.41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12" w:type="pct"/>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95%日平均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1.491949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17.49195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49.98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color w:val="FF0000"/>
        </w:rPr>
      </w:pPr>
    </w:p>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表6.2</w:t>
      </w:r>
      <w:r>
        <w:rPr>
          <w:rFonts w:hint="default" w:ascii="Times New Roman" w:hAnsi="Times New Roman" w:cs="Times New Roman"/>
          <w:b/>
          <w:bCs/>
          <w:color w:val="auto"/>
          <w:lang w:val="en-US" w:eastAsia="zh-CN"/>
        </w:rPr>
        <w:t>-33</w:t>
      </w:r>
      <w:r>
        <w:rPr>
          <w:rFonts w:hint="default" w:ascii="Times New Roman" w:hAnsi="Times New Roman" w:cs="Times New Roman"/>
          <w:b/>
          <w:bCs/>
          <w:color w:val="auto"/>
        </w:rPr>
        <w:t xml:space="preserve">  PM</w:t>
      </w:r>
      <w:r>
        <w:rPr>
          <w:rFonts w:hint="default" w:ascii="Times New Roman" w:hAnsi="Times New Roman" w:cs="Times New Roman"/>
          <w:b/>
          <w:bCs/>
          <w:color w:val="auto"/>
          <w:vertAlign w:val="subscript"/>
        </w:rPr>
        <w:t>2.5</w:t>
      </w:r>
      <w:r>
        <w:rPr>
          <w:rFonts w:hint="default" w:ascii="Times New Roman" w:hAnsi="Times New Roman" w:cs="Times New Roman"/>
          <w:b/>
          <w:bCs/>
          <w:color w:val="auto"/>
        </w:rPr>
        <w:t>叠加年平均环境质量浓度预测结果表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317"/>
        <w:gridCol w:w="852"/>
        <w:gridCol w:w="1087"/>
        <w:gridCol w:w="850"/>
        <w:gridCol w:w="993"/>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1.99666</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22.10077</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63.15</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0.3591</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20.46321</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58.47</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0.25227</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20.35638</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58.16</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1.23766</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21.34177</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60.98</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0.43639</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20.5405</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58.69</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0.74793</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20.85204</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59.58</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0.28337</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20.38748</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58.25</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0.09589</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20.2</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57.71</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0.31618</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20.42029</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58.34</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0.28958</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20.39369</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58.27</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0.29763</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20.40174</w:t>
            </w:r>
          </w:p>
        </w:tc>
        <w:tc>
          <w:tcPr>
            <w:tcW w:w="441"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58.29</w:t>
            </w:r>
          </w:p>
        </w:tc>
        <w:tc>
          <w:tcPr>
            <w:tcW w:w="367" w:type="pct"/>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1500,1300</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6.58877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20.10411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26.69288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76.27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83"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44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全时段</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0.31086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平均值</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w:t>
            </w:r>
          </w:p>
        </w:tc>
      </w:tr>
    </w:tbl>
    <w:p>
      <w:pPr>
        <w:pStyle w:val="2"/>
        <w:ind w:left="480" w:firstLine="480"/>
        <w:rPr>
          <w:color w:val="FF0000"/>
        </w:rPr>
      </w:pPr>
    </w:p>
    <w:p>
      <w:pPr>
        <w:pStyle w:val="7"/>
        <w:bidi w:val="0"/>
      </w:pPr>
      <w:r>
        <w:t>（2）网格浓度分布图</w:t>
      </w:r>
    </w:p>
    <w:p>
      <w:pPr>
        <w:pStyle w:val="7"/>
        <w:bidi w:val="0"/>
      </w:pPr>
      <w:r>
        <w:t>本项目污染源+在建项目污染源+环境质量现状浓度后，</w:t>
      </w:r>
      <w:r>
        <w:rPr>
          <w:rFonts w:hint="eastAsia"/>
        </w:rPr>
        <w:t>PM</w:t>
      </w:r>
      <w:r>
        <w:rPr>
          <w:vertAlign w:val="subscript"/>
        </w:rPr>
        <w:t>2.5</w:t>
      </w:r>
      <w:r>
        <w:rPr>
          <w:rFonts w:hint="eastAsia"/>
          <w:vertAlign w:val="subscript"/>
          <w:lang w:val="en-US" w:eastAsia="zh-CN"/>
        </w:rPr>
        <w:t xml:space="preserve"> </w:t>
      </w:r>
      <w:r>
        <w:t>95%保证率日均质量浓度分布图与年均质量浓度分布图如下：</w:t>
      </w:r>
    </w:p>
    <w:p>
      <w:pPr>
        <w:spacing w:line="360" w:lineRule="auto"/>
        <w:rPr>
          <w:color w:val="FF0000"/>
        </w:rPr>
      </w:pPr>
      <w:r>
        <w:rPr>
          <w:color w:val="FF0000"/>
        </w:rPr>
        <w:drawing>
          <wp:inline distT="0" distB="0" distL="0" distR="0">
            <wp:extent cx="5274310" cy="394843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5"/>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w:t>
      </w:r>
      <w:r>
        <w:rPr>
          <w:rFonts w:hint="eastAsia"/>
          <w:color w:val="auto"/>
          <w:lang w:val="en-US" w:eastAsia="zh-CN"/>
        </w:rPr>
        <w:t>6.2-17</w:t>
      </w:r>
      <w:r>
        <w:rPr>
          <w:color w:val="auto"/>
        </w:rPr>
        <w:t xml:space="preserve">  </w:t>
      </w:r>
      <w:r>
        <w:rPr>
          <w:rFonts w:hint="eastAsia"/>
          <w:color w:val="auto"/>
        </w:rPr>
        <w:t>PM</w:t>
      </w:r>
      <w:r>
        <w:rPr>
          <w:color w:val="auto"/>
          <w:vertAlign w:val="subscript"/>
        </w:rPr>
        <w:t>2.5</w:t>
      </w:r>
      <w:r>
        <w:rPr>
          <w:color w:val="auto"/>
        </w:rPr>
        <w:t>95%保证率日均质量浓度分布图（μg/m</w:t>
      </w:r>
      <w:r>
        <w:rPr>
          <w:color w:val="auto"/>
          <w:vertAlign w:val="superscript"/>
        </w:rPr>
        <w:t>3</w:t>
      </w:r>
      <w:r>
        <w:rPr>
          <w:color w:val="auto"/>
        </w:rPr>
        <w:t>）</w:t>
      </w:r>
    </w:p>
    <w:p>
      <w:pPr>
        <w:spacing w:line="360" w:lineRule="auto"/>
        <w:rPr>
          <w:color w:val="FF0000"/>
        </w:rPr>
      </w:pPr>
      <w:r>
        <w:rPr>
          <w:color w:val="FF0000"/>
        </w:rPr>
        <w:drawing>
          <wp:inline distT="0" distB="0" distL="0" distR="0">
            <wp:extent cx="5274310" cy="394843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6"/>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图6.2</w:t>
      </w:r>
      <w:r>
        <w:rPr>
          <w:rFonts w:hint="eastAsia"/>
          <w:color w:val="auto"/>
          <w:lang w:val="en-US" w:eastAsia="zh-CN"/>
        </w:rPr>
        <w:t>-18</w:t>
      </w:r>
      <w:r>
        <w:rPr>
          <w:color w:val="auto"/>
        </w:rPr>
        <w:t xml:space="preserve">  </w:t>
      </w:r>
      <w:r>
        <w:rPr>
          <w:rFonts w:hint="eastAsia"/>
          <w:color w:val="auto"/>
        </w:rPr>
        <w:t>PM</w:t>
      </w:r>
      <w:r>
        <w:rPr>
          <w:color w:val="auto"/>
          <w:vertAlign w:val="subscript"/>
        </w:rPr>
        <w:t>2.5</w:t>
      </w:r>
      <w:r>
        <w:rPr>
          <w:color w:val="auto"/>
        </w:rPr>
        <w:t>叠加年均质量浓度分布图（μg/m</w:t>
      </w:r>
      <w:r>
        <w:rPr>
          <w:color w:val="auto"/>
          <w:vertAlign w:val="superscript"/>
        </w:rPr>
        <w:t>3</w:t>
      </w:r>
      <w:r>
        <w:rPr>
          <w:color w:val="auto"/>
        </w:rPr>
        <w:t>）</w:t>
      </w:r>
    </w:p>
    <w:p>
      <w:pPr>
        <w:pStyle w:val="7"/>
        <w:bidi w:val="0"/>
      </w:pPr>
      <w:r>
        <w:t>（3）结果分析</w:t>
      </w:r>
    </w:p>
    <w:p>
      <w:pPr>
        <w:pStyle w:val="7"/>
        <w:bidi w:val="0"/>
      </w:pPr>
      <w:r>
        <w:t>由表6.2</w:t>
      </w:r>
      <w:r>
        <w:rPr>
          <w:rFonts w:hint="eastAsia"/>
          <w:lang w:val="en-US" w:eastAsia="zh-CN"/>
        </w:rPr>
        <w:t>-31</w:t>
      </w:r>
      <w:r>
        <w:t>可知，环境空气保护目标最大日均浓度贡献值占标率为3.23%＜100%，二类区环境空气保护目标最大年均浓度贡献值为1.46%＜30%，无一类区环境空气保护目标；网格点最大日均浓度贡献值占标率为8.39%＜100%，二类区网格点最大年均浓度贡献值为3.95%＜30%，一类区网格点最大年均浓度贡献值为0.36%＜10%。</w:t>
      </w:r>
    </w:p>
    <w:p>
      <w:pPr>
        <w:pStyle w:val="7"/>
        <w:bidi w:val="0"/>
      </w:pPr>
      <w:r>
        <w:t>由表6.2</w:t>
      </w:r>
      <w:r>
        <w:rPr>
          <w:rFonts w:hint="eastAsia"/>
          <w:lang w:val="en-US" w:eastAsia="zh-CN"/>
        </w:rPr>
        <w:t>-32</w:t>
      </w:r>
      <w:r>
        <w:t>可知，本项目污染源+在建项目污染源+环境质量现状浓度后，环境空气保护目标95%保证率最大日均浓度预测值占标率为70.87%，网格点95%保证率最大日均浓度预测值占标率为78.41%，均符合环境质量标准。</w:t>
      </w:r>
    </w:p>
    <w:p>
      <w:pPr>
        <w:pStyle w:val="7"/>
        <w:bidi w:val="0"/>
      </w:pPr>
      <w:r>
        <w:t>由表6.2</w:t>
      </w:r>
      <w:r>
        <w:rPr>
          <w:rFonts w:hint="eastAsia"/>
          <w:lang w:val="en-US" w:eastAsia="zh-CN"/>
        </w:rPr>
        <w:t>-33</w:t>
      </w:r>
      <w:r>
        <w:t>可知，本项目污染源+在建项目污染源+环境质量现状浓度后，环境空气保护目标最大年均浓度预测值占标率为63.15%，网格点最大年均浓度预测值占标率为76.27%，均符合环境质量标准。</w:t>
      </w:r>
    </w:p>
    <w:p>
      <w:pPr>
        <w:pStyle w:val="7"/>
        <w:bidi w:val="0"/>
        <w:rPr>
          <w:color w:val="auto"/>
        </w:rPr>
      </w:pPr>
      <w:r>
        <w:rPr>
          <w:color w:val="auto"/>
        </w:rPr>
        <w:t>综上分析可知，</w:t>
      </w:r>
      <w:r>
        <w:rPr>
          <w:rFonts w:hint="eastAsia"/>
          <w:color w:val="auto"/>
        </w:rPr>
        <w:t>PM</w:t>
      </w:r>
      <w:r>
        <w:rPr>
          <w:color w:val="auto"/>
          <w:vertAlign w:val="subscript"/>
        </w:rPr>
        <w:t>2.5</w:t>
      </w:r>
      <w:r>
        <w:rPr>
          <w:color w:val="auto"/>
        </w:rPr>
        <w:t>正常排放条件下，环境空气保护目标和网格点短期浓度贡献值占标率均＜100%，二类区年均浓度贡献值占标率均＜30%，一类区年均浓度贡献值占标率均＜10%；本项目污染源+在建项目污染源+环境质量现状浓度后，环境空气保护目标和网格点95%保证率日均浓度、年均浓度预测值占标率均符合环境质量标准，</w:t>
      </w:r>
      <w:r>
        <w:rPr>
          <w:rFonts w:hint="eastAsia"/>
          <w:color w:val="auto"/>
        </w:rPr>
        <w:t>PM</w:t>
      </w:r>
      <w:r>
        <w:rPr>
          <w:color w:val="auto"/>
          <w:vertAlign w:val="subscript"/>
        </w:rPr>
        <w:t>2.5</w:t>
      </w:r>
      <w:r>
        <w:rPr>
          <w:color w:val="auto"/>
        </w:rPr>
        <w:t>正常排放对环境的影响可以接受。</w:t>
      </w:r>
    </w:p>
    <w:p>
      <w:pPr>
        <w:pStyle w:val="9"/>
        <w:rPr>
          <w:color w:val="auto"/>
        </w:rPr>
      </w:pPr>
      <w:r>
        <w:rPr>
          <w:rFonts w:hint="eastAsia"/>
          <w:color w:val="auto"/>
        </w:rPr>
        <w:t>6.2.3.6</w:t>
      </w:r>
      <w:r>
        <w:rPr>
          <w:color w:val="auto"/>
        </w:rPr>
        <w:t xml:space="preserve"> </w:t>
      </w:r>
      <w:r>
        <w:rPr>
          <w:rFonts w:hint="eastAsia"/>
          <w:color w:val="auto"/>
        </w:rPr>
        <w:t>氟化物预测结果</w:t>
      </w:r>
    </w:p>
    <w:p>
      <w:pPr>
        <w:spacing w:line="360" w:lineRule="auto"/>
        <w:ind w:firstLine="480" w:firstLineChars="200"/>
        <w:rPr>
          <w:color w:val="auto"/>
        </w:rPr>
      </w:pPr>
      <w:r>
        <w:rPr>
          <w:color w:val="auto"/>
        </w:rPr>
        <w:t>正常工况条件下，本项目环境空气保护目标和网格点的短期浓度贡献值预测结果见表6.2</w:t>
      </w:r>
      <w:r>
        <w:rPr>
          <w:rFonts w:hint="eastAsia"/>
          <w:color w:val="auto"/>
          <w:lang w:val="en-US" w:eastAsia="zh-CN"/>
        </w:rPr>
        <w:t>-34</w:t>
      </w:r>
      <w:r>
        <w:rPr>
          <w:color w:val="auto"/>
        </w:rPr>
        <w:t>。本项目污染源+在建项目污染源+环境质量现状浓度后环境空气保护目标和网格点</w:t>
      </w:r>
      <w:r>
        <w:rPr>
          <w:rFonts w:hint="eastAsia"/>
          <w:color w:val="auto"/>
        </w:rPr>
        <w:t>小时</w:t>
      </w:r>
      <w:r>
        <w:rPr>
          <w:color w:val="auto"/>
        </w:rPr>
        <w:t>质量浓度和</w:t>
      </w:r>
      <w:r>
        <w:rPr>
          <w:rFonts w:hint="eastAsia"/>
          <w:color w:val="auto"/>
        </w:rPr>
        <w:t>日</w:t>
      </w:r>
      <w:r>
        <w:rPr>
          <w:color w:val="auto"/>
        </w:rPr>
        <w:t>均质量浓度预测结果见表6.2</w:t>
      </w:r>
      <w:r>
        <w:rPr>
          <w:rFonts w:hint="eastAsia"/>
          <w:color w:val="auto"/>
          <w:lang w:val="en-US" w:eastAsia="zh-CN"/>
        </w:rPr>
        <w:t>-35</w:t>
      </w:r>
      <w:r>
        <w:rPr>
          <w:color w:val="auto"/>
        </w:rPr>
        <w:t>、表6.2</w:t>
      </w:r>
      <w:r>
        <w:rPr>
          <w:rFonts w:hint="eastAsia"/>
          <w:color w:val="auto"/>
          <w:lang w:val="en-US" w:eastAsia="zh-CN"/>
        </w:rPr>
        <w:t>-36</w:t>
      </w:r>
      <w:r>
        <w:rPr>
          <w:color w:val="auto"/>
        </w:rPr>
        <w:t>。</w:t>
      </w:r>
    </w:p>
    <w:p>
      <w:pPr>
        <w:pStyle w:val="41"/>
        <w:bidi w:val="0"/>
      </w:pPr>
      <w:r>
        <w:t>表6.2</w:t>
      </w:r>
      <w:r>
        <w:rPr>
          <w:rFonts w:hint="eastAsia"/>
          <w:lang w:val="en-US" w:eastAsia="zh-CN"/>
        </w:rPr>
        <w:t>-34</w:t>
      </w:r>
      <w:r>
        <w:t xml:space="preserve">   本项目</w:t>
      </w:r>
      <w:r>
        <w:rPr>
          <w:rFonts w:hint="eastAsia"/>
        </w:rPr>
        <w:t>氟化物</w:t>
      </w:r>
      <w: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0.00146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21072707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0.00038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0.00181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0.00046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211230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0.00193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0.00034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0.00695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0.00201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210827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0.00187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0.00032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0.00552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0.00175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210524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21020721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0.00026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0.00128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0.00018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0.00131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0.00052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0.00047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0.00126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0.00052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75"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0.00565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75"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0.00186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bottom"/>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0.00071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color w:val="FF0000"/>
        </w:rPr>
      </w:pPr>
    </w:p>
    <w:p>
      <w:pPr>
        <w:pStyle w:val="41"/>
        <w:bidi w:val="0"/>
      </w:pPr>
      <w:r>
        <w:t>表6.2</w:t>
      </w:r>
      <w:r>
        <w:rPr>
          <w:rFonts w:hint="eastAsia"/>
          <w:lang w:val="en-US" w:eastAsia="zh-CN"/>
        </w:rPr>
        <w:t>-35</w:t>
      </w:r>
      <w:r>
        <w:t xml:space="preserve">  </w:t>
      </w:r>
      <w:r>
        <w:rPr>
          <w:rFonts w:hint="eastAsia"/>
        </w:rPr>
        <w:t>氟化物</w:t>
      </w:r>
      <w:r>
        <w:t>叠加后</w:t>
      </w:r>
      <w:r>
        <w:rPr>
          <w:rFonts w:hint="eastAsia"/>
        </w:rPr>
        <w:t>小时</w:t>
      </w:r>
      <w:r>
        <w:t>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130"/>
        <w:gridCol w:w="1039"/>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1.38494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21060609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2.11794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10.59</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1.50196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21051308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2.23496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11.17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1.58644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21051308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2.31944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1.35178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21090912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2.08478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10.42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1.23303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21030418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1.96603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9.83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1.3316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21010511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2.0646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10.32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1.32362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21100509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2.05662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10.28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1.155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21120110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1.888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9.44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1.37205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21010511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10.53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1.26962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21010511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2.00262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1.30642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21010511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2.03942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-500,800</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10.44239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21080919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11.17539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55.88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86"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600,-2100</w:t>
            </w:r>
          </w:p>
        </w:tc>
        <w:tc>
          <w:tcPr>
            <w:tcW w:w="53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1.53908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21060510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0.733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2.27208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11.36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spacing w:line="360" w:lineRule="auto"/>
        <w:ind w:firstLine="482" w:firstLineChars="200"/>
        <w:jc w:val="center"/>
        <w:rPr>
          <w:b/>
          <w:bCs/>
          <w:color w:val="FF0000"/>
        </w:rPr>
      </w:pPr>
    </w:p>
    <w:p>
      <w:pPr>
        <w:pStyle w:val="31"/>
        <w:bidi w:val="0"/>
      </w:pPr>
      <w:r>
        <w:t>表6.2</w:t>
      </w:r>
      <w:r>
        <w:rPr>
          <w:rFonts w:hint="eastAsia"/>
          <w:lang w:val="en-US" w:eastAsia="zh-CN"/>
        </w:rPr>
        <w:t>-36</w:t>
      </w:r>
      <w:r>
        <w:t xml:space="preserve">  </w:t>
      </w:r>
      <w:r>
        <w:rPr>
          <w:rFonts w:hint="eastAsia"/>
        </w:rPr>
        <w:t>叠加后氟化物日均小时</w:t>
      </w:r>
      <w:r>
        <w:t>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987"/>
        <w:gridCol w:w="1182"/>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0.42426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210517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1.07026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15.29</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0.14417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0.79017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11.29</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0.12924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0.77524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11.07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0.20015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0.84615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12.09</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0.32266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210513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0.96866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13.84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0.26955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0.91555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13.08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0.1698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0.8158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11.65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0.1584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210623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0.8044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11.49</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0.30127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0.94727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13.53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0.31513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0.96113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13.73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0.33644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0.98244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14.03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512" w:type="pct"/>
            <w:shd w:val="clear" w:color="auto" w:fill="auto"/>
            <w:noWrap/>
            <w:vAlign w:val="center"/>
          </w:tcPr>
          <w:p>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-2,300,700</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0.87358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0.646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1.51958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21.71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512"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61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0.45857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r>
    </w:tbl>
    <w:p>
      <w:pPr>
        <w:pStyle w:val="2"/>
        <w:ind w:left="480" w:firstLine="480"/>
        <w:rPr>
          <w:color w:val="FF0000"/>
        </w:rPr>
      </w:pPr>
    </w:p>
    <w:p>
      <w:pPr>
        <w:pStyle w:val="7"/>
        <w:bidi w:val="0"/>
      </w:pPr>
      <w:r>
        <w:t>（2）网格浓度分布图</w:t>
      </w:r>
    </w:p>
    <w:p>
      <w:pPr>
        <w:pStyle w:val="7"/>
        <w:bidi w:val="0"/>
        <w:rPr>
          <w:color w:val="FF0000"/>
        </w:rPr>
      </w:pPr>
      <w:r>
        <w:t>本项目污染源+在建项目污染源+环境质量现状浓度后，</w:t>
      </w:r>
      <w:r>
        <w:rPr>
          <w:rFonts w:hint="eastAsia"/>
        </w:rPr>
        <w:t>氟化物小时</w:t>
      </w:r>
      <w:r>
        <w:t>质量浓度分布图与</w:t>
      </w:r>
      <w:r>
        <w:rPr>
          <w:rFonts w:hint="eastAsia"/>
        </w:rPr>
        <w:t>日均</w:t>
      </w:r>
      <w:r>
        <w:t>质量浓度分布图如下：</w:t>
      </w:r>
    </w:p>
    <w:p>
      <w:pPr>
        <w:spacing w:line="360" w:lineRule="auto"/>
        <w:rPr>
          <w:color w:val="FF0000"/>
        </w:rPr>
      </w:pPr>
      <w:r>
        <w:rPr>
          <w:color w:val="FF0000"/>
        </w:rPr>
        <w:drawing>
          <wp:inline distT="0" distB="0" distL="0" distR="0">
            <wp:extent cx="5274310" cy="394843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7"/>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图6.</w:t>
      </w:r>
      <w:r>
        <w:rPr>
          <w:rFonts w:hint="eastAsia"/>
          <w:color w:val="auto"/>
          <w:lang w:val="en-US" w:eastAsia="zh-CN"/>
        </w:rPr>
        <w:t xml:space="preserve">2-19 </w:t>
      </w:r>
      <w:r>
        <w:rPr>
          <w:color w:val="auto"/>
        </w:rPr>
        <w:t xml:space="preserve"> </w:t>
      </w:r>
      <w:r>
        <w:rPr>
          <w:rFonts w:hint="eastAsia"/>
          <w:color w:val="auto"/>
        </w:rPr>
        <w:t>氟化物小时</w:t>
      </w:r>
      <w:r>
        <w:rPr>
          <w:color w:val="auto"/>
        </w:rPr>
        <w:t>质量浓度分布图（μg/m</w:t>
      </w:r>
      <w:r>
        <w:rPr>
          <w:color w:val="auto"/>
          <w:vertAlign w:val="superscript"/>
        </w:rPr>
        <w:t>3</w:t>
      </w:r>
      <w:r>
        <w:rPr>
          <w:color w:val="auto"/>
        </w:rPr>
        <w:t>）</w:t>
      </w:r>
    </w:p>
    <w:p>
      <w:pPr>
        <w:spacing w:line="360" w:lineRule="auto"/>
        <w:rPr>
          <w:color w:val="FF0000"/>
        </w:rPr>
      </w:pPr>
      <w:r>
        <w:rPr>
          <w:color w:val="FF0000"/>
        </w:rPr>
        <w:drawing>
          <wp:inline distT="0" distB="0" distL="0" distR="0">
            <wp:extent cx="5274310" cy="394843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8"/>
                    <a:stretch>
                      <a:fillRect/>
                    </a:stretch>
                  </pic:blipFill>
                  <pic:spPr>
                    <a:xfrm>
                      <a:off x="0" y="0"/>
                      <a:ext cx="5274310" cy="3948430"/>
                    </a:xfrm>
                    <a:prstGeom prst="rect">
                      <a:avLst/>
                    </a:prstGeom>
                  </pic:spPr>
                </pic:pic>
              </a:graphicData>
            </a:graphic>
          </wp:inline>
        </w:drawing>
      </w:r>
    </w:p>
    <w:p>
      <w:pPr>
        <w:pStyle w:val="44"/>
        <w:bidi w:val="0"/>
        <w:rPr>
          <w:color w:val="auto"/>
        </w:rPr>
      </w:pPr>
      <w:r>
        <w:rPr>
          <w:color w:val="auto"/>
        </w:rPr>
        <w:t>图6.2</w:t>
      </w:r>
      <w:r>
        <w:rPr>
          <w:rFonts w:hint="eastAsia"/>
          <w:color w:val="auto"/>
          <w:lang w:val="en-US" w:eastAsia="zh-CN"/>
        </w:rPr>
        <w:t>-20</w:t>
      </w:r>
      <w:r>
        <w:rPr>
          <w:color w:val="auto"/>
        </w:rPr>
        <w:t xml:space="preserve">  </w:t>
      </w:r>
      <w:r>
        <w:rPr>
          <w:rFonts w:hint="eastAsia"/>
          <w:color w:val="auto"/>
        </w:rPr>
        <w:t>氟化物日均</w:t>
      </w:r>
      <w:r>
        <w:rPr>
          <w:color w:val="auto"/>
        </w:rPr>
        <w:t>质量浓度分布图（μg/m</w:t>
      </w:r>
      <w:r>
        <w:rPr>
          <w:color w:val="auto"/>
          <w:vertAlign w:val="superscript"/>
        </w:rPr>
        <w:t>3</w:t>
      </w:r>
      <w:r>
        <w:rPr>
          <w:color w:val="auto"/>
        </w:rPr>
        <w:t>）</w:t>
      </w:r>
    </w:p>
    <w:p>
      <w:pPr>
        <w:pStyle w:val="2"/>
        <w:ind w:left="480" w:firstLine="480"/>
        <w:rPr>
          <w:color w:val="FF0000"/>
        </w:rPr>
      </w:pPr>
    </w:p>
    <w:p>
      <w:pPr>
        <w:pStyle w:val="7"/>
        <w:bidi w:val="0"/>
      </w:pPr>
      <w:r>
        <w:t>（3）结果分析</w:t>
      </w:r>
    </w:p>
    <w:p>
      <w:pPr>
        <w:pStyle w:val="7"/>
        <w:bidi w:val="0"/>
      </w:pPr>
      <w:r>
        <w:t>由表6.2</w:t>
      </w:r>
      <w:r>
        <w:rPr>
          <w:rFonts w:hint="eastAsia"/>
          <w:lang w:val="en-US" w:eastAsia="zh-CN"/>
        </w:rPr>
        <w:t>-34</w:t>
      </w:r>
      <w:r>
        <w:t>可知，环境空气保护目标最大小时浓度贡献值占标率为0.03%＜100%，最大日均浓度贡献值占标率为0.03%＜100%；网格点最大小时浓度贡献值占标率为0.26%＜100%，最大日均浓度贡献值占标率为0.08%＜100%。</w:t>
      </w:r>
    </w:p>
    <w:p>
      <w:pPr>
        <w:pStyle w:val="7"/>
        <w:bidi w:val="0"/>
      </w:pPr>
      <w:r>
        <w:t>由表6.2</w:t>
      </w:r>
      <w:r>
        <w:rPr>
          <w:rFonts w:hint="eastAsia"/>
          <w:lang w:val="en-US" w:eastAsia="zh-CN"/>
        </w:rPr>
        <w:t>-35</w:t>
      </w:r>
      <w:r>
        <w:t>可知，</w:t>
      </w:r>
      <w:bookmarkStart w:id="130" w:name="_Hlk49385466"/>
      <w:r>
        <w:t>本项目污染源+在建项目污染源+环境质量现状浓度后，环境空气保护目标最大小时浓度预测值占标率为11.6%，网格点最大小时浓度预测值占标率为55.88%，均符合环境质量标准。</w:t>
      </w:r>
      <w:bookmarkEnd w:id="130"/>
    </w:p>
    <w:p>
      <w:pPr>
        <w:pStyle w:val="7"/>
        <w:bidi w:val="0"/>
      </w:pPr>
      <w:r>
        <w:t>由表6.2</w:t>
      </w:r>
      <w:r>
        <w:rPr>
          <w:rFonts w:hint="eastAsia"/>
          <w:lang w:val="en-US" w:eastAsia="zh-CN"/>
        </w:rPr>
        <w:t>-36</w:t>
      </w:r>
      <w:r>
        <w:t>可知，本项目污染源+在建项目污染源+环境质量现状浓度后，环境空气保护目标最大日均浓度预测值占标率为15.29%；网格点最大日均浓度预测值占标率为21.71%，均符合环境质量标准。</w:t>
      </w:r>
    </w:p>
    <w:p>
      <w:pPr>
        <w:pStyle w:val="7"/>
        <w:bidi w:val="0"/>
      </w:pPr>
      <w:r>
        <w:t>综上分析可知，</w:t>
      </w:r>
      <w:r>
        <w:rPr>
          <w:rFonts w:hint="eastAsia"/>
        </w:rPr>
        <w:t>氟化物</w:t>
      </w:r>
      <w:r>
        <w:t>正常排放条件下，环境空气保护目标和网格点短期浓度贡献值占标率均＜100%；本项目污染源+在建项目污染源+环境质量现状浓度后，环境空气保护目标和网格点小时浓度、日均浓度预测值占标率均符合环境质量标准，</w:t>
      </w:r>
      <w:r>
        <w:rPr>
          <w:rFonts w:hint="eastAsia"/>
        </w:rPr>
        <w:t>氟化物</w:t>
      </w:r>
      <w:r>
        <w:t>正常排放对环境的影响可以接受。</w:t>
      </w:r>
    </w:p>
    <w:p>
      <w:pPr>
        <w:pStyle w:val="9"/>
        <w:rPr>
          <w:color w:val="auto"/>
        </w:rPr>
      </w:pPr>
      <w:r>
        <w:rPr>
          <w:rFonts w:hint="eastAsia"/>
          <w:color w:val="auto"/>
        </w:rPr>
        <w:t>6.2.3.7 HCl预测结果</w:t>
      </w:r>
    </w:p>
    <w:p>
      <w:pPr>
        <w:pStyle w:val="7"/>
        <w:bidi w:val="0"/>
      </w:pPr>
      <w:r>
        <w:t>正常工况条件下，本项目环境空气保护目标和网格点的短期浓度贡献值预测结果见表6.2</w:t>
      </w:r>
      <w:r>
        <w:rPr>
          <w:rFonts w:hint="eastAsia"/>
          <w:lang w:val="en-US" w:eastAsia="zh-CN"/>
        </w:rPr>
        <w:t>-37</w:t>
      </w:r>
      <w:r>
        <w:t>。本项目污染源+在建项目污染源+环境质量现状浓度后环境空气保护目标和网格点</w:t>
      </w:r>
      <w:r>
        <w:rPr>
          <w:rFonts w:hint="eastAsia"/>
        </w:rPr>
        <w:t>小时</w:t>
      </w:r>
      <w:r>
        <w:t>质量浓度预测结果见表6.2</w:t>
      </w:r>
      <w:r>
        <w:rPr>
          <w:rFonts w:hint="eastAsia"/>
          <w:lang w:val="en-US" w:eastAsia="zh-CN"/>
        </w:rPr>
        <w:t>-38</w:t>
      </w:r>
      <w:r>
        <w:t>。</w:t>
      </w:r>
    </w:p>
    <w:p>
      <w:pPr>
        <w:pStyle w:val="31"/>
        <w:bidi w:val="0"/>
        <w:rPr>
          <w:color w:val="auto"/>
        </w:rPr>
      </w:pPr>
      <w:r>
        <w:rPr>
          <w:color w:val="auto"/>
        </w:rPr>
        <w:t>表6.2</w:t>
      </w:r>
      <w:r>
        <w:rPr>
          <w:rFonts w:hint="eastAsia"/>
          <w:color w:val="auto"/>
          <w:lang w:val="en-US" w:eastAsia="zh-CN"/>
        </w:rPr>
        <w:t>-37</w:t>
      </w:r>
      <w:r>
        <w:rPr>
          <w:color w:val="auto"/>
        </w:rPr>
        <w:t xml:space="preserve">  本项目</w:t>
      </w:r>
      <w:r>
        <w:rPr>
          <w:rFonts w:hint="eastAsia"/>
          <w:color w:val="auto"/>
        </w:rPr>
        <w:t>HCl</w:t>
      </w:r>
      <w:r>
        <w:rPr>
          <w:color w:val="auto"/>
        </w:rP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0.0571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21031008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0.01493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0.07164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0.01839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0.07147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0.01358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0.34665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0.08781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210827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0.07323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0.01237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0.2412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0.06705</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210524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0.08923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21040620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0.18</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0.01068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0.05152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0.05503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0.02161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0.04956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0.01951</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0.05136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0.02172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2.55234</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0.23022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211222</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1.53</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0.07817</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21101223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0.16</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0.02879</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211013</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0.19</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color w:val="auto"/>
        </w:rPr>
      </w:pPr>
    </w:p>
    <w:p>
      <w:pPr>
        <w:pStyle w:val="31"/>
        <w:bidi w:val="0"/>
      </w:pPr>
      <w:r>
        <w:t>表</w:t>
      </w:r>
      <w:r>
        <w:rPr>
          <w:rFonts w:hint="eastAsia"/>
          <w:lang w:val="en-US" w:eastAsia="zh-CN"/>
        </w:rPr>
        <w:t>6.2-38</w:t>
      </w:r>
      <w:r>
        <w:t xml:space="preserve">  </w:t>
      </w:r>
      <w:r>
        <w:rPr>
          <w:rFonts w:hint="eastAsia"/>
        </w:rPr>
        <w:t>HCl</w:t>
      </w:r>
      <w:r>
        <w:t>叠加后</w:t>
      </w:r>
      <w:r>
        <w:rPr>
          <w:rFonts w:hint="eastAsia"/>
        </w:rPr>
        <w:t>小时</w:t>
      </w:r>
      <w:r>
        <w:t>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272"/>
        <w:gridCol w:w="897"/>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0.32342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21072707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25.32342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50.65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0.39044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25.39044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50.78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0.46754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25.46754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50.94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0.7584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21091220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25.7584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51.52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0.38305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25.38305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50.77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0.8268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21060320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25.8268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51.65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0.45361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21020721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25.45361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50.91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0.25737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25.25737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50.51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0.25747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25.25747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50.51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0.23727</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25.23727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50.47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0.25465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25.25465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50.51</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-500,800</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11.0726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21091403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36.0726</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72.15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-100,-1900</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0.375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21092608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r>
    </w:tbl>
    <w:p>
      <w:pPr>
        <w:spacing w:line="360" w:lineRule="auto"/>
        <w:ind w:firstLine="482" w:firstLineChars="200"/>
        <w:jc w:val="center"/>
        <w:rPr>
          <w:b/>
          <w:bCs/>
          <w:color w:val="FF0000"/>
        </w:rPr>
      </w:pPr>
    </w:p>
    <w:p>
      <w:pPr>
        <w:pStyle w:val="7"/>
        <w:bidi w:val="0"/>
      </w:pPr>
      <w:r>
        <w:t>（2）网格浓度分布图</w:t>
      </w:r>
    </w:p>
    <w:p>
      <w:pPr>
        <w:pStyle w:val="7"/>
        <w:bidi w:val="0"/>
      </w:pPr>
      <w:r>
        <w:t>本项目污染源+在建项目污染源+环境质量现状浓度后，</w:t>
      </w:r>
      <w:r>
        <w:rPr>
          <w:rFonts w:hint="eastAsia"/>
        </w:rPr>
        <w:t>HCl小时</w:t>
      </w:r>
      <w:r>
        <w:t>质量浓度分布图如下：</w:t>
      </w:r>
    </w:p>
    <w:p>
      <w:pPr>
        <w:spacing w:line="360" w:lineRule="auto"/>
        <w:rPr>
          <w:color w:val="FF0000"/>
        </w:rPr>
      </w:pPr>
      <w:r>
        <w:rPr>
          <w:color w:val="FF0000"/>
        </w:rPr>
        <w:drawing>
          <wp:inline distT="0" distB="0" distL="0" distR="0">
            <wp:extent cx="5274310" cy="3977005"/>
            <wp:effectExtent l="0" t="0" r="2540"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9"/>
                    <a:stretch>
                      <a:fillRect/>
                    </a:stretch>
                  </pic:blipFill>
                  <pic:spPr>
                    <a:xfrm>
                      <a:off x="0" y="0"/>
                      <a:ext cx="5274310" cy="3977005"/>
                    </a:xfrm>
                    <a:prstGeom prst="rect">
                      <a:avLst/>
                    </a:prstGeom>
                  </pic:spPr>
                </pic:pic>
              </a:graphicData>
            </a:graphic>
          </wp:inline>
        </w:drawing>
      </w:r>
    </w:p>
    <w:p>
      <w:pPr>
        <w:pStyle w:val="44"/>
        <w:bidi w:val="0"/>
        <w:rPr>
          <w:color w:val="auto"/>
        </w:rPr>
      </w:pPr>
      <w:r>
        <w:rPr>
          <w:color w:val="auto"/>
        </w:rPr>
        <w:t>图6.2</w:t>
      </w:r>
      <w:r>
        <w:rPr>
          <w:rFonts w:hint="eastAsia"/>
          <w:color w:val="auto"/>
          <w:lang w:val="en-US" w:eastAsia="zh-CN"/>
        </w:rPr>
        <w:t>-21</w:t>
      </w:r>
      <w:r>
        <w:rPr>
          <w:color w:val="auto"/>
        </w:rPr>
        <w:t xml:space="preserve">  </w:t>
      </w:r>
      <w:r>
        <w:rPr>
          <w:rFonts w:hint="eastAsia"/>
          <w:color w:val="auto"/>
        </w:rPr>
        <w:t>HCl小时</w:t>
      </w:r>
      <w:r>
        <w:rPr>
          <w:color w:val="auto"/>
        </w:rPr>
        <w:t>质量浓度分布图（μg/m</w:t>
      </w:r>
      <w:r>
        <w:rPr>
          <w:color w:val="auto"/>
          <w:vertAlign w:val="superscript"/>
        </w:rPr>
        <w:t>3</w:t>
      </w:r>
      <w:r>
        <w:rPr>
          <w:color w:val="auto"/>
        </w:rPr>
        <w:t>）</w:t>
      </w:r>
    </w:p>
    <w:p>
      <w:pPr>
        <w:pStyle w:val="7"/>
        <w:bidi w:val="0"/>
      </w:pPr>
      <w:r>
        <w:t>（3）结果分析</w:t>
      </w:r>
    </w:p>
    <w:p>
      <w:pPr>
        <w:pStyle w:val="7"/>
        <w:bidi w:val="0"/>
      </w:pPr>
      <w:r>
        <w:t>由表6.2</w:t>
      </w:r>
      <w:r>
        <w:rPr>
          <w:rFonts w:hint="eastAsia"/>
          <w:lang w:val="en-US" w:eastAsia="zh-CN"/>
        </w:rPr>
        <w:t>-37</w:t>
      </w:r>
      <w:r>
        <w:t>可知，环境空气保护目标最大小时浓度贡献值占标率为0.69%＜100%，最大日均浓度贡献值占标率为0.59%＜100%；网格点最大小时浓度贡献值占标率为5.1%＜100%，最大日均浓度贡献值占标率为1.53%＜100%。</w:t>
      </w:r>
    </w:p>
    <w:p>
      <w:pPr>
        <w:pStyle w:val="7"/>
        <w:bidi w:val="0"/>
      </w:pPr>
      <w:r>
        <w:t>由表6.</w:t>
      </w:r>
      <w:r>
        <w:rPr>
          <w:rFonts w:hint="eastAsia"/>
          <w:lang w:val="en-US" w:eastAsia="zh-CN"/>
        </w:rPr>
        <w:t>2-38</w:t>
      </w:r>
      <w:r>
        <w:t>可知，本项目污染源+在建项目污染源+环境质量现状浓度后，环境空气保护目标最大小时浓度预测值占标率为51.65%，网格点最大小时浓度预测值占标率为72.15%，均符合环境质量标准。</w:t>
      </w:r>
    </w:p>
    <w:p>
      <w:pPr>
        <w:pStyle w:val="7"/>
        <w:bidi w:val="0"/>
      </w:pPr>
      <w:r>
        <w:t>综上分析可知，</w:t>
      </w:r>
      <w:r>
        <w:rPr>
          <w:rFonts w:hint="eastAsia"/>
        </w:rPr>
        <w:t>HCl</w:t>
      </w:r>
      <w:r>
        <w:t>正常排放条件下，环境空气保护目标和网格点短期浓度贡献值占标率均＜100%；本项目污染源+在建项目污染源+环境质量现状浓度后，环境空气保护目标和网格点小时浓度预测值占标率均符合环境质量标准，</w:t>
      </w:r>
      <w:r>
        <w:rPr>
          <w:rFonts w:hint="eastAsia"/>
        </w:rPr>
        <w:t>HCl</w:t>
      </w:r>
      <w:r>
        <w:t>正常排放对环境的影响可以接受。</w:t>
      </w:r>
    </w:p>
    <w:p>
      <w:pPr>
        <w:pStyle w:val="9"/>
        <w:rPr>
          <w:color w:val="auto"/>
        </w:rPr>
      </w:pPr>
      <w:r>
        <w:rPr>
          <w:rFonts w:hint="eastAsia"/>
          <w:color w:val="auto"/>
        </w:rPr>
        <w:t>6.2.3.</w:t>
      </w:r>
      <w:r>
        <w:rPr>
          <w:color w:val="auto"/>
        </w:rPr>
        <w:t>8</w:t>
      </w:r>
      <w:r>
        <w:rPr>
          <w:rFonts w:hint="eastAsia"/>
          <w:color w:val="auto"/>
        </w:rPr>
        <w:t xml:space="preserve"> Cl</w:t>
      </w:r>
      <w:r>
        <w:rPr>
          <w:rFonts w:hint="eastAsia"/>
          <w:color w:val="auto"/>
          <w:vertAlign w:val="subscript"/>
        </w:rPr>
        <w:t>2</w:t>
      </w:r>
      <w:r>
        <w:rPr>
          <w:rFonts w:hint="eastAsia"/>
          <w:color w:val="auto"/>
        </w:rPr>
        <w:t>预测结果</w:t>
      </w:r>
    </w:p>
    <w:p>
      <w:pPr>
        <w:pStyle w:val="7"/>
        <w:bidi w:val="0"/>
      </w:pPr>
      <w:r>
        <w:t>正常工况条件下，本项目环境空气保护目标和网格点的短期浓度贡献值预测结果见表6.2</w:t>
      </w:r>
      <w:r>
        <w:rPr>
          <w:rFonts w:hint="eastAsia"/>
          <w:lang w:val="en-US" w:eastAsia="zh-CN"/>
        </w:rPr>
        <w:t>-39</w:t>
      </w:r>
      <w:r>
        <w:t>。本项目污染源+在建项目污染源+环境质量现状浓度后环境空气保护目标和网格点</w:t>
      </w:r>
      <w:r>
        <w:rPr>
          <w:rFonts w:hint="eastAsia"/>
        </w:rPr>
        <w:t>小时</w:t>
      </w:r>
      <w:r>
        <w:t>质量浓度预测结果见表</w:t>
      </w:r>
      <w:r>
        <w:rPr>
          <w:rFonts w:hint="eastAsia"/>
          <w:lang w:val="en-US" w:eastAsia="zh-CN"/>
        </w:rPr>
        <w:t>6.2-40</w:t>
      </w:r>
      <w:r>
        <w:t>。</w:t>
      </w:r>
    </w:p>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w:t>
      </w:r>
      <w:r>
        <w:rPr>
          <w:rFonts w:hint="default" w:ascii="Times New Roman" w:hAnsi="Times New Roman" w:cs="Times New Roman"/>
          <w:b/>
          <w:bCs/>
          <w:color w:val="auto"/>
          <w:lang w:val="en-US" w:eastAsia="zh-CN"/>
        </w:rPr>
        <w:t>6.2-39</w:t>
      </w:r>
      <w:r>
        <w:rPr>
          <w:rFonts w:hint="default" w:ascii="Times New Roman" w:hAnsi="Times New Roman" w:cs="Times New Roman"/>
          <w:b/>
          <w:bCs/>
          <w:color w:val="auto"/>
        </w:rPr>
        <w:t xml:space="preserve">  本项目Cl</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贡献值浓度预测结果表</w:t>
      </w:r>
    </w:p>
    <w:tbl>
      <w:tblPr>
        <w:tblStyle w:val="2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275"/>
        <w:gridCol w:w="887"/>
        <w:gridCol w:w="1098"/>
        <w:gridCol w:w="1134"/>
        <w:gridCol w:w="1134"/>
        <w:gridCol w:w="99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类别</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1098"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1134"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992"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w:t>
            </w:r>
          </w:p>
        </w:tc>
        <w:tc>
          <w:tcPr>
            <w:tcW w:w="901"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0.03263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21031008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0.00853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0.04093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0.01051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0.04084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0.00776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210101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0.19809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0.05018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210827</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0.17</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0.04185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0.00707</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0.13783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0.03831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210524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0.05099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21040620</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0.0061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0.02944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0.004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210329</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0.03145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0.01235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0.02832</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0.01115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0.02935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0.03</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vMerge w:val="continue"/>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0.01241</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网格点最大值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1.45848</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1.46</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0.13156</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211222</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0.04467</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21101223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0.04</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993" w:type="dxa"/>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1275" w:type="dxa"/>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887" w:type="dxa"/>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日平均</w:t>
            </w:r>
          </w:p>
        </w:tc>
        <w:tc>
          <w:tcPr>
            <w:tcW w:w="1098"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0.01645</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211013</w:t>
            </w:r>
          </w:p>
        </w:tc>
        <w:tc>
          <w:tcPr>
            <w:tcW w:w="1134"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30</w:t>
            </w:r>
          </w:p>
        </w:tc>
        <w:tc>
          <w:tcPr>
            <w:tcW w:w="992"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0.05</w:t>
            </w:r>
          </w:p>
        </w:tc>
        <w:tc>
          <w:tcPr>
            <w:tcW w:w="901" w:type="dxa"/>
            <w:shd w:val="clear" w:color="auto" w:fill="auto"/>
            <w:noWrap/>
            <w:vAlign w:val="bottom"/>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2"/>
        <w:ind w:left="480" w:firstLine="480"/>
        <w:rPr>
          <w:rFonts w:hint="default" w:ascii="Times New Roman" w:hAnsi="Times New Roman" w:cs="Times New Roman"/>
          <w:color w:val="FF0000"/>
        </w:rPr>
      </w:pPr>
    </w:p>
    <w:p>
      <w:pPr>
        <w:pStyle w:val="31"/>
        <w:bidi w:val="0"/>
        <w:rPr>
          <w:rFonts w:hint="default" w:ascii="Times New Roman" w:hAnsi="Times New Roman" w:cs="Times New Roman"/>
          <w:b/>
          <w:bCs/>
          <w:color w:val="auto"/>
        </w:rPr>
      </w:pPr>
      <w:r>
        <w:rPr>
          <w:rFonts w:hint="default" w:ascii="Times New Roman" w:hAnsi="Times New Roman" w:cs="Times New Roman"/>
          <w:b/>
          <w:bCs/>
          <w:color w:val="auto"/>
        </w:rPr>
        <w:t>表</w:t>
      </w:r>
      <w:r>
        <w:rPr>
          <w:rFonts w:hint="eastAsia" w:ascii="Times New Roman" w:hAnsi="Times New Roman" w:cs="Times New Roman"/>
          <w:b/>
          <w:bCs/>
          <w:color w:val="auto"/>
          <w:lang w:val="en-US" w:eastAsia="zh-CN"/>
        </w:rPr>
        <w:t>6.2-40</w:t>
      </w:r>
      <w:r>
        <w:rPr>
          <w:rFonts w:hint="default" w:ascii="Times New Roman" w:hAnsi="Times New Roman" w:cs="Times New Roman"/>
          <w:b/>
          <w:bCs/>
          <w:color w:val="auto"/>
        </w:rPr>
        <w:t xml:space="preserve">  Cl</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叠加后小时环境质量浓度预测结果表</w:t>
      </w:r>
    </w:p>
    <w:tbl>
      <w:tblPr>
        <w:tblStyle w:val="27"/>
        <w:tblW w:w="5656" w:type="pct"/>
        <w:tblInd w:w="-6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7"/>
        <w:gridCol w:w="1272"/>
        <w:gridCol w:w="897"/>
        <w:gridCol w:w="1087"/>
        <w:gridCol w:w="993"/>
        <w:gridCol w:w="850"/>
        <w:gridCol w:w="993"/>
        <w:gridCol w:w="850"/>
        <w:gridCol w:w="993"/>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浓度增量（本项目+在建项目）(μg/m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背景浓度(μg/m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叠加背景后的浓度(μg/m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0.18212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21072707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15.18212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15.18</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0.21982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15.21982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0.26321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15.26321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0.42708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21091220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15.42708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15.43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0.21579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15.21579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15.22</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0.46654</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21060320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15.46654</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15.47</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0.25553</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21020721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15.25553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15.26</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0.14502</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15.14502</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0.14505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15.14505</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15.15</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0.13371</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15.13371</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15.13</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0.14349</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15.14349</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15.14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-500,800</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6.23748</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21091403</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21.23748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21.24</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60"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-100,-1900</w:t>
            </w:r>
          </w:p>
        </w:tc>
        <w:tc>
          <w:tcPr>
            <w:tcW w:w="4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564"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0.21116</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21092608</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44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51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c>
          <w:tcPr>
            <w:tcW w:w="367"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w:t>
            </w:r>
          </w:p>
        </w:tc>
      </w:tr>
    </w:tbl>
    <w:p>
      <w:pPr>
        <w:spacing w:line="360" w:lineRule="auto"/>
        <w:ind w:firstLine="482" w:firstLineChars="200"/>
        <w:jc w:val="center"/>
        <w:rPr>
          <w:rFonts w:hint="default" w:ascii="Times New Roman" w:hAnsi="Times New Roman" w:cs="Times New Roman"/>
          <w:b/>
          <w:bCs/>
          <w:color w:val="FF0000"/>
        </w:rPr>
      </w:pPr>
    </w:p>
    <w:p>
      <w:pPr>
        <w:pStyle w:val="7"/>
        <w:bidi w:val="0"/>
      </w:pPr>
      <w:r>
        <w:t>（2）网格浓度分布图</w:t>
      </w:r>
    </w:p>
    <w:p>
      <w:pPr>
        <w:pStyle w:val="7"/>
        <w:bidi w:val="0"/>
        <w:rPr>
          <w:color w:val="auto"/>
        </w:rPr>
      </w:pPr>
      <w:r>
        <w:rPr>
          <w:color w:val="auto"/>
        </w:rPr>
        <w:t>本项目污染源+在建项目污染源+环境质量现状浓度后，Cl</w:t>
      </w:r>
      <w:r>
        <w:rPr>
          <w:color w:val="auto"/>
          <w:vertAlign w:val="subscript"/>
        </w:rPr>
        <w:t>2</w:t>
      </w:r>
      <w:r>
        <w:rPr>
          <w:rFonts w:hint="eastAsia"/>
          <w:color w:val="auto"/>
        </w:rPr>
        <w:t>小时</w:t>
      </w:r>
      <w:r>
        <w:rPr>
          <w:color w:val="auto"/>
        </w:rPr>
        <w:t>质量浓度分布图如下：</w:t>
      </w:r>
    </w:p>
    <w:p>
      <w:pPr>
        <w:spacing w:line="360" w:lineRule="auto"/>
        <w:rPr>
          <w:color w:val="FF0000"/>
        </w:rPr>
      </w:pPr>
      <w:r>
        <w:rPr>
          <w:color w:val="FF0000"/>
        </w:rPr>
        <w:drawing>
          <wp:inline distT="0" distB="0" distL="0" distR="0">
            <wp:extent cx="5274310" cy="3977005"/>
            <wp:effectExtent l="0" t="0" r="254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70"/>
                    <a:stretch>
                      <a:fillRect/>
                    </a:stretch>
                  </pic:blipFill>
                  <pic:spPr>
                    <a:xfrm>
                      <a:off x="0" y="0"/>
                      <a:ext cx="5274310" cy="3977005"/>
                    </a:xfrm>
                    <a:prstGeom prst="rect">
                      <a:avLst/>
                    </a:prstGeom>
                  </pic:spPr>
                </pic:pic>
              </a:graphicData>
            </a:graphic>
          </wp:inline>
        </w:drawing>
      </w:r>
    </w:p>
    <w:p>
      <w:pPr>
        <w:pStyle w:val="44"/>
        <w:bidi w:val="0"/>
        <w:rPr>
          <w:color w:val="auto"/>
        </w:rPr>
      </w:pPr>
      <w:r>
        <w:rPr>
          <w:color w:val="auto"/>
        </w:rPr>
        <w:t>图6.2</w:t>
      </w:r>
      <w:r>
        <w:rPr>
          <w:rFonts w:hint="eastAsia"/>
          <w:color w:val="auto"/>
          <w:lang w:val="en-US" w:eastAsia="zh-CN"/>
        </w:rPr>
        <w:t>-22</w:t>
      </w:r>
      <w:r>
        <w:rPr>
          <w:color w:val="auto"/>
        </w:rPr>
        <w:t xml:space="preserve">  Cl</w:t>
      </w:r>
      <w:r>
        <w:rPr>
          <w:color w:val="auto"/>
          <w:vertAlign w:val="subscript"/>
        </w:rPr>
        <w:t>2</w:t>
      </w:r>
      <w:r>
        <w:rPr>
          <w:rFonts w:hint="eastAsia"/>
          <w:color w:val="auto"/>
        </w:rPr>
        <w:t>小时</w:t>
      </w:r>
      <w:r>
        <w:rPr>
          <w:color w:val="auto"/>
        </w:rPr>
        <w:t>质量浓度分布图（μg/m</w:t>
      </w:r>
      <w:r>
        <w:rPr>
          <w:color w:val="auto"/>
          <w:vertAlign w:val="superscript"/>
        </w:rPr>
        <w:t>3</w:t>
      </w:r>
      <w:r>
        <w:rPr>
          <w:color w:val="auto"/>
        </w:rPr>
        <w:t>）</w:t>
      </w:r>
    </w:p>
    <w:p>
      <w:pPr>
        <w:pStyle w:val="7"/>
        <w:bidi w:val="0"/>
      </w:pPr>
      <w:r>
        <w:t>（3）结果分析</w:t>
      </w:r>
    </w:p>
    <w:p>
      <w:pPr>
        <w:pStyle w:val="7"/>
        <w:bidi w:val="0"/>
      </w:pPr>
      <w:r>
        <w:t>由表6.2</w:t>
      </w:r>
      <w:r>
        <w:rPr>
          <w:rFonts w:hint="eastAsia"/>
          <w:lang w:val="en-US" w:eastAsia="zh-CN"/>
        </w:rPr>
        <w:t>-39</w:t>
      </w:r>
      <w:r>
        <w:t>可知，环境空气保护目标最大小时浓度贡献值占标率为0.2%＜100%，最大日均浓度贡献值占标率为0.17%＜100%；网格点最大小时浓度贡献值占标率为1.46%＜100%，最大日均浓度贡献值占标率为0.44%＜100%。</w:t>
      </w:r>
    </w:p>
    <w:p>
      <w:pPr>
        <w:pStyle w:val="7"/>
        <w:bidi w:val="0"/>
      </w:pPr>
      <w:r>
        <w:t>由表6.2</w:t>
      </w:r>
      <w:r>
        <w:rPr>
          <w:rFonts w:hint="eastAsia"/>
          <w:lang w:val="en-US" w:eastAsia="zh-CN"/>
        </w:rPr>
        <w:t>-40</w:t>
      </w:r>
      <w:r>
        <w:t>可知，本项目污染源+在建项目污染源+环境质量现状浓度后，环境空气保护目标最大小时浓度预测值占标率为15.47%，网格点最大小时浓度预测值占标率为21.24%，均符合环境质量标准。</w:t>
      </w:r>
    </w:p>
    <w:p>
      <w:pPr>
        <w:pStyle w:val="7"/>
        <w:bidi w:val="0"/>
        <w:rPr>
          <w:color w:val="auto"/>
        </w:rPr>
      </w:pPr>
      <w:r>
        <w:rPr>
          <w:color w:val="auto"/>
        </w:rPr>
        <w:t>综上分析可知，Cl</w:t>
      </w:r>
      <w:r>
        <w:rPr>
          <w:color w:val="auto"/>
          <w:vertAlign w:val="subscript"/>
        </w:rPr>
        <w:t>2</w:t>
      </w:r>
      <w:r>
        <w:rPr>
          <w:color w:val="auto"/>
        </w:rPr>
        <w:t>正常排放条件下，环境空气保护目标和网格点短期浓度贡献值占标率均＜100%；本项目污染源+在建项目污染源+环境质量现状浓度后，环境空气保护目标和网格点小时浓度预测值占标率均符合环境质量标准，Cl</w:t>
      </w:r>
      <w:r>
        <w:rPr>
          <w:color w:val="auto"/>
          <w:vertAlign w:val="subscript"/>
        </w:rPr>
        <w:t>2</w:t>
      </w:r>
      <w:r>
        <w:rPr>
          <w:color w:val="auto"/>
        </w:rPr>
        <w:t>正常排放对环境的影响可以接受。</w:t>
      </w:r>
    </w:p>
    <w:p>
      <w:pPr>
        <w:pStyle w:val="8"/>
        <w:rPr>
          <w:color w:val="auto"/>
        </w:rPr>
      </w:pPr>
      <w:r>
        <w:rPr>
          <w:rFonts w:hint="eastAsia"/>
          <w:color w:val="auto"/>
        </w:rPr>
        <w:t>6.2.5厂界达标排放预测结果</w:t>
      </w:r>
    </w:p>
    <w:p>
      <w:pPr>
        <w:pStyle w:val="7"/>
        <w:bidi w:val="0"/>
        <w:rPr>
          <w:color w:val="auto"/>
        </w:rPr>
      </w:pPr>
      <w:r>
        <w:rPr>
          <w:rFonts w:hint="eastAsia"/>
          <w:color w:val="auto"/>
        </w:rPr>
        <w:t>在</w:t>
      </w:r>
      <w:r>
        <w:rPr>
          <w:rFonts w:hint="eastAsia" w:cs="宋体"/>
          <w:color w:val="auto"/>
          <w:lang w:bidi="ar"/>
        </w:rPr>
        <w:t>厂界四周按</w:t>
      </w:r>
      <w:r>
        <w:rPr>
          <w:color w:val="auto"/>
          <w:lang w:bidi="ar"/>
        </w:rPr>
        <w:t>50m</w:t>
      </w:r>
      <w:r>
        <w:rPr>
          <w:rFonts w:hint="eastAsia" w:cs="宋体"/>
          <w:color w:val="auto"/>
          <w:lang w:bidi="ar"/>
        </w:rPr>
        <w:t>间距设置，厂界拐点处加密设置</w:t>
      </w:r>
      <w:r>
        <w:rPr>
          <w:color w:val="auto"/>
          <w:lang w:bidi="ar"/>
        </w:rPr>
        <w:t>30</w:t>
      </w:r>
      <w:r>
        <w:rPr>
          <w:rFonts w:hint="eastAsia" w:cs="宋体"/>
          <w:color w:val="auto"/>
          <w:lang w:bidi="ar"/>
        </w:rPr>
        <w:t>个预测点</w:t>
      </w:r>
      <w:r>
        <w:rPr>
          <w:color w:val="auto"/>
        </w:rPr>
        <w:t>对</w:t>
      </w:r>
      <w:r>
        <w:rPr>
          <w:rFonts w:hint="eastAsia"/>
          <w:color w:val="auto"/>
        </w:rPr>
        <w:t>无组织排放的污染物TSP、SO</w:t>
      </w:r>
      <w:r>
        <w:rPr>
          <w:rFonts w:hint="eastAsia"/>
          <w:color w:val="auto"/>
          <w:vertAlign w:val="subscript"/>
        </w:rPr>
        <w:t>2</w:t>
      </w:r>
      <w:r>
        <w:rPr>
          <w:rFonts w:hint="eastAsia"/>
          <w:color w:val="auto"/>
        </w:rPr>
        <w:t>、NOx、氟化物、HCl、Cl</w:t>
      </w:r>
      <w:r>
        <w:rPr>
          <w:color w:val="auto"/>
          <w:vertAlign w:val="subscript"/>
        </w:rPr>
        <w:t>2</w:t>
      </w:r>
      <w:r>
        <w:rPr>
          <w:rFonts w:hint="eastAsia"/>
          <w:color w:val="auto"/>
        </w:rPr>
        <w:t>厂界浓度限值达标情况</w:t>
      </w:r>
      <w:r>
        <w:rPr>
          <w:color w:val="auto"/>
        </w:rPr>
        <w:t>进行评价，厂界四周30个无组织排放监控点示</w:t>
      </w:r>
      <w:r>
        <w:rPr>
          <w:color w:val="auto"/>
          <w:highlight w:val="none"/>
        </w:rPr>
        <w:t>意图见</w:t>
      </w:r>
      <w:r>
        <w:rPr>
          <w:rFonts w:hint="eastAsia"/>
          <w:color w:val="auto"/>
          <w:highlight w:val="none"/>
        </w:rPr>
        <w:t>图</w:t>
      </w:r>
      <w:r>
        <w:rPr>
          <w:rFonts w:hint="eastAsia"/>
          <w:color w:val="auto"/>
          <w:highlight w:val="none"/>
          <w:lang w:val="en-US" w:eastAsia="zh-CN"/>
        </w:rPr>
        <w:t>6.2-23</w:t>
      </w:r>
      <w:r>
        <w:rPr>
          <w:color w:val="auto"/>
          <w:highlight w:val="none"/>
        </w:rPr>
        <w:t>，</w:t>
      </w:r>
      <w:r>
        <w:rPr>
          <w:color w:val="auto"/>
        </w:rPr>
        <w:t>厂界监控点最大地面浓度贡献值结果见下表：</w:t>
      </w:r>
    </w:p>
    <w:p>
      <w:pPr>
        <w:pStyle w:val="2"/>
        <w:ind w:left="0" w:leftChars="0" w:firstLine="0" w:firstLineChars="0"/>
        <w:rPr>
          <w:color w:val="FF0000"/>
        </w:rPr>
      </w:pPr>
      <w:r>
        <w:rPr>
          <w:color w:val="FF0000"/>
        </w:rPr>
        <w:drawing>
          <wp:inline distT="0" distB="0" distL="0" distR="0">
            <wp:extent cx="5222875" cy="4669155"/>
            <wp:effectExtent l="0" t="0" r="15875" b="171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1"/>
                    <a:srcRect l="13037" t="17936" r="20250" b="18847"/>
                    <a:stretch>
                      <a:fillRect/>
                    </a:stretch>
                  </pic:blipFill>
                  <pic:spPr>
                    <a:xfrm>
                      <a:off x="0" y="0"/>
                      <a:ext cx="5227918" cy="4673700"/>
                    </a:xfrm>
                    <a:prstGeom prst="rect">
                      <a:avLst/>
                    </a:prstGeom>
                    <a:ln>
                      <a:noFill/>
                    </a:ln>
                  </pic:spPr>
                </pic:pic>
              </a:graphicData>
            </a:graphic>
          </wp:inline>
        </w:drawing>
      </w:r>
    </w:p>
    <w:p>
      <w:pPr>
        <w:pStyle w:val="44"/>
        <w:bidi w:val="0"/>
      </w:pPr>
      <w:r>
        <w:rPr>
          <w:rFonts w:hint="eastAsia"/>
        </w:rPr>
        <w:t>图</w:t>
      </w:r>
      <w:r>
        <w:t>6.2</w:t>
      </w:r>
      <w:r>
        <w:rPr>
          <w:rFonts w:hint="eastAsia"/>
          <w:lang w:val="en-US" w:eastAsia="zh-CN"/>
        </w:rPr>
        <w:t>-23</w:t>
      </w:r>
      <w:r>
        <w:t xml:space="preserve">  厂界四周30个</w:t>
      </w:r>
      <w:r>
        <w:rPr>
          <w:rFonts w:hint="eastAsia"/>
        </w:rPr>
        <w:t>预测点</w:t>
      </w:r>
      <w:r>
        <w:t>示意图</w:t>
      </w:r>
    </w:p>
    <w:p>
      <w:pPr>
        <w:pStyle w:val="31"/>
        <w:bidi w:val="0"/>
        <w:rPr>
          <w:b/>
          <w:bCs/>
          <w:color w:val="auto"/>
        </w:rPr>
      </w:pPr>
    </w:p>
    <w:p>
      <w:pPr>
        <w:pStyle w:val="31"/>
        <w:bidi w:val="0"/>
        <w:rPr>
          <w:b/>
          <w:bCs/>
          <w:color w:val="auto"/>
        </w:rPr>
      </w:pPr>
    </w:p>
    <w:p>
      <w:pPr>
        <w:pStyle w:val="31"/>
        <w:bidi w:val="0"/>
        <w:rPr>
          <w:b/>
          <w:bCs/>
          <w:color w:val="auto"/>
        </w:rPr>
      </w:pPr>
      <w:r>
        <w:rPr>
          <w:b/>
          <w:bCs/>
          <w:color w:val="auto"/>
        </w:rPr>
        <w:t>表6.2</w:t>
      </w:r>
      <w:r>
        <w:rPr>
          <w:rFonts w:hint="eastAsia"/>
          <w:b/>
          <w:bCs/>
          <w:color w:val="auto"/>
          <w:lang w:val="en-US" w:eastAsia="zh-CN"/>
        </w:rPr>
        <w:t>-46</w:t>
      </w:r>
      <w:r>
        <w:rPr>
          <w:b/>
          <w:bCs/>
          <w:color w:val="auto"/>
        </w:rPr>
        <w:t xml:space="preserve">  </w:t>
      </w:r>
      <w:r>
        <w:rPr>
          <w:rFonts w:hint="eastAsia"/>
          <w:b/>
          <w:bCs/>
          <w:color w:val="auto"/>
        </w:rPr>
        <w:t>SO</w:t>
      </w:r>
      <w:r>
        <w:rPr>
          <w:rFonts w:hint="eastAsia"/>
          <w:b/>
          <w:bCs/>
          <w:color w:val="auto"/>
          <w:vertAlign w:val="subscript"/>
        </w:rPr>
        <w:t>2</w:t>
      </w:r>
      <w:r>
        <w:rPr>
          <w:b/>
          <w:bCs/>
          <w:color w:val="auto"/>
        </w:rPr>
        <w:t>厂界无组织预测结果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065"/>
        <w:gridCol w:w="1067"/>
        <w:gridCol w:w="1065"/>
        <w:gridCol w:w="1065"/>
        <w:gridCol w:w="1065"/>
        <w:gridCol w:w="1065"/>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厂界预测点</w:t>
            </w:r>
          </w:p>
        </w:tc>
        <w:tc>
          <w:tcPr>
            <w:tcW w:w="1251" w:type="pct"/>
            <w:gridSpan w:val="2"/>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预测点坐标</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浓度类型</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最大浓度 (μg/m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24"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X</w:t>
            </w:r>
          </w:p>
        </w:tc>
        <w:tc>
          <w:tcPr>
            <w:tcW w:w="626"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Y</w:t>
            </w: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4"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3.75381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3.91661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3.86241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3.55108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0.89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3.31445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0.83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2.97737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0.74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3.15401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0.79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3.14513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0.79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3.53382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0.88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3.62331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3.73889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3.46936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0.87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168</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4.38364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9.841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13.1173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3.28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5.74485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3.87482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4.29478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4.72221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5.04035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5.27861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5.45171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5.18916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5.33489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4.84819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4.48036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4.22172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3.93897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3.93459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3.71669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0.93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bl>
    <w:p>
      <w:pPr>
        <w:spacing w:line="360" w:lineRule="auto"/>
        <w:ind w:firstLine="120" w:firstLineChars="50"/>
        <w:contextualSpacing/>
        <w:jc w:val="center"/>
        <w:rPr>
          <w:b/>
          <w:bCs/>
          <w:color w:val="FF0000"/>
        </w:rPr>
      </w:pPr>
    </w:p>
    <w:p>
      <w:pPr>
        <w:pStyle w:val="31"/>
        <w:bidi w:val="0"/>
      </w:pPr>
      <w:r>
        <w:t>表</w:t>
      </w:r>
      <w:r>
        <w:rPr>
          <w:rFonts w:hint="eastAsia"/>
          <w:lang w:val="en-US" w:eastAsia="zh-CN"/>
        </w:rPr>
        <w:t>6.2-47</w:t>
      </w:r>
      <w:r>
        <w:t xml:space="preserve">  </w:t>
      </w:r>
      <w:r>
        <w:rPr>
          <w:rFonts w:hint="eastAsia"/>
        </w:rPr>
        <w:t>NOx</w:t>
      </w:r>
      <w:r>
        <w:t>厂界无组织预测结果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065"/>
        <w:gridCol w:w="1067"/>
        <w:gridCol w:w="1065"/>
        <w:gridCol w:w="1065"/>
        <w:gridCol w:w="1065"/>
        <w:gridCol w:w="1065"/>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厂界预测点</w:t>
            </w:r>
          </w:p>
        </w:tc>
        <w:tc>
          <w:tcPr>
            <w:tcW w:w="1251" w:type="pct"/>
            <w:gridSpan w:val="2"/>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预测点坐标</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浓度类型</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最大浓度 (μg/m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24"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X</w:t>
            </w:r>
          </w:p>
        </w:tc>
        <w:tc>
          <w:tcPr>
            <w:tcW w:w="626"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Y</w:t>
            </w: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4"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13.42949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14.03792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11.70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13.83529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12.71974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10.60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11.86669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9.89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10.71097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8.93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11.33012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9.44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11.30562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9.42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12.77721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10.65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13.05896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10.88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13.46356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11.22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12.4883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168</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15.69451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13.08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35.65022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29.71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47.276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39.40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20.97064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13.90452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15.40036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12.83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16.92985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14.11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18.10136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15.08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18.89803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15.75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19.48513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16.24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18.52372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19.03787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15.86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17.30071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14.42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15.97663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15.09218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14.05944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11.72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14.09152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11.74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13.30721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11.09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bl>
    <w:p>
      <w:pPr>
        <w:spacing w:line="360" w:lineRule="auto"/>
        <w:ind w:firstLine="120" w:firstLineChars="50"/>
        <w:contextualSpacing/>
        <w:jc w:val="center"/>
        <w:rPr>
          <w:b/>
          <w:bCs/>
          <w:color w:val="auto"/>
        </w:rPr>
      </w:pPr>
    </w:p>
    <w:p>
      <w:pPr>
        <w:pStyle w:val="31"/>
        <w:bidi w:val="0"/>
      </w:pPr>
      <w:r>
        <w:t>表6.2</w:t>
      </w:r>
      <w:r>
        <w:rPr>
          <w:rFonts w:hint="eastAsia"/>
          <w:lang w:val="en-US" w:eastAsia="zh-CN"/>
        </w:rPr>
        <w:t>-48</w:t>
      </w:r>
      <w:r>
        <w:t xml:space="preserve">  TSP厂界无组织预测结果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065"/>
        <w:gridCol w:w="1067"/>
        <w:gridCol w:w="1065"/>
        <w:gridCol w:w="1065"/>
        <w:gridCol w:w="1065"/>
        <w:gridCol w:w="1065"/>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厂界预测点</w:t>
            </w:r>
          </w:p>
        </w:tc>
        <w:tc>
          <w:tcPr>
            <w:tcW w:w="1251" w:type="pct"/>
            <w:gridSpan w:val="2"/>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预测点坐标</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浓度类型</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最大浓度 (μg/m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24"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X</w:t>
            </w:r>
          </w:p>
        </w:tc>
        <w:tc>
          <w:tcPr>
            <w:tcW w:w="626"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Y</w:t>
            </w: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4"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50.01239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5.00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43.82306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4.38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34.54053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3.45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30.45119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35.53967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3.55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42.12466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4.21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48.50723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4.85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49.51307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4.95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52.93254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55.94805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5.59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131.9371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13.19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432.6824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43.27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168</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28.13708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36.79321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3.68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32.68505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3.27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28.25557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37.80563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3.78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286.2858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28.63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286.0719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28.61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99.88837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55.16282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5.52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65.91024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6.59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78.37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7.84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90.26745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115.0307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113.3623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11.34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107.2011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93.22857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72.41745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7.24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58.75879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5.88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bl>
    <w:p>
      <w:pPr>
        <w:spacing w:line="360" w:lineRule="auto"/>
        <w:ind w:firstLine="120" w:firstLineChars="50"/>
        <w:contextualSpacing/>
        <w:jc w:val="center"/>
        <w:rPr>
          <w:b/>
          <w:bCs/>
          <w:color w:val="FF0000"/>
        </w:rPr>
      </w:pPr>
    </w:p>
    <w:p>
      <w:pPr>
        <w:pStyle w:val="31"/>
        <w:bidi w:val="0"/>
      </w:pPr>
      <w:r>
        <w:t>表</w:t>
      </w:r>
      <w:r>
        <w:rPr>
          <w:rFonts w:hint="eastAsia"/>
          <w:lang w:val="en-US" w:eastAsia="zh-CN"/>
        </w:rPr>
        <w:t>6.2-49</w:t>
      </w:r>
      <w:r>
        <w:t xml:space="preserve">  </w:t>
      </w:r>
      <w:r>
        <w:rPr>
          <w:rFonts w:hint="eastAsia"/>
        </w:rPr>
        <w:t>氟化物</w:t>
      </w:r>
      <w:r>
        <w:t>厂界无组织预测结果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065"/>
        <w:gridCol w:w="1067"/>
        <w:gridCol w:w="1065"/>
        <w:gridCol w:w="1065"/>
        <w:gridCol w:w="1065"/>
        <w:gridCol w:w="1065"/>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厂界预测点</w:t>
            </w:r>
          </w:p>
        </w:tc>
        <w:tc>
          <w:tcPr>
            <w:tcW w:w="1251" w:type="pct"/>
            <w:gridSpan w:val="2"/>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预测点坐标</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浓度类型</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最大浓度 (μg/m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24"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X</w:t>
            </w:r>
          </w:p>
        </w:tc>
        <w:tc>
          <w:tcPr>
            <w:tcW w:w="626"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Y</w:t>
            </w: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4"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0.00525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0.00504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0.00317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0.00212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0.00217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0.00301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0.00388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0.00409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0.00627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0.00491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0.00514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0.0053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168</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0.00827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0.0127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0.0109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0.00727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0.00756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0.00762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0.00745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0.00728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0.00729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0.00694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0.00721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0.00743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0.00658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0.00649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0.00744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0.00613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0.00541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bl>
    <w:p>
      <w:pPr>
        <w:spacing w:line="360" w:lineRule="auto"/>
        <w:ind w:firstLine="120" w:firstLineChars="50"/>
        <w:contextualSpacing/>
        <w:jc w:val="center"/>
        <w:rPr>
          <w:b/>
          <w:bCs/>
          <w:color w:val="FF0000"/>
        </w:rPr>
      </w:pPr>
    </w:p>
    <w:p>
      <w:pPr>
        <w:pStyle w:val="31"/>
        <w:bidi w:val="0"/>
      </w:pPr>
      <w:r>
        <w:t>表</w:t>
      </w:r>
      <w:r>
        <w:rPr>
          <w:rFonts w:hint="eastAsia"/>
          <w:lang w:val="en-US" w:eastAsia="zh-CN"/>
        </w:rPr>
        <w:t xml:space="preserve">6.2-50 </w:t>
      </w:r>
      <w:r>
        <w:t xml:space="preserve"> </w:t>
      </w:r>
      <w:r>
        <w:rPr>
          <w:rFonts w:hint="eastAsia"/>
        </w:rPr>
        <w:t>HCl</w:t>
      </w:r>
      <w:r>
        <w:t>厂界无组织预测结果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065"/>
        <w:gridCol w:w="1067"/>
        <w:gridCol w:w="1065"/>
        <w:gridCol w:w="1065"/>
        <w:gridCol w:w="1065"/>
        <w:gridCol w:w="1065"/>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厂界预测点</w:t>
            </w:r>
          </w:p>
        </w:tc>
        <w:tc>
          <w:tcPr>
            <w:tcW w:w="1251" w:type="pct"/>
            <w:gridSpan w:val="2"/>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预测点坐标</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浓度类型</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最大浓度 (μg/m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24"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X</w:t>
            </w:r>
          </w:p>
        </w:tc>
        <w:tc>
          <w:tcPr>
            <w:tcW w:w="626"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Y</w:t>
            </w: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4"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0.22338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0.20627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0.11343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0.06775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0.06709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0.12704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0.19411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0.20462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0.31329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0.24558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0.25698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0.26492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168</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0.40942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0.40512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0.20</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0.413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0.33806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0.36987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0.37802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0.38031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0.37027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0.36061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0.34938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0.32532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0.34316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0.35638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0.18</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0.32458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0.27447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0.33605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0.17</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0.28529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0.23616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bl>
    <w:p>
      <w:pPr>
        <w:spacing w:line="360" w:lineRule="auto"/>
        <w:ind w:firstLine="120" w:firstLineChars="50"/>
        <w:contextualSpacing/>
        <w:jc w:val="center"/>
        <w:rPr>
          <w:b/>
          <w:bCs/>
          <w:color w:val="FF0000"/>
        </w:rPr>
      </w:pPr>
    </w:p>
    <w:p>
      <w:pPr>
        <w:pStyle w:val="31"/>
        <w:bidi w:val="0"/>
        <w:rPr>
          <w:b/>
          <w:bCs/>
          <w:color w:val="auto"/>
        </w:rPr>
      </w:pPr>
      <w:r>
        <w:rPr>
          <w:b/>
          <w:bCs/>
          <w:color w:val="auto"/>
        </w:rPr>
        <w:t>表</w:t>
      </w:r>
      <w:r>
        <w:rPr>
          <w:rFonts w:hint="eastAsia"/>
          <w:b/>
          <w:bCs/>
          <w:color w:val="auto"/>
          <w:lang w:val="en-US" w:eastAsia="zh-CN"/>
        </w:rPr>
        <w:t>6.2-51</w:t>
      </w:r>
      <w:r>
        <w:rPr>
          <w:b/>
          <w:bCs/>
          <w:color w:val="auto"/>
        </w:rPr>
        <w:t xml:space="preserve">  </w:t>
      </w:r>
      <w:r>
        <w:rPr>
          <w:rFonts w:hint="eastAsia"/>
          <w:b/>
          <w:bCs/>
          <w:color w:val="auto"/>
        </w:rPr>
        <w:t>Cl</w:t>
      </w:r>
      <w:r>
        <w:rPr>
          <w:b/>
          <w:bCs/>
          <w:color w:val="auto"/>
          <w:vertAlign w:val="subscript"/>
        </w:rPr>
        <w:t>2</w:t>
      </w:r>
      <w:r>
        <w:rPr>
          <w:b/>
          <w:bCs/>
          <w:color w:val="auto"/>
        </w:rPr>
        <w:t>厂界无组织预测结果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065"/>
        <w:gridCol w:w="1067"/>
        <w:gridCol w:w="1065"/>
        <w:gridCol w:w="1065"/>
        <w:gridCol w:w="1065"/>
        <w:gridCol w:w="1065"/>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厂界预测点</w:t>
            </w:r>
          </w:p>
        </w:tc>
        <w:tc>
          <w:tcPr>
            <w:tcW w:w="1251" w:type="pct"/>
            <w:gridSpan w:val="2"/>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预测点坐标</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浓度类型</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最大浓度 (μg/m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评价标准(μg/m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p>
        </w:tc>
        <w:tc>
          <w:tcPr>
            <w:tcW w:w="625"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占标率%</w:t>
            </w:r>
          </w:p>
        </w:tc>
        <w:tc>
          <w:tcPr>
            <w:tcW w:w="624" w:type="pct"/>
            <w:vMerge w:val="restart"/>
            <w:shd w:val="clear" w:color="auto" w:fill="auto"/>
            <w:noWrap/>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X</w:t>
            </w:r>
          </w:p>
        </w:tc>
        <w:tc>
          <w:tcPr>
            <w:tcW w:w="626"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Y</w:t>
            </w: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5"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c>
          <w:tcPr>
            <w:tcW w:w="624" w:type="pct"/>
            <w:vMerge w:val="continue"/>
            <w:shd w:val="clear" w:color="auto" w:fill="auto"/>
            <w:noWrap/>
            <w:vAlign w:val="center"/>
          </w:tcPr>
          <w:p>
            <w:pPr>
              <w:widowControl/>
              <w:jc w:val="center"/>
              <w:rPr>
                <w:rFonts w:hint="default" w:ascii="Times New Roman" w:hAnsi="Times New Roman" w:cs="Times New Roman"/>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0.12764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0.11787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0.06482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0.03871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0.03834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0.01</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0.07259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0.02</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0.11092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0.11693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0.17902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83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-181</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0.14033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0.14685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0.15138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168</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0.23395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0.2315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215</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0.236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0.06</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39</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0.19318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68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0.21135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0.21601</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125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0.21732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0.21158</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183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0.20606</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-70</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212</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0.19965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-107</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238</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0.1859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197</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0.19609</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25</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-164</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156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0.20365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26</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-193</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115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0.18547</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27</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-222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75</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0.15684</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28</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-242</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46</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0.19203</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0.05</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29</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-236</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0.16302</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0.04</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30</w:t>
            </w:r>
          </w:p>
        </w:tc>
        <w:tc>
          <w:tcPr>
            <w:tcW w:w="625"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-231</w:t>
            </w:r>
          </w:p>
        </w:tc>
        <w:tc>
          <w:tcPr>
            <w:tcW w:w="626" w:type="pct"/>
            <w:shd w:val="clear" w:color="auto" w:fill="auto"/>
            <w:noWrap/>
            <w:vAlign w:val="bottom"/>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-53</w:t>
            </w:r>
          </w:p>
        </w:tc>
        <w:tc>
          <w:tcPr>
            <w:tcW w:w="625" w:type="pct"/>
            <w:shd w:val="clear" w:color="auto" w:fill="auto"/>
            <w:noWrap/>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1小时</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0.13495</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400.0</w:t>
            </w:r>
          </w:p>
        </w:tc>
        <w:tc>
          <w:tcPr>
            <w:tcW w:w="625"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0.03</w:t>
            </w:r>
          </w:p>
        </w:tc>
        <w:tc>
          <w:tcPr>
            <w:tcW w:w="624" w:type="pct"/>
            <w:shd w:val="clear" w:color="auto" w:fill="auto"/>
            <w:noWrap/>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达标</w:t>
            </w:r>
          </w:p>
        </w:tc>
      </w:tr>
    </w:tbl>
    <w:p>
      <w:pPr>
        <w:pStyle w:val="7"/>
        <w:bidi w:val="0"/>
      </w:pPr>
      <w:r>
        <w:t>由表6.2</w:t>
      </w:r>
      <w:r>
        <w:rPr>
          <w:rFonts w:hint="eastAsia"/>
          <w:lang w:val="en-US" w:eastAsia="zh-CN"/>
        </w:rPr>
        <w:t>-46</w:t>
      </w:r>
      <w:r>
        <w:rPr>
          <w:rFonts w:hint="eastAsia"/>
        </w:rPr>
        <w:t>至</w:t>
      </w:r>
      <w:r>
        <w:t>表6.2</w:t>
      </w:r>
      <w:r>
        <w:rPr>
          <w:rFonts w:hint="eastAsia"/>
          <w:lang w:val="en-US" w:eastAsia="zh-CN"/>
        </w:rPr>
        <w:t>-51</w:t>
      </w:r>
      <w:r>
        <w:t>预测结果可知：</w:t>
      </w:r>
      <w:r>
        <w:rPr>
          <w:rFonts w:hint="eastAsia"/>
        </w:rPr>
        <w:t>SO</w:t>
      </w:r>
      <w:r>
        <w:rPr>
          <w:rFonts w:hint="eastAsia"/>
          <w:vertAlign w:val="subscript"/>
        </w:rPr>
        <w:t>2</w:t>
      </w:r>
      <w:r>
        <w:rPr>
          <w:rFonts w:hint="eastAsia"/>
        </w:rPr>
        <w:t>、NOx、</w:t>
      </w:r>
      <w:r>
        <w:t>TSP</w:t>
      </w:r>
      <w:r>
        <w:rPr>
          <w:rFonts w:hint="eastAsia"/>
        </w:rPr>
        <w:t>、氟化物、HCl、Cl</w:t>
      </w:r>
      <w:r>
        <w:rPr>
          <w:vertAlign w:val="subscript"/>
        </w:rPr>
        <w:t>2</w:t>
      </w:r>
      <w:r>
        <w:rPr>
          <w:rFonts w:hint="eastAsia"/>
        </w:rPr>
        <w:t>在</w:t>
      </w:r>
      <w:r>
        <w:t>厂界各预测点浓度限值达到《大气污染物综合排放标准》（GB16297-1996）</w:t>
      </w:r>
      <w:r>
        <w:rPr>
          <w:rFonts w:hint="eastAsia"/>
        </w:rPr>
        <w:t>无组织排放</w:t>
      </w:r>
      <w:r>
        <w:t>要求。</w:t>
      </w:r>
    </w:p>
    <w:p>
      <w:pPr>
        <w:pStyle w:val="8"/>
        <w:rPr>
          <w:color w:val="auto"/>
        </w:rPr>
      </w:pPr>
      <w:r>
        <w:rPr>
          <w:rFonts w:hint="eastAsia"/>
          <w:color w:val="auto"/>
        </w:rPr>
        <w:t>6.2.6防护距离设置情况</w:t>
      </w:r>
    </w:p>
    <w:p>
      <w:pPr>
        <w:pStyle w:val="7"/>
        <w:bidi w:val="0"/>
        <w:rPr>
          <w:b/>
          <w:bCs/>
        </w:rPr>
      </w:pPr>
      <w:r>
        <w:rPr>
          <w:rFonts w:hint="eastAsia"/>
          <w:b/>
          <w:bCs/>
          <w:lang w:val="en-US" w:eastAsia="zh-CN"/>
        </w:rPr>
        <w:t>1、</w:t>
      </w:r>
      <w:r>
        <w:rPr>
          <w:b/>
          <w:bCs/>
        </w:rPr>
        <w:t>大气环境防护距离</w:t>
      </w:r>
    </w:p>
    <w:p>
      <w:pPr>
        <w:pStyle w:val="7"/>
        <w:bidi w:val="0"/>
      </w:pPr>
      <w:r>
        <w:t>根据导则8.7.5.1要求：“对于项目厂界浓度满足大气污染物厂界浓度限值，但厂界外大气污染物短期浓度贡献值超过环境质量浓度限值的，可以自厂界向外设置一定范围的大气环境防护区域，以确保大气环境防护区域外的污染物贡献浓度满足环境质量标准。”</w:t>
      </w:r>
    </w:p>
    <w:p>
      <w:pPr>
        <w:pStyle w:val="7"/>
        <w:bidi w:val="0"/>
      </w:pPr>
      <w:r>
        <w:t>按照《环境影响评价技术导则》（HJ2.2-2018）8.8.5要求：大气环境防护距离确定时，厂界外预测网格分辨率不应超过50m。本项目计算大气环境放防护距离采用距离源中心为3km的矩形范围作为预测计算范围、预测网格分辨率按50m</w:t>
      </w:r>
      <w:r>
        <w:rPr>
          <w:rFonts w:hint="eastAsia"/>
        </w:rPr>
        <w:t>加密</w:t>
      </w:r>
      <w:r>
        <w:t>设置</w:t>
      </w:r>
      <w:r>
        <w:rPr>
          <w:rFonts w:hint="eastAsia"/>
        </w:rPr>
        <w:t>，对污染物短期浓度</w:t>
      </w:r>
      <w:r>
        <w:t>进行二次计算</w:t>
      </w:r>
      <w:r>
        <w:rPr>
          <w:rFonts w:hint="eastAsia"/>
        </w:rPr>
        <w:t>，短期浓度预测结果如下：</w:t>
      </w:r>
    </w:p>
    <w:p>
      <w:pPr>
        <w:pStyle w:val="31"/>
        <w:bidi w:val="0"/>
      </w:pPr>
      <w:r>
        <w:rPr>
          <w:rFonts w:hint="eastAsia"/>
        </w:rPr>
        <w:t>表</w:t>
      </w:r>
      <w:r>
        <w:t>6.2</w:t>
      </w:r>
      <w:r>
        <w:rPr>
          <w:rFonts w:hint="eastAsia"/>
          <w:lang w:val="en-US" w:eastAsia="zh-CN"/>
        </w:rPr>
        <w:t>-52</w:t>
      </w:r>
      <w:r>
        <w:rPr>
          <w:rFonts w:hint="eastAsia"/>
        </w:rPr>
        <w:t xml:space="preserve">  </w:t>
      </w:r>
      <w:r>
        <w:t>拟建项目</w:t>
      </w:r>
      <w:r>
        <w:rPr>
          <w:rFonts w:hint="eastAsia"/>
        </w:rPr>
        <w:t>大气环境防护距离</w:t>
      </w:r>
      <w:r>
        <w:t>预测结果表</w:t>
      </w:r>
    </w:p>
    <w:tbl>
      <w:tblPr>
        <w:tblStyle w:val="27"/>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830"/>
        <w:gridCol w:w="1534"/>
        <w:gridCol w:w="1044"/>
        <w:gridCol w:w="805"/>
        <w:gridCol w:w="930"/>
        <w:gridCol w:w="952"/>
        <w:gridCol w:w="857"/>
        <w:gridCol w:w="755"/>
        <w:gridCol w:w="62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70" w:hRule="atLeast"/>
        </w:trPr>
        <w:tc>
          <w:tcPr>
            <w:tcW w:w="498"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污染物</w:t>
            </w:r>
          </w:p>
        </w:tc>
        <w:tc>
          <w:tcPr>
            <w:tcW w:w="920"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点名称</w:t>
            </w:r>
          </w:p>
        </w:tc>
        <w:tc>
          <w:tcPr>
            <w:tcW w:w="626"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点坐标(x,y)</w:t>
            </w:r>
          </w:p>
        </w:tc>
        <w:tc>
          <w:tcPr>
            <w:tcW w:w="483"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浓度类型</w:t>
            </w:r>
          </w:p>
        </w:tc>
        <w:tc>
          <w:tcPr>
            <w:tcW w:w="558"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浓度增量</w:t>
            </w:r>
            <w:r>
              <w:rPr>
                <w:rFonts w:hint="default" w:ascii="Times New Roman" w:hAnsi="Times New Roman" w:cs="Times New Roman"/>
                <w:color w:val="auto"/>
                <w:kern w:val="0"/>
                <w:sz w:val="18"/>
                <w:szCs w:val="18"/>
              </w:rPr>
              <w:t>(μg/m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571"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出现时间(YYMMDDHH)</w:t>
            </w:r>
          </w:p>
        </w:tc>
        <w:tc>
          <w:tcPr>
            <w:tcW w:w="514"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评价标准</w:t>
            </w:r>
            <w:r>
              <w:rPr>
                <w:rFonts w:hint="default" w:ascii="Times New Roman" w:hAnsi="Times New Roman" w:cs="Times New Roman"/>
                <w:color w:val="auto"/>
                <w:kern w:val="0"/>
                <w:sz w:val="18"/>
                <w:szCs w:val="18"/>
              </w:rPr>
              <w:t>(μg/m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453"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占标率%</w:t>
            </w:r>
          </w:p>
        </w:tc>
        <w:tc>
          <w:tcPr>
            <w:tcW w:w="377"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b w:val="0"/>
                <w:bCs w:val="0"/>
                <w:color w:val="auto"/>
                <w:sz w:val="18"/>
                <w:szCs w:val="18"/>
              </w:rPr>
            </w:pPr>
            <w:r>
              <w:rPr>
                <w:rFonts w:hint="default" w:ascii="Times New Roman" w:hAnsi="Times New Roman" w:cs="Times New Roman"/>
                <w:b w:val="0"/>
                <w:bCs w:val="0"/>
                <w:color w:val="auto"/>
                <w:sz w:val="18"/>
                <w:szCs w:val="18"/>
              </w:rPr>
              <w:t>是否超标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920"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-150,550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1小时</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36.29936</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21090203</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b/>
                <w:bCs/>
                <w:color w:val="auto"/>
                <w:sz w:val="18"/>
                <w:szCs w:val="18"/>
                <w:u w:val="single"/>
              </w:rPr>
            </w:pPr>
            <w:r>
              <w:rPr>
                <w:rFonts w:hint="default" w:ascii="Times New Roman" w:hAnsi="Times New Roman" w:cs="Times New Roman"/>
                <w:color w:val="auto"/>
                <w:sz w:val="18"/>
                <w:szCs w:val="18"/>
              </w:rPr>
              <w:t>7.26</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b/>
                <w:bCs/>
                <w:color w:val="auto"/>
                <w:sz w:val="18"/>
                <w:szCs w:val="18"/>
                <w:u w:val="single"/>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continue"/>
            <w:noWrap/>
            <w:tcMar>
              <w:top w:w="15" w:type="dxa"/>
              <w:left w:w="15" w:type="dxa"/>
              <w:right w:w="15" w:type="dxa"/>
            </w:tcMar>
            <w:vAlign w:val="center"/>
          </w:tcPr>
          <w:p>
            <w:pPr>
              <w:adjustRightInd w:val="0"/>
              <w:snapToGrid w:val="0"/>
              <w:jc w:val="center"/>
              <w:rPr>
                <w:rFonts w:hint="default" w:ascii="Times New Roman" w:hAnsi="Times New Roman" w:cs="Times New Roman"/>
                <w:color w:val="auto"/>
                <w:sz w:val="18"/>
                <w:szCs w:val="18"/>
              </w:rPr>
            </w:pPr>
          </w:p>
        </w:tc>
        <w:tc>
          <w:tcPr>
            <w:tcW w:w="920" w:type="pct"/>
            <w:vMerge w:val="continue"/>
            <w:noWrap/>
            <w:tcMar>
              <w:top w:w="15" w:type="dxa"/>
              <w:left w:w="15" w:type="dxa"/>
              <w:right w:w="15" w:type="dxa"/>
            </w:tcMar>
            <w:vAlign w:val="center"/>
          </w:tcPr>
          <w:p>
            <w:pPr>
              <w:adjustRightInd w:val="0"/>
              <w:snapToGrid w:val="0"/>
              <w:jc w:val="center"/>
              <w:rPr>
                <w:rFonts w:hint="default" w:ascii="Times New Roman" w:hAnsi="Times New Roman" w:cs="Times New Roman"/>
                <w:color w:val="auto"/>
                <w:sz w:val="18"/>
                <w:szCs w:val="18"/>
              </w:rPr>
            </w:pP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-150,300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5.27367</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211031</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3.52</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p>
        </w:tc>
        <w:tc>
          <w:tcPr>
            <w:tcW w:w="920"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-150,550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1小时</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117.2843</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21090203</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58.64</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continue"/>
            <w:noWrap/>
            <w:tcMar>
              <w:top w:w="15" w:type="dxa"/>
              <w:left w:w="15" w:type="dxa"/>
              <w:right w:w="15" w:type="dxa"/>
            </w:tcMar>
            <w:vAlign w:val="center"/>
          </w:tcPr>
          <w:p>
            <w:pPr>
              <w:adjustRightInd w:val="0"/>
              <w:snapToGrid w:val="0"/>
              <w:jc w:val="center"/>
              <w:rPr>
                <w:rFonts w:hint="default" w:ascii="Times New Roman" w:hAnsi="Times New Roman" w:cs="Times New Roman"/>
                <w:color w:val="auto"/>
                <w:sz w:val="18"/>
                <w:szCs w:val="18"/>
              </w:rPr>
            </w:pPr>
          </w:p>
        </w:tc>
        <w:tc>
          <w:tcPr>
            <w:tcW w:w="920" w:type="pct"/>
            <w:vMerge w:val="continue"/>
            <w:noWrap/>
            <w:tcMar>
              <w:top w:w="15" w:type="dxa"/>
              <w:left w:w="15" w:type="dxa"/>
              <w:right w:w="15" w:type="dxa"/>
            </w:tcMar>
            <w:vAlign w:val="center"/>
          </w:tcPr>
          <w:p>
            <w:pPr>
              <w:adjustRightInd w:val="0"/>
              <w:snapToGrid w:val="0"/>
              <w:jc w:val="center"/>
              <w:rPr>
                <w:rFonts w:hint="default" w:ascii="Times New Roman" w:hAnsi="Times New Roman" w:cs="Times New Roman"/>
                <w:color w:val="auto"/>
                <w:sz w:val="18"/>
                <w:szCs w:val="18"/>
              </w:rPr>
            </w:pP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-150,300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18.78777</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211031</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23.48</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p>
        </w:tc>
        <w:tc>
          <w:tcPr>
            <w:tcW w:w="920"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15.73638</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211222</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10.49</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p>
        </w:tc>
        <w:tc>
          <w:tcPr>
            <w:tcW w:w="920"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6.29455</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211222</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8.39</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TSP</w:t>
            </w:r>
          </w:p>
        </w:tc>
        <w:tc>
          <w:tcPr>
            <w:tcW w:w="920" w:type="pc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46.54326</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211209</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15.51</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氟化物</w:t>
            </w:r>
          </w:p>
        </w:tc>
        <w:tc>
          <w:tcPr>
            <w:tcW w:w="920"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-450,600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1小时</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0.05675</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21091403</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b/>
                <w:bCs/>
                <w:color w:val="auto"/>
                <w:sz w:val="18"/>
                <w:szCs w:val="18"/>
                <w:u w:val="single"/>
              </w:rPr>
            </w:pPr>
            <w:r>
              <w:rPr>
                <w:rFonts w:hint="default" w:ascii="Times New Roman" w:hAnsi="Times New Roman" w:cs="Times New Roman"/>
                <w:color w:val="auto"/>
                <w:sz w:val="18"/>
                <w:szCs w:val="18"/>
              </w:rPr>
              <w:t>0.28</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b/>
                <w:bCs/>
                <w:color w:val="auto"/>
                <w:sz w:val="18"/>
                <w:szCs w:val="18"/>
                <w:u w:val="single"/>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continue"/>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p>
        </w:tc>
        <w:tc>
          <w:tcPr>
            <w:tcW w:w="920" w:type="pct"/>
            <w:vMerge w:val="continue"/>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-700,500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0.00565</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211222</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b/>
                <w:bCs/>
                <w:color w:val="auto"/>
                <w:sz w:val="18"/>
                <w:szCs w:val="18"/>
                <w:u w:val="single"/>
              </w:rPr>
            </w:pPr>
            <w:r>
              <w:rPr>
                <w:rFonts w:hint="default" w:ascii="Times New Roman" w:hAnsi="Times New Roman" w:cs="Times New Roman"/>
                <w:color w:val="auto"/>
                <w:sz w:val="18"/>
                <w:szCs w:val="18"/>
              </w:rPr>
              <w:t>0.08</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b/>
                <w:bCs/>
                <w:color w:val="auto"/>
                <w:sz w:val="18"/>
                <w:szCs w:val="18"/>
                <w:u w:val="single"/>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HCl</w:t>
            </w:r>
          </w:p>
        </w:tc>
        <w:tc>
          <w:tcPr>
            <w:tcW w:w="920"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-450,600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1小时</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2.75124</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21102804</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continue"/>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p>
        </w:tc>
        <w:tc>
          <w:tcPr>
            <w:tcW w:w="920" w:type="pct"/>
            <w:vMerge w:val="continue"/>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-350,700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0.25141</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211206</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1.68</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Cl</w:t>
            </w:r>
            <w:r>
              <w:rPr>
                <w:rFonts w:hint="default" w:ascii="Times New Roman" w:hAnsi="Times New Roman" w:cs="Times New Roman"/>
                <w:color w:val="auto"/>
                <w:sz w:val="18"/>
                <w:szCs w:val="18"/>
                <w:vertAlign w:val="subscript"/>
              </w:rPr>
              <w:t>2</w:t>
            </w:r>
          </w:p>
        </w:tc>
        <w:tc>
          <w:tcPr>
            <w:tcW w:w="920" w:type="pct"/>
            <w:vMerge w:val="restart"/>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网格最大值</w:t>
            </w: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-450,600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1小时</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1.57214</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21102804</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1.57</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c>
          <w:tcPr>
            <w:tcW w:w="498" w:type="pct"/>
            <w:vMerge w:val="continue"/>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p>
        </w:tc>
        <w:tc>
          <w:tcPr>
            <w:tcW w:w="920" w:type="pct"/>
            <w:vMerge w:val="continue"/>
            <w:noWrap/>
            <w:tcMar>
              <w:top w:w="15" w:type="dxa"/>
              <w:left w:w="15" w:type="dxa"/>
              <w:right w:w="15" w:type="dxa"/>
            </w:tcMar>
            <w:vAlign w:val="center"/>
          </w:tcPr>
          <w:p>
            <w:pPr>
              <w:adjustRightInd w:val="0"/>
              <w:snapToGrid w:val="0"/>
              <w:jc w:val="center"/>
              <w:textAlignment w:val="center"/>
              <w:rPr>
                <w:rFonts w:hint="default" w:ascii="Times New Roman" w:hAnsi="Times New Roman" w:cs="Times New Roman"/>
                <w:color w:val="auto"/>
                <w:sz w:val="18"/>
                <w:szCs w:val="18"/>
              </w:rPr>
            </w:pPr>
          </w:p>
        </w:tc>
        <w:tc>
          <w:tcPr>
            <w:tcW w:w="626"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-350,700</w:t>
            </w:r>
          </w:p>
        </w:tc>
        <w:tc>
          <w:tcPr>
            <w:tcW w:w="48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日平均</w:t>
            </w:r>
          </w:p>
        </w:tc>
        <w:tc>
          <w:tcPr>
            <w:tcW w:w="558"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0.14367</w:t>
            </w:r>
          </w:p>
        </w:tc>
        <w:tc>
          <w:tcPr>
            <w:tcW w:w="571"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211206</w:t>
            </w:r>
          </w:p>
        </w:tc>
        <w:tc>
          <w:tcPr>
            <w:tcW w:w="514"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w:t>
            </w:r>
          </w:p>
        </w:tc>
        <w:tc>
          <w:tcPr>
            <w:tcW w:w="453"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0.48</w:t>
            </w:r>
          </w:p>
        </w:tc>
        <w:tc>
          <w:tcPr>
            <w:tcW w:w="377" w:type="pct"/>
            <w:noWrap/>
            <w:tcMar>
              <w:top w:w="15" w:type="dxa"/>
              <w:left w:w="15" w:type="dxa"/>
              <w:right w:w="15" w:type="dxa"/>
            </w:tcMar>
            <w:vAlign w:val="bottom"/>
          </w:tcPr>
          <w:p>
            <w:pPr>
              <w:widowControl/>
              <w:adjustRightInd w:val="0"/>
              <w:snapToGrid w:val="0"/>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bl>
    <w:p>
      <w:pPr>
        <w:pStyle w:val="7"/>
        <w:bidi w:val="0"/>
      </w:pPr>
      <w:r>
        <w:rPr>
          <w:rFonts w:hint="eastAsia"/>
        </w:rPr>
        <w:t>由表</w:t>
      </w:r>
      <w:r>
        <w:rPr>
          <w:rFonts w:hint="eastAsia"/>
          <w:lang w:val="en-US" w:eastAsia="zh-CN"/>
        </w:rPr>
        <w:t>6.2-52</w:t>
      </w:r>
      <w:r>
        <w:rPr>
          <w:rFonts w:hint="eastAsia"/>
        </w:rPr>
        <w:t>各污染物厂界外短期浓度预测结果可知，SO</w:t>
      </w:r>
      <w:r>
        <w:rPr>
          <w:rFonts w:hint="eastAsia"/>
          <w:vertAlign w:val="subscript"/>
        </w:rPr>
        <w:t>2</w:t>
      </w:r>
      <w:r>
        <w:rPr>
          <w:rFonts w:hint="eastAsia"/>
        </w:rPr>
        <w:t>、NO</w:t>
      </w:r>
      <w:r>
        <w:rPr>
          <w:rFonts w:hint="eastAsia"/>
          <w:vertAlign w:val="subscript"/>
        </w:rPr>
        <w:t>2</w:t>
      </w:r>
      <w:r>
        <w:rPr>
          <w:rFonts w:hint="eastAsia"/>
        </w:rPr>
        <w:t>、TSP、PM</w:t>
      </w:r>
      <w:r>
        <w:rPr>
          <w:rFonts w:hint="eastAsia"/>
          <w:vertAlign w:val="subscript"/>
        </w:rPr>
        <w:t>10</w:t>
      </w:r>
      <w:r>
        <w:rPr>
          <w:rFonts w:hint="eastAsia"/>
        </w:rPr>
        <w:t>、总PM</w:t>
      </w:r>
      <w:r>
        <w:rPr>
          <w:rFonts w:hint="eastAsia"/>
          <w:vertAlign w:val="subscript"/>
        </w:rPr>
        <w:t>2.5</w:t>
      </w:r>
      <w:r>
        <w:rPr>
          <w:rFonts w:hint="eastAsia"/>
        </w:rPr>
        <w:t>、氟化物、HCl、Cl</w:t>
      </w:r>
      <w:r>
        <w:rPr>
          <w:vertAlign w:val="subscript"/>
        </w:rPr>
        <w:t>2</w:t>
      </w:r>
      <w:r>
        <w:rPr>
          <w:rFonts w:hint="eastAsia"/>
        </w:rPr>
        <w:t>短期浓度贡献值均达标，不需要设置大气环境防护距离。</w:t>
      </w:r>
    </w:p>
    <w:p>
      <w:pPr>
        <w:pStyle w:val="7"/>
        <w:bidi w:val="0"/>
        <w:rPr>
          <w:b/>
          <w:bCs/>
        </w:rPr>
      </w:pPr>
      <w:r>
        <w:rPr>
          <w:rFonts w:hint="eastAsia"/>
          <w:b/>
          <w:bCs/>
          <w:lang w:val="en-US" w:eastAsia="zh-CN"/>
        </w:rPr>
        <w:t>2、</w:t>
      </w:r>
      <w:r>
        <w:rPr>
          <w:b/>
          <w:bCs/>
        </w:rPr>
        <w:t>卫生防护距离</w:t>
      </w:r>
    </w:p>
    <w:p>
      <w:pPr>
        <w:pStyle w:val="7"/>
        <w:bidi w:val="0"/>
      </w:pPr>
      <w:bookmarkStart w:id="131" w:name="_Hlk93144068"/>
      <w:r>
        <w:rPr>
          <w:rFonts w:hint="eastAsia"/>
        </w:rPr>
        <w:t>根据《大气有害物质无组织排放卫生防护距离推导技术导则》（GB/T39499-2020）</w:t>
      </w:r>
      <w:bookmarkEnd w:id="131"/>
      <w:r>
        <w:rPr>
          <w:rFonts w:hint="eastAsia"/>
        </w:rPr>
        <w:t>，卫生防护距离初值计算公式采用</w:t>
      </w:r>
      <w:r>
        <w:t>《制定地方大气污染物排放标准的技术方法》(GB/T3840-91)</w:t>
      </w:r>
      <w:r>
        <w:rPr>
          <w:rFonts w:hint="eastAsia"/>
        </w:rPr>
        <w:t>中7</w:t>
      </w:r>
      <w:r>
        <w:t>.4</w:t>
      </w:r>
      <w:r>
        <w:rPr>
          <w:rFonts w:hint="eastAsia"/>
        </w:rPr>
        <w:t>推荐的估算方法进行计算，具体计算公式如下：</w:t>
      </w:r>
    </w:p>
    <w:p>
      <w:pPr>
        <w:spacing w:line="360" w:lineRule="auto"/>
        <w:ind w:left="720"/>
        <w:jc w:val="center"/>
        <w:rPr>
          <w:rFonts w:ascii="宋体" w:hAnsi="宋体"/>
          <w:color w:val="FF0000"/>
        </w:rPr>
      </w:pPr>
      <w:r>
        <w:rPr>
          <w:rFonts w:ascii="宋体" w:hAnsi="宋体"/>
          <w:color w:val="FF0000"/>
        </w:rPr>
        <w:object>
          <v:shape id="_x0000_i1040" o:spt="75" type="#_x0000_t75" style="height:37.45pt;width:145.15pt;" o:ole="t" filled="f" o:preferrelative="t" stroked="f" coordsize="21600,21600">
            <v:path/>
            <v:fill on="f" focussize="0,0"/>
            <v:stroke on="f" joinstyle="miter"/>
            <v:imagedata r:id="rId73" o:title=""/>
            <o:lock v:ext="edit" aspectratio="t"/>
            <w10:wrap type="none"/>
            <w10:anchorlock/>
          </v:shape>
          <o:OLEObject Type="Embed" ProgID="Equation.3" ShapeID="_x0000_i1040" DrawAspect="Content" ObjectID="_1468075740" r:id="rId72">
            <o:LockedField>false</o:LockedField>
          </o:OLEObject>
        </w:object>
      </w:r>
    </w:p>
    <w:p>
      <w:pPr>
        <w:pStyle w:val="7"/>
        <w:bidi w:val="0"/>
      </w:pPr>
      <w:r>
        <w:t>式中：C</w:t>
      </w:r>
      <w:r>
        <w:rPr>
          <w:vertAlign w:val="subscript"/>
        </w:rPr>
        <w:t>m</w:t>
      </w:r>
      <w:r>
        <w:t>--</w:t>
      </w:r>
      <w:r>
        <w:rPr>
          <w:rFonts w:hint="eastAsia"/>
        </w:rPr>
        <w:t>大气有害物质环境空气质量的标准限值，单位为毫克每立方米（mg</w:t>
      </w:r>
      <w:r>
        <w:t>/</w:t>
      </w:r>
      <w:r>
        <w:rPr>
          <w:rFonts w:hint="eastAsia"/>
        </w:rPr>
        <w:t>m</w:t>
      </w:r>
      <w:r>
        <w:rPr>
          <w:vertAlign w:val="superscript"/>
        </w:rPr>
        <w:t>3</w:t>
      </w:r>
      <w:r>
        <w:rPr>
          <w:rFonts w:hint="eastAsia"/>
        </w:rPr>
        <w:t>）</w:t>
      </w:r>
      <w:r>
        <w:t>；</w:t>
      </w:r>
    </w:p>
    <w:p>
      <w:pPr>
        <w:pStyle w:val="7"/>
        <w:bidi w:val="0"/>
      </w:pPr>
      <w:r>
        <w:t>L--</w:t>
      </w:r>
      <w:r>
        <w:rPr>
          <w:rFonts w:hint="eastAsia"/>
        </w:rPr>
        <w:t>大气有害物质卫生防护距离初值</w:t>
      </w:r>
      <w:r>
        <w:t>，</w:t>
      </w:r>
      <w:r>
        <w:rPr>
          <w:rFonts w:hint="eastAsia"/>
        </w:rPr>
        <w:t>单位为米（</w:t>
      </w:r>
      <w:r>
        <w:t>m</w:t>
      </w:r>
      <w:r>
        <w:rPr>
          <w:rFonts w:hint="eastAsia"/>
        </w:rPr>
        <w:t>）</w:t>
      </w:r>
      <w:r>
        <w:t>；</w:t>
      </w:r>
    </w:p>
    <w:p>
      <w:pPr>
        <w:pStyle w:val="7"/>
        <w:bidi w:val="0"/>
      </w:pPr>
      <w:r>
        <w:t>r--</w:t>
      </w:r>
      <w:r>
        <w:rPr>
          <w:rFonts w:hint="eastAsia"/>
        </w:rPr>
        <w:t>大气有害物质</w:t>
      </w:r>
      <w:r>
        <w:t>无组织排放源所在生产单元的等效半径，</w:t>
      </w:r>
      <w:r>
        <w:rPr>
          <w:rFonts w:hint="eastAsia"/>
        </w:rPr>
        <w:t>单位为米（</w:t>
      </w:r>
      <w:r>
        <w:t>m</w:t>
      </w:r>
      <w:r>
        <w:rPr>
          <w:rFonts w:hint="eastAsia"/>
        </w:rPr>
        <w:t>）</w:t>
      </w:r>
      <w:r>
        <w:t>。</w:t>
      </w:r>
    </w:p>
    <w:p>
      <w:pPr>
        <w:pStyle w:val="7"/>
        <w:bidi w:val="0"/>
      </w:pPr>
      <w:r>
        <w:t>A、B、C、D--卫生防护距离计算系数，无因次，根据工业企业所在地区近五年平均风速及工业企业大气污染源构成类别从表1查取。</w:t>
      </w:r>
    </w:p>
    <w:p>
      <w:pPr>
        <w:pStyle w:val="7"/>
        <w:bidi w:val="0"/>
        <w:rPr>
          <w:rFonts w:ascii="宋体" w:hAnsi="宋体"/>
          <w:color w:val="FF0000"/>
        </w:rPr>
      </w:pPr>
      <w:r>
        <w:t>Qc--</w:t>
      </w:r>
      <w:r>
        <w:rPr>
          <w:rFonts w:hint="eastAsia"/>
        </w:rPr>
        <w:t>大气有害物质</w:t>
      </w:r>
      <w:r>
        <w:t>无组织排放量</w:t>
      </w:r>
      <w:r>
        <w:rPr>
          <w:rFonts w:hint="eastAsia"/>
        </w:rPr>
        <w:t>，单位为千克每小时（kg/h）</w:t>
      </w:r>
      <w:r>
        <w:rPr>
          <w:rFonts w:ascii="宋体" w:hAnsi="宋体"/>
          <w:color w:val="FF0000"/>
        </w:rPr>
        <w:t>。</w:t>
      </w:r>
    </w:p>
    <w:p>
      <w:pPr>
        <w:pStyle w:val="31"/>
        <w:bidi w:val="0"/>
      </w:pPr>
      <w:r>
        <w:rPr>
          <w:rFonts w:hint="eastAsia"/>
        </w:rPr>
        <w:t>表</w:t>
      </w:r>
      <w:r>
        <w:t>6.2</w:t>
      </w:r>
      <w:r>
        <w:rPr>
          <w:rFonts w:hint="eastAsia"/>
          <w:lang w:val="en-US" w:eastAsia="zh-CN"/>
        </w:rPr>
        <w:t>-53</w:t>
      </w:r>
      <w:r>
        <w:rPr>
          <w:rFonts w:hint="eastAsia"/>
        </w:rPr>
        <w:t xml:space="preserve">  </w:t>
      </w:r>
      <w:r>
        <w:rPr>
          <w:rFonts w:hint="eastAsia"/>
          <w:lang w:val="en-US" w:eastAsia="zh-CN"/>
        </w:rPr>
        <w:t>卫生防护距离计算系数</w:t>
      </w:r>
      <w:r>
        <w:t>表</w:t>
      </w:r>
    </w:p>
    <w:p>
      <w:pPr>
        <w:pStyle w:val="2"/>
        <w:ind w:left="0" w:leftChars="0" w:firstLine="0" w:firstLineChars="0"/>
        <w:rPr>
          <w:color w:val="FF0000"/>
        </w:rPr>
      </w:pPr>
      <w:r>
        <w:rPr>
          <w:color w:val="FF0000"/>
        </w:rPr>
        <w:drawing>
          <wp:inline distT="0" distB="0" distL="114300" distR="114300">
            <wp:extent cx="5252085" cy="3747770"/>
            <wp:effectExtent l="0" t="0" r="5715" b="5080"/>
            <wp:docPr id="32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4"/>
                    <pic:cNvPicPr>
                      <a:picLocks noChangeAspect="1"/>
                    </pic:cNvPicPr>
                  </pic:nvPicPr>
                  <pic:blipFill>
                    <a:blip r:embed="rId74"/>
                    <a:srcRect t="6273"/>
                    <a:stretch>
                      <a:fillRect/>
                    </a:stretch>
                  </pic:blipFill>
                  <pic:spPr>
                    <a:xfrm>
                      <a:off x="0" y="0"/>
                      <a:ext cx="5258211" cy="3747770"/>
                    </a:xfrm>
                    <a:prstGeom prst="rect">
                      <a:avLst/>
                    </a:prstGeom>
                    <a:noFill/>
                    <a:ln>
                      <a:noFill/>
                    </a:ln>
                  </pic:spPr>
                </pic:pic>
              </a:graphicData>
            </a:graphic>
          </wp:inline>
        </w:drawing>
      </w:r>
    </w:p>
    <w:p>
      <w:pPr>
        <w:pStyle w:val="7"/>
        <w:bidi w:val="0"/>
      </w:pPr>
      <w:r>
        <w:t>依据卫生防护距离的计算公式，本项目主要计算扒渣工序未被收集逸散的少量颗粒物</w:t>
      </w:r>
      <w:r>
        <w:rPr>
          <w:rFonts w:hint="eastAsia"/>
        </w:rPr>
        <w:t>以及</w:t>
      </w:r>
      <w:r>
        <w:t>铝灰分离工序未被收集逸散的少量颗粒物的卫生防护距离</w:t>
      </w:r>
      <w:r>
        <w:rPr>
          <w:rFonts w:hint="eastAsia"/>
        </w:rPr>
        <w:t>，近五年平均风速为</w:t>
      </w:r>
      <w:r>
        <w:t>2.44</w:t>
      </w:r>
      <w:r>
        <w:rPr>
          <w:rFonts w:hint="eastAsia"/>
        </w:rPr>
        <w:t>m/s</w:t>
      </w:r>
      <w:r>
        <w:t>。代入公式计算后得到卫生防护距离结果见下表：</w:t>
      </w:r>
    </w:p>
    <w:p>
      <w:pPr>
        <w:pStyle w:val="31"/>
        <w:bidi w:val="0"/>
      </w:pPr>
      <w:r>
        <w:rPr>
          <w:rFonts w:hint="eastAsia"/>
        </w:rPr>
        <w:t>表</w:t>
      </w:r>
      <w:r>
        <w:t>6</w:t>
      </w:r>
      <w:r>
        <w:rPr>
          <w:rFonts w:hint="eastAsia"/>
          <w:lang w:val="en-US" w:eastAsia="zh-CN"/>
        </w:rPr>
        <w:t>.2-54</w:t>
      </w:r>
      <w:r>
        <w:rPr>
          <w:rFonts w:hint="eastAsia"/>
        </w:rPr>
        <w:t xml:space="preserve">  </w:t>
      </w:r>
      <w:r>
        <w:t>卫生防护距离</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96"/>
        <w:gridCol w:w="900"/>
        <w:gridCol w:w="885"/>
        <w:gridCol w:w="1315"/>
        <w:gridCol w:w="1166"/>
        <w:gridCol w:w="940"/>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shd w:val="clear" w:color="auto" w:fill="auto"/>
            <w:tcMar>
              <w:top w:w="15" w:type="dxa"/>
              <w:left w:w="15" w:type="dxa"/>
              <w:bottom w:w="0" w:type="dxa"/>
              <w:right w:w="15" w:type="dxa"/>
            </w:tcMar>
            <w:vAlign w:val="center"/>
          </w:tcPr>
          <w:p>
            <w:pPr>
              <w:pStyle w:val="32"/>
              <w:bidi w:val="0"/>
            </w:pPr>
            <w:r>
              <w:rPr>
                <w:rFonts w:hint="eastAsia"/>
              </w:rPr>
              <w:t>污染源</w:t>
            </w:r>
          </w:p>
        </w:tc>
        <w:tc>
          <w:tcPr>
            <w:tcW w:w="542" w:type="pct"/>
            <w:shd w:val="clear" w:color="auto" w:fill="auto"/>
            <w:tcMar>
              <w:top w:w="15" w:type="dxa"/>
              <w:left w:w="15" w:type="dxa"/>
              <w:bottom w:w="0" w:type="dxa"/>
              <w:right w:w="15" w:type="dxa"/>
            </w:tcMar>
            <w:vAlign w:val="center"/>
          </w:tcPr>
          <w:p>
            <w:pPr>
              <w:pStyle w:val="32"/>
              <w:bidi w:val="0"/>
            </w:pPr>
            <w:r>
              <w:rPr>
                <w:rFonts w:hint="eastAsia"/>
              </w:rPr>
              <w:t>污染物</w:t>
            </w:r>
          </w:p>
        </w:tc>
        <w:tc>
          <w:tcPr>
            <w:tcW w:w="533" w:type="pct"/>
            <w:shd w:val="clear" w:color="auto" w:fill="auto"/>
            <w:tcMar>
              <w:top w:w="15" w:type="dxa"/>
              <w:left w:w="15" w:type="dxa"/>
              <w:bottom w:w="0" w:type="dxa"/>
              <w:right w:w="15" w:type="dxa"/>
            </w:tcMar>
            <w:vAlign w:val="center"/>
          </w:tcPr>
          <w:p>
            <w:pPr>
              <w:pStyle w:val="32"/>
              <w:bidi w:val="0"/>
            </w:pPr>
            <w:r>
              <w:rPr>
                <w:rFonts w:hint="eastAsia"/>
              </w:rPr>
              <w:t>面积（m</w:t>
            </w:r>
            <w:r>
              <w:rPr>
                <w:vertAlign w:val="superscript"/>
              </w:rPr>
              <w:t>2</w:t>
            </w:r>
            <w:r>
              <w:rPr>
                <w:rFonts w:hint="eastAsia"/>
              </w:rPr>
              <w:t>）</w:t>
            </w:r>
          </w:p>
        </w:tc>
        <w:tc>
          <w:tcPr>
            <w:tcW w:w="791" w:type="pct"/>
            <w:shd w:val="clear" w:color="auto" w:fill="auto"/>
            <w:tcMar>
              <w:top w:w="15" w:type="dxa"/>
              <w:left w:w="15" w:type="dxa"/>
              <w:bottom w:w="0" w:type="dxa"/>
              <w:right w:w="15" w:type="dxa"/>
            </w:tcMar>
            <w:vAlign w:val="center"/>
          </w:tcPr>
          <w:p>
            <w:pPr>
              <w:pStyle w:val="32"/>
              <w:bidi w:val="0"/>
            </w:pPr>
            <w:r>
              <w:rPr>
                <w:rFonts w:hint="eastAsia"/>
              </w:rPr>
              <w:t>排放源强（kg/h）</w:t>
            </w:r>
          </w:p>
        </w:tc>
        <w:tc>
          <w:tcPr>
            <w:tcW w:w="702" w:type="pct"/>
            <w:shd w:val="clear" w:color="auto" w:fill="auto"/>
            <w:tcMar>
              <w:top w:w="15" w:type="dxa"/>
              <w:left w:w="15" w:type="dxa"/>
              <w:bottom w:w="0" w:type="dxa"/>
              <w:right w:w="15" w:type="dxa"/>
            </w:tcMar>
            <w:vAlign w:val="center"/>
          </w:tcPr>
          <w:p>
            <w:pPr>
              <w:pStyle w:val="32"/>
              <w:bidi w:val="0"/>
            </w:pPr>
            <w:r>
              <w:rPr>
                <w:rFonts w:hint="eastAsia"/>
              </w:rPr>
              <w:t>标准（mg/m</w:t>
            </w:r>
            <w:r>
              <w:rPr>
                <w:rFonts w:hint="eastAsia"/>
                <w:vertAlign w:val="superscript"/>
              </w:rPr>
              <w:t>3</w:t>
            </w:r>
            <w:r>
              <w:rPr>
                <w:rFonts w:hint="eastAsia"/>
              </w:rPr>
              <w:t>）</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初值L(m)</w:t>
            </w:r>
          </w:p>
        </w:tc>
        <w:tc>
          <w:tcPr>
            <w:tcW w:w="606" w:type="pct"/>
            <w:shd w:val="clear" w:color="auto" w:fill="auto"/>
            <w:noWrap/>
            <w:tcMar>
              <w:top w:w="15" w:type="dxa"/>
              <w:left w:w="15" w:type="dxa"/>
              <w:bottom w:w="0" w:type="dxa"/>
              <w:right w:w="15" w:type="dxa"/>
            </w:tcMar>
            <w:vAlign w:val="center"/>
          </w:tcPr>
          <w:p>
            <w:pPr>
              <w:pStyle w:val="32"/>
              <w:bidi w:val="0"/>
            </w:pPr>
            <w:r>
              <w:rPr>
                <w:rFonts w:hint="eastAsia"/>
              </w:rPr>
              <w:t>终值（m）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shd w:val="clear" w:color="auto" w:fill="auto"/>
            <w:tcMar>
              <w:top w:w="15" w:type="dxa"/>
              <w:left w:w="15" w:type="dxa"/>
              <w:bottom w:w="0" w:type="dxa"/>
              <w:right w:w="15" w:type="dxa"/>
            </w:tcMar>
            <w:vAlign w:val="center"/>
          </w:tcPr>
          <w:p>
            <w:pPr>
              <w:pStyle w:val="32"/>
              <w:bidi w:val="0"/>
            </w:pPr>
            <w:bookmarkStart w:id="132" w:name="_Hlk103381153"/>
            <w:r>
              <w:rPr>
                <w:rFonts w:hint="eastAsia"/>
              </w:rPr>
              <w:t>一期工程</w:t>
            </w:r>
            <w:r>
              <w:t>熔保炉系统</w:t>
            </w:r>
          </w:p>
        </w:tc>
        <w:tc>
          <w:tcPr>
            <w:tcW w:w="542" w:type="pct"/>
            <w:shd w:val="clear" w:color="auto" w:fill="auto"/>
            <w:tcMar>
              <w:top w:w="15" w:type="dxa"/>
              <w:left w:w="15" w:type="dxa"/>
              <w:bottom w:w="0" w:type="dxa"/>
              <w:right w:w="15" w:type="dxa"/>
            </w:tcMar>
            <w:vAlign w:val="center"/>
          </w:tcPr>
          <w:p>
            <w:pPr>
              <w:pStyle w:val="32"/>
              <w:bidi w:val="0"/>
            </w:pPr>
            <w:r>
              <w:rPr>
                <w:rFonts w:hint="eastAsia"/>
              </w:rPr>
              <w:t>颗粒物</w:t>
            </w:r>
          </w:p>
        </w:tc>
        <w:tc>
          <w:tcPr>
            <w:tcW w:w="533" w:type="pct"/>
            <w:shd w:val="clear" w:color="auto" w:fill="auto"/>
            <w:tcMar>
              <w:top w:w="15" w:type="dxa"/>
              <w:left w:w="15" w:type="dxa"/>
              <w:bottom w:w="0" w:type="dxa"/>
              <w:right w:w="15" w:type="dxa"/>
            </w:tcMar>
            <w:vAlign w:val="center"/>
          </w:tcPr>
          <w:p>
            <w:pPr>
              <w:pStyle w:val="32"/>
              <w:bidi w:val="0"/>
            </w:pPr>
            <w:r>
              <w:rPr>
                <w:rFonts w:hint="eastAsia"/>
              </w:rPr>
              <w:t>10250</w:t>
            </w:r>
          </w:p>
        </w:tc>
        <w:tc>
          <w:tcPr>
            <w:tcW w:w="791" w:type="pct"/>
            <w:shd w:val="clear" w:color="auto" w:fill="auto"/>
            <w:tcMar>
              <w:top w:w="15" w:type="dxa"/>
              <w:left w:w="15" w:type="dxa"/>
              <w:bottom w:w="0" w:type="dxa"/>
              <w:right w:w="15" w:type="dxa"/>
            </w:tcMar>
            <w:vAlign w:val="center"/>
          </w:tcPr>
          <w:p>
            <w:pPr>
              <w:pStyle w:val="32"/>
              <w:bidi w:val="0"/>
            </w:pPr>
            <w:r>
              <w:rPr>
                <w:rFonts w:hint="eastAsia"/>
              </w:rPr>
              <w:t>0.43</w:t>
            </w:r>
          </w:p>
        </w:tc>
        <w:tc>
          <w:tcPr>
            <w:tcW w:w="702" w:type="pct"/>
            <w:shd w:val="clear" w:color="auto" w:fill="auto"/>
            <w:tcMar>
              <w:top w:w="15" w:type="dxa"/>
              <w:left w:w="15" w:type="dxa"/>
              <w:bottom w:w="0" w:type="dxa"/>
              <w:right w:w="15" w:type="dxa"/>
            </w:tcMar>
            <w:vAlign w:val="center"/>
          </w:tcPr>
          <w:p>
            <w:pPr>
              <w:pStyle w:val="32"/>
              <w:bidi w:val="0"/>
            </w:pPr>
            <w:r>
              <w:t>0.9</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8</w:t>
            </w:r>
            <w:r>
              <w:t>.19</w:t>
            </w:r>
          </w:p>
        </w:tc>
        <w:tc>
          <w:tcPr>
            <w:tcW w:w="606" w:type="pct"/>
            <w:shd w:val="clear" w:color="auto" w:fill="auto"/>
            <w:noWrap/>
            <w:tcMar>
              <w:top w:w="15" w:type="dxa"/>
              <w:left w:w="15" w:type="dxa"/>
              <w:bottom w:w="0" w:type="dxa"/>
              <w:right w:w="15" w:type="dxa"/>
            </w:tcMar>
            <w:vAlign w:val="center"/>
          </w:tcPr>
          <w:p>
            <w:pPr>
              <w:pStyle w:val="32"/>
              <w:bidi w:val="0"/>
            </w:pPr>
            <w:r>
              <w:rPr>
                <w:rFonts w:hint="eastAsia"/>
              </w:rPr>
              <w:t>5</w:t>
            </w:r>
            <w:r>
              <w:t>0</w:t>
            </w:r>
          </w:p>
        </w:tc>
      </w:tr>
      <w:bookmarkEnd w:id="13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shd w:val="clear" w:color="auto" w:fill="auto"/>
            <w:tcMar>
              <w:top w:w="15" w:type="dxa"/>
              <w:left w:w="15" w:type="dxa"/>
              <w:bottom w:w="0" w:type="dxa"/>
              <w:right w:w="15" w:type="dxa"/>
            </w:tcMar>
            <w:vAlign w:val="center"/>
          </w:tcPr>
          <w:p>
            <w:pPr>
              <w:pStyle w:val="32"/>
              <w:bidi w:val="0"/>
            </w:pPr>
            <w:r>
              <w:rPr>
                <w:rFonts w:hint="eastAsia"/>
              </w:rPr>
              <w:t>一期工程</w:t>
            </w:r>
            <w:r>
              <w:t>铝灰分离系统</w:t>
            </w:r>
          </w:p>
        </w:tc>
        <w:tc>
          <w:tcPr>
            <w:tcW w:w="542" w:type="pct"/>
            <w:shd w:val="clear" w:color="auto" w:fill="auto"/>
            <w:tcMar>
              <w:top w:w="15" w:type="dxa"/>
              <w:left w:w="15" w:type="dxa"/>
              <w:bottom w:w="0" w:type="dxa"/>
              <w:right w:w="15" w:type="dxa"/>
            </w:tcMar>
            <w:vAlign w:val="center"/>
          </w:tcPr>
          <w:p>
            <w:pPr>
              <w:pStyle w:val="32"/>
              <w:bidi w:val="0"/>
            </w:pPr>
            <w:r>
              <w:rPr>
                <w:rFonts w:hint="eastAsia"/>
              </w:rPr>
              <w:t>颗粒物</w:t>
            </w:r>
          </w:p>
        </w:tc>
        <w:tc>
          <w:tcPr>
            <w:tcW w:w="533" w:type="pct"/>
            <w:shd w:val="clear" w:color="auto" w:fill="auto"/>
            <w:tcMar>
              <w:top w:w="15" w:type="dxa"/>
              <w:left w:w="15" w:type="dxa"/>
              <w:bottom w:w="0" w:type="dxa"/>
              <w:right w:w="15" w:type="dxa"/>
            </w:tcMar>
            <w:vAlign w:val="center"/>
          </w:tcPr>
          <w:p>
            <w:pPr>
              <w:pStyle w:val="32"/>
              <w:bidi w:val="0"/>
            </w:pPr>
            <w:r>
              <w:rPr>
                <w:rFonts w:hint="eastAsia"/>
              </w:rPr>
              <w:t>1046.25</w:t>
            </w:r>
          </w:p>
        </w:tc>
        <w:tc>
          <w:tcPr>
            <w:tcW w:w="791" w:type="pct"/>
            <w:shd w:val="clear" w:color="auto" w:fill="auto"/>
            <w:tcMar>
              <w:top w:w="15" w:type="dxa"/>
              <w:left w:w="15" w:type="dxa"/>
              <w:bottom w:w="0" w:type="dxa"/>
              <w:right w:w="15" w:type="dxa"/>
            </w:tcMar>
            <w:vAlign w:val="center"/>
          </w:tcPr>
          <w:p>
            <w:pPr>
              <w:pStyle w:val="32"/>
              <w:bidi w:val="0"/>
            </w:pPr>
            <w:r>
              <w:rPr>
                <w:rFonts w:hint="eastAsia"/>
              </w:rPr>
              <w:t>0.054</w:t>
            </w:r>
          </w:p>
        </w:tc>
        <w:tc>
          <w:tcPr>
            <w:tcW w:w="702" w:type="pct"/>
            <w:shd w:val="clear" w:color="auto" w:fill="auto"/>
            <w:tcMar>
              <w:top w:w="15" w:type="dxa"/>
              <w:left w:w="15" w:type="dxa"/>
              <w:bottom w:w="0" w:type="dxa"/>
              <w:right w:w="15" w:type="dxa"/>
            </w:tcMar>
            <w:vAlign w:val="center"/>
          </w:tcPr>
          <w:p>
            <w:pPr>
              <w:pStyle w:val="32"/>
              <w:bidi w:val="0"/>
            </w:pPr>
            <w:r>
              <w:t>0.9</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2</w:t>
            </w:r>
            <w:r>
              <w:t>.70</w:t>
            </w:r>
          </w:p>
        </w:tc>
        <w:tc>
          <w:tcPr>
            <w:tcW w:w="606" w:type="pct"/>
            <w:shd w:val="clear" w:color="auto" w:fill="auto"/>
            <w:noWrap/>
            <w:tcMar>
              <w:top w:w="15" w:type="dxa"/>
              <w:left w:w="15" w:type="dxa"/>
              <w:bottom w:w="0" w:type="dxa"/>
              <w:right w:w="15" w:type="dxa"/>
            </w:tcMar>
          </w:tcPr>
          <w:p>
            <w:pPr>
              <w:pStyle w:val="32"/>
              <w:bidi w:val="0"/>
            </w:pPr>
            <w:r>
              <w:rPr>
                <w:rFonts w:hint="eastAsia"/>
              </w:rPr>
              <w:t>5</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vMerge w:val="restart"/>
            <w:shd w:val="clear" w:color="auto" w:fill="auto"/>
            <w:tcMar>
              <w:top w:w="15" w:type="dxa"/>
              <w:left w:w="15" w:type="dxa"/>
              <w:bottom w:w="0" w:type="dxa"/>
              <w:right w:w="15" w:type="dxa"/>
            </w:tcMar>
            <w:vAlign w:val="center"/>
          </w:tcPr>
          <w:p>
            <w:pPr>
              <w:pStyle w:val="32"/>
              <w:bidi w:val="0"/>
            </w:pPr>
            <w:r>
              <w:rPr>
                <w:rFonts w:hint="eastAsia"/>
              </w:rPr>
              <w:t>二期工程熔保炉系统</w:t>
            </w:r>
          </w:p>
        </w:tc>
        <w:tc>
          <w:tcPr>
            <w:tcW w:w="542" w:type="pct"/>
            <w:shd w:val="clear" w:color="auto" w:fill="auto"/>
            <w:tcMar>
              <w:top w:w="15" w:type="dxa"/>
              <w:left w:w="15" w:type="dxa"/>
              <w:bottom w:w="0" w:type="dxa"/>
              <w:right w:w="15" w:type="dxa"/>
            </w:tcMar>
            <w:vAlign w:val="center"/>
          </w:tcPr>
          <w:p>
            <w:pPr>
              <w:pStyle w:val="32"/>
              <w:bidi w:val="0"/>
            </w:pPr>
            <w:r>
              <w:rPr>
                <w:rFonts w:hint="eastAsia"/>
              </w:rPr>
              <w:t>颗粒物</w:t>
            </w:r>
          </w:p>
        </w:tc>
        <w:tc>
          <w:tcPr>
            <w:tcW w:w="533" w:type="pct"/>
            <w:vMerge w:val="restart"/>
            <w:shd w:val="clear" w:color="auto" w:fill="auto"/>
            <w:tcMar>
              <w:top w:w="15" w:type="dxa"/>
              <w:left w:w="15" w:type="dxa"/>
              <w:bottom w:w="0" w:type="dxa"/>
              <w:right w:w="15" w:type="dxa"/>
            </w:tcMar>
            <w:vAlign w:val="center"/>
          </w:tcPr>
          <w:p>
            <w:pPr>
              <w:pStyle w:val="32"/>
              <w:bidi w:val="0"/>
            </w:pPr>
            <w:r>
              <w:rPr>
                <w:rFonts w:hint="eastAsia"/>
              </w:rPr>
              <w:t>8370</w:t>
            </w:r>
          </w:p>
        </w:tc>
        <w:tc>
          <w:tcPr>
            <w:tcW w:w="791" w:type="pct"/>
            <w:shd w:val="clear" w:color="auto" w:fill="auto"/>
            <w:tcMar>
              <w:top w:w="15" w:type="dxa"/>
              <w:left w:w="15" w:type="dxa"/>
              <w:bottom w:w="0" w:type="dxa"/>
              <w:right w:w="15" w:type="dxa"/>
            </w:tcMar>
            <w:vAlign w:val="center"/>
          </w:tcPr>
          <w:p>
            <w:pPr>
              <w:pStyle w:val="32"/>
              <w:bidi w:val="0"/>
            </w:pPr>
            <w:r>
              <w:rPr>
                <w:rFonts w:hint="eastAsia"/>
              </w:rPr>
              <w:t>0.07</w:t>
            </w:r>
          </w:p>
        </w:tc>
        <w:tc>
          <w:tcPr>
            <w:tcW w:w="702" w:type="pct"/>
            <w:shd w:val="clear" w:color="auto" w:fill="auto"/>
            <w:tcMar>
              <w:top w:w="15" w:type="dxa"/>
              <w:left w:w="15" w:type="dxa"/>
              <w:bottom w:w="0" w:type="dxa"/>
              <w:right w:w="15" w:type="dxa"/>
            </w:tcMar>
            <w:vAlign w:val="center"/>
          </w:tcPr>
          <w:p>
            <w:pPr>
              <w:pStyle w:val="32"/>
              <w:bidi w:val="0"/>
            </w:pPr>
            <w:r>
              <w:t>0.9</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1</w:t>
            </w:r>
            <w:r>
              <w:t>.07</w:t>
            </w:r>
          </w:p>
        </w:tc>
        <w:tc>
          <w:tcPr>
            <w:tcW w:w="606" w:type="pct"/>
            <w:shd w:val="clear" w:color="auto" w:fill="auto"/>
            <w:noWrap/>
            <w:tcMar>
              <w:top w:w="15" w:type="dxa"/>
              <w:left w:w="15" w:type="dxa"/>
              <w:bottom w:w="0" w:type="dxa"/>
              <w:right w:w="15" w:type="dxa"/>
            </w:tcMar>
          </w:tcPr>
          <w:p>
            <w:pPr>
              <w:pStyle w:val="32"/>
              <w:bidi w:val="0"/>
            </w:pPr>
            <w:r>
              <w:rPr>
                <w:rFonts w:hint="eastAsia"/>
              </w:rPr>
              <w:t>5</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vMerge w:val="continue"/>
            <w:shd w:val="clear" w:color="auto" w:fill="auto"/>
            <w:tcMar>
              <w:top w:w="15" w:type="dxa"/>
              <w:left w:w="15" w:type="dxa"/>
              <w:bottom w:w="0" w:type="dxa"/>
              <w:right w:w="15" w:type="dxa"/>
            </w:tcMar>
            <w:vAlign w:val="center"/>
          </w:tcPr>
          <w:p>
            <w:pPr>
              <w:pStyle w:val="32"/>
              <w:bidi w:val="0"/>
            </w:pPr>
          </w:p>
        </w:tc>
        <w:tc>
          <w:tcPr>
            <w:tcW w:w="542" w:type="pct"/>
            <w:shd w:val="clear" w:color="auto" w:fill="auto"/>
            <w:tcMar>
              <w:top w:w="15" w:type="dxa"/>
              <w:left w:w="15" w:type="dxa"/>
              <w:bottom w:w="0" w:type="dxa"/>
              <w:right w:w="15" w:type="dxa"/>
            </w:tcMar>
            <w:vAlign w:val="center"/>
          </w:tcPr>
          <w:p>
            <w:pPr>
              <w:pStyle w:val="32"/>
              <w:bidi w:val="0"/>
            </w:pPr>
            <w:r>
              <w:rPr>
                <w:rFonts w:hint="eastAsia"/>
              </w:rPr>
              <w:t>NO</w:t>
            </w:r>
            <w:r>
              <w:rPr>
                <w:rFonts w:hint="eastAsia"/>
                <w:vertAlign w:val="subscript"/>
              </w:rPr>
              <w:t>X</w:t>
            </w:r>
          </w:p>
        </w:tc>
        <w:tc>
          <w:tcPr>
            <w:tcW w:w="533" w:type="pct"/>
            <w:vMerge w:val="continue"/>
            <w:shd w:val="clear" w:color="auto" w:fill="auto"/>
            <w:tcMar>
              <w:top w:w="15" w:type="dxa"/>
              <w:left w:w="15" w:type="dxa"/>
              <w:bottom w:w="0" w:type="dxa"/>
              <w:right w:w="15" w:type="dxa"/>
            </w:tcMar>
            <w:vAlign w:val="center"/>
          </w:tcPr>
          <w:p>
            <w:pPr>
              <w:pStyle w:val="32"/>
              <w:bidi w:val="0"/>
            </w:pPr>
          </w:p>
        </w:tc>
        <w:tc>
          <w:tcPr>
            <w:tcW w:w="791" w:type="pct"/>
            <w:shd w:val="clear" w:color="auto" w:fill="auto"/>
            <w:tcMar>
              <w:top w:w="15" w:type="dxa"/>
              <w:left w:w="15" w:type="dxa"/>
              <w:bottom w:w="0" w:type="dxa"/>
              <w:right w:w="15" w:type="dxa"/>
            </w:tcMar>
            <w:vAlign w:val="center"/>
          </w:tcPr>
          <w:p>
            <w:pPr>
              <w:pStyle w:val="32"/>
              <w:bidi w:val="0"/>
            </w:pPr>
            <w:r>
              <w:rPr>
                <w:rFonts w:hint="eastAsia"/>
              </w:rPr>
              <w:t>0.0067</w:t>
            </w:r>
          </w:p>
        </w:tc>
        <w:tc>
          <w:tcPr>
            <w:tcW w:w="702" w:type="pct"/>
            <w:shd w:val="clear" w:color="auto" w:fill="auto"/>
            <w:tcMar>
              <w:top w:w="15" w:type="dxa"/>
              <w:left w:w="15" w:type="dxa"/>
              <w:bottom w:w="0" w:type="dxa"/>
              <w:right w:w="15" w:type="dxa"/>
            </w:tcMar>
            <w:vAlign w:val="center"/>
          </w:tcPr>
          <w:p>
            <w:pPr>
              <w:pStyle w:val="32"/>
              <w:bidi w:val="0"/>
            </w:pPr>
            <w:r>
              <w:rPr>
                <w:rFonts w:hint="eastAsia"/>
              </w:rPr>
              <w:t>0</w:t>
            </w:r>
            <w:r>
              <w:t>.25</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0</w:t>
            </w:r>
            <w:r>
              <w:t>.30</w:t>
            </w:r>
          </w:p>
        </w:tc>
        <w:tc>
          <w:tcPr>
            <w:tcW w:w="606" w:type="pct"/>
            <w:shd w:val="clear" w:color="auto" w:fill="auto"/>
            <w:noWrap/>
            <w:tcMar>
              <w:top w:w="15" w:type="dxa"/>
              <w:left w:w="15" w:type="dxa"/>
              <w:bottom w:w="0" w:type="dxa"/>
              <w:right w:w="15" w:type="dxa"/>
            </w:tcMar>
          </w:tcPr>
          <w:p>
            <w:pPr>
              <w:pStyle w:val="32"/>
              <w:bidi w:val="0"/>
            </w:pPr>
            <w:r>
              <w:rPr>
                <w:rFonts w:hint="eastAsia"/>
              </w:rPr>
              <w:t>5</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vMerge w:val="continue"/>
            <w:shd w:val="clear" w:color="auto" w:fill="auto"/>
            <w:tcMar>
              <w:top w:w="15" w:type="dxa"/>
              <w:left w:w="15" w:type="dxa"/>
              <w:bottom w:w="0" w:type="dxa"/>
              <w:right w:w="15" w:type="dxa"/>
            </w:tcMar>
            <w:vAlign w:val="center"/>
          </w:tcPr>
          <w:p>
            <w:pPr>
              <w:pStyle w:val="32"/>
              <w:bidi w:val="0"/>
            </w:pPr>
          </w:p>
        </w:tc>
        <w:tc>
          <w:tcPr>
            <w:tcW w:w="542" w:type="pct"/>
            <w:shd w:val="clear" w:color="auto" w:fill="auto"/>
            <w:tcMar>
              <w:top w:w="15" w:type="dxa"/>
              <w:left w:w="15" w:type="dxa"/>
              <w:bottom w:w="0" w:type="dxa"/>
              <w:right w:w="15" w:type="dxa"/>
            </w:tcMar>
            <w:vAlign w:val="center"/>
          </w:tcPr>
          <w:p>
            <w:pPr>
              <w:pStyle w:val="32"/>
              <w:bidi w:val="0"/>
            </w:pPr>
            <w:r>
              <w:rPr>
                <w:rFonts w:hint="eastAsia"/>
              </w:rPr>
              <w:t>SO</w:t>
            </w:r>
            <w:r>
              <w:rPr>
                <w:rFonts w:hint="eastAsia"/>
                <w:vertAlign w:val="subscript"/>
              </w:rPr>
              <w:t>2</w:t>
            </w:r>
          </w:p>
        </w:tc>
        <w:tc>
          <w:tcPr>
            <w:tcW w:w="533" w:type="pct"/>
            <w:vMerge w:val="continue"/>
            <w:shd w:val="clear" w:color="auto" w:fill="auto"/>
            <w:tcMar>
              <w:top w:w="15" w:type="dxa"/>
              <w:left w:w="15" w:type="dxa"/>
              <w:bottom w:w="0" w:type="dxa"/>
              <w:right w:w="15" w:type="dxa"/>
            </w:tcMar>
            <w:vAlign w:val="center"/>
          </w:tcPr>
          <w:p>
            <w:pPr>
              <w:pStyle w:val="32"/>
              <w:bidi w:val="0"/>
            </w:pPr>
          </w:p>
        </w:tc>
        <w:tc>
          <w:tcPr>
            <w:tcW w:w="791" w:type="pct"/>
            <w:shd w:val="clear" w:color="auto" w:fill="auto"/>
            <w:tcMar>
              <w:top w:w="15" w:type="dxa"/>
              <w:left w:w="15" w:type="dxa"/>
              <w:bottom w:w="0" w:type="dxa"/>
              <w:right w:w="15" w:type="dxa"/>
            </w:tcMar>
            <w:vAlign w:val="center"/>
          </w:tcPr>
          <w:p>
            <w:pPr>
              <w:pStyle w:val="32"/>
              <w:bidi w:val="0"/>
            </w:pPr>
            <w:r>
              <w:rPr>
                <w:rFonts w:hint="eastAsia"/>
              </w:rPr>
              <w:t>0.00057</w:t>
            </w:r>
          </w:p>
        </w:tc>
        <w:tc>
          <w:tcPr>
            <w:tcW w:w="702" w:type="pct"/>
            <w:shd w:val="clear" w:color="auto" w:fill="auto"/>
            <w:tcMar>
              <w:top w:w="15" w:type="dxa"/>
              <w:left w:w="15" w:type="dxa"/>
              <w:bottom w:w="0" w:type="dxa"/>
              <w:right w:w="15" w:type="dxa"/>
            </w:tcMar>
            <w:vAlign w:val="center"/>
          </w:tcPr>
          <w:p>
            <w:pPr>
              <w:pStyle w:val="32"/>
              <w:bidi w:val="0"/>
            </w:pPr>
            <w:r>
              <w:rPr>
                <w:rFonts w:hint="eastAsia"/>
              </w:rPr>
              <w:t>0</w:t>
            </w:r>
            <w:r>
              <w:t>.5</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0</w:t>
            </w:r>
            <w:r>
              <w:t>.01</w:t>
            </w:r>
          </w:p>
        </w:tc>
        <w:tc>
          <w:tcPr>
            <w:tcW w:w="606" w:type="pct"/>
            <w:shd w:val="clear" w:color="auto" w:fill="auto"/>
            <w:noWrap/>
            <w:tcMar>
              <w:top w:w="15" w:type="dxa"/>
              <w:left w:w="15" w:type="dxa"/>
              <w:bottom w:w="0" w:type="dxa"/>
              <w:right w:w="15" w:type="dxa"/>
            </w:tcMar>
          </w:tcPr>
          <w:p>
            <w:pPr>
              <w:pStyle w:val="32"/>
              <w:bidi w:val="0"/>
            </w:pPr>
            <w:r>
              <w:rPr>
                <w:rFonts w:hint="eastAsia"/>
              </w:rPr>
              <w:t>5</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60" w:type="pct"/>
            <w:shd w:val="clear" w:color="auto" w:fill="auto"/>
            <w:tcMar>
              <w:top w:w="15" w:type="dxa"/>
              <w:left w:w="15" w:type="dxa"/>
              <w:bottom w:w="0" w:type="dxa"/>
              <w:right w:w="15" w:type="dxa"/>
            </w:tcMar>
            <w:vAlign w:val="center"/>
          </w:tcPr>
          <w:p>
            <w:pPr>
              <w:pStyle w:val="32"/>
              <w:bidi w:val="0"/>
            </w:pPr>
            <w:r>
              <w:rPr>
                <w:rFonts w:hint="eastAsia"/>
              </w:rPr>
              <w:t>二期工程</w:t>
            </w:r>
            <w:r>
              <w:t>铝灰分离</w:t>
            </w:r>
            <w:r>
              <w:rPr>
                <w:rFonts w:hint="eastAsia"/>
              </w:rPr>
              <w:t>车间</w:t>
            </w:r>
          </w:p>
        </w:tc>
        <w:tc>
          <w:tcPr>
            <w:tcW w:w="542" w:type="pct"/>
            <w:shd w:val="clear" w:color="auto" w:fill="auto"/>
            <w:tcMar>
              <w:top w:w="15" w:type="dxa"/>
              <w:left w:w="15" w:type="dxa"/>
              <w:bottom w:w="0" w:type="dxa"/>
              <w:right w:w="15" w:type="dxa"/>
            </w:tcMar>
            <w:vAlign w:val="center"/>
          </w:tcPr>
          <w:p>
            <w:pPr>
              <w:pStyle w:val="32"/>
              <w:bidi w:val="0"/>
            </w:pPr>
            <w:r>
              <w:rPr>
                <w:rFonts w:hint="eastAsia"/>
              </w:rPr>
              <w:t>颗粒物</w:t>
            </w:r>
          </w:p>
        </w:tc>
        <w:tc>
          <w:tcPr>
            <w:tcW w:w="533" w:type="pct"/>
            <w:shd w:val="clear" w:color="auto" w:fill="auto"/>
            <w:tcMar>
              <w:top w:w="15" w:type="dxa"/>
              <w:left w:w="15" w:type="dxa"/>
              <w:bottom w:w="0" w:type="dxa"/>
              <w:right w:w="15" w:type="dxa"/>
            </w:tcMar>
            <w:vAlign w:val="center"/>
          </w:tcPr>
          <w:p>
            <w:pPr>
              <w:pStyle w:val="32"/>
              <w:bidi w:val="0"/>
            </w:pPr>
            <w:r>
              <w:rPr>
                <w:rFonts w:hint="eastAsia"/>
              </w:rPr>
              <w:t>495</w:t>
            </w:r>
          </w:p>
        </w:tc>
        <w:tc>
          <w:tcPr>
            <w:tcW w:w="791" w:type="pct"/>
            <w:shd w:val="clear" w:color="auto" w:fill="auto"/>
            <w:tcMar>
              <w:top w:w="15" w:type="dxa"/>
              <w:left w:w="15" w:type="dxa"/>
              <w:bottom w:w="0" w:type="dxa"/>
              <w:right w:w="15" w:type="dxa"/>
            </w:tcMar>
            <w:vAlign w:val="center"/>
          </w:tcPr>
          <w:p>
            <w:pPr>
              <w:pStyle w:val="32"/>
              <w:bidi w:val="0"/>
            </w:pPr>
            <w:r>
              <w:rPr>
                <w:rFonts w:hint="eastAsia"/>
              </w:rPr>
              <w:t>0.01</w:t>
            </w:r>
          </w:p>
        </w:tc>
        <w:tc>
          <w:tcPr>
            <w:tcW w:w="702" w:type="pct"/>
            <w:shd w:val="clear" w:color="auto" w:fill="auto"/>
            <w:tcMar>
              <w:top w:w="15" w:type="dxa"/>
              <w:left w:w="15" w:type="dxa"/>
              <w:bottom w:w="0" w:type="dxa"/>
              <w:right w:w="15" w:type="dxa"/>
            </w:tcMar>
            <w:vAlign w:val="center"/>
          </w:tcPr>
          <w:p>
            <w:pPr>
              <w:pStyle w:val="32"/>
              <w:bidi w:val="0"/>
            </w:pPr>
            <w:r>
              <w:t>0.9</w:t>
            </w:r>
          </w:p>
        </w:tc>
        <w:tc>
          <w:tcPr>
            <w:tcW w:w="566" w:type="pct"/>
            <w:shd w:val="clear" w:color="auto" w:fill="auto"/>
            <w:noWrap/>
            <w:tcMar>
              <w:top w:w="15" w:type="dxa"/>
              <w:left w:w="15" w:type="dxa"/>
              <w:bottom w:w="0" w:type="dxa"/>
              <w:right w:w="15" w:type="dxa"/>
            </w:tcMar>
            <w:vAlign w:val="center"/>
          </w:tcPr>
          <w:p>
            <w:pPr>
              <w:pStyle w:val="32"/>
              <w:bidi w:val="0"/>
            </w:pPr>
            <w:r>
              <w:rPr>
                <w:rFonts w:hint="eastAsia"/>
              </w:rPr>
              <w:t>0</w:t>
            </w:r>
            <w:r>
              <w:t>.57</w:t>
            </w:r>
          </w:p>
        </w:tc>
        <w:tc>
          <w:tcPr>
            <w:tcW w:w="606" w:type="pct"/>
            <w:shd w:val="clear" w:color="auto" w:fill="auto"/>
            <w:noWrap/>
            <w:tcMar>
              <w:top w:w="15" w:type="dxa"/>
              <w:left w:w="15" w:type="dxa"/>
              <w:bottom w:w="0" w:type="dxa"/>
              <w:right w:w="15" w:type="dxa"/>
            </w:tcMar>
          </w:tcPr>
          <w:p>
            <w:pPr>
              <w:pStyle w:val="32"/>
              <w:bidi w:val="0"/>
            </w:pPr>
            <w:r>
              <w:rPr>
                <w:rFonts w:hint="eastAsia"/>
              </w:rPr>
              <w:t>5</w:t>
            </w:r>
            <w:r>
              <w:t>0</w:t>
            </w:r>
          </w:p>
        </w:tc>
      </w:tr>
    </w:tbl>
    <w:p>
      <w:pPr>
        <w:pStyle w:val="7"/>
        <w:bidi w:val="0"/>
        <w:ind w:left="0" w:leftChars="0" w:firstLine="0" w:firstLineChars="0"/>
        <w:jc w:val="center"/>
        <w:rPr>
          <w:rFonts w:hint="eastAsia" w:eastAsia="宋体"/>
          <w:highlight w:val="none"/>
          <w:lang w:eastAsia="zh-CN"/>
        </w:rPr>
      </w:pPr>
    </w:p>
    <w:p>
      <w:pPr>
        <w:pStyle w:val="7"/>
        <w:bidi w:val="0"/>
        <w:ind w:left="0" w:leftChars="0" w:firstLine="0" w:firstLineChars="0"/>
        <w:jc w:val="center"/>
        <w:rPr>
          <w:rFonts w:hint="eastAsia" w:eastAsia="宋体"/>
          <w:highlight w:val="none"/>
          <w:lang w:eastAsia="zh-CN"/>
        </w:rPr>
      </w:pPr>
      <w:r>
        <w:rPr>
          <w:rFonts w:hint="eastAsia" w:eastAsia="宋体"/>
          <w:highlight w:val="none"/>
          <w:lang w:eastAsia="zh-CN"/>
        </w:rPr>
        <w:drawing>
          <wp:inline distT="0" distB="0" distL="114300" distR="114300">
            <wp:extent cx="4461510" cy="3280410"/>
            <wp:effectExtent l="0" t="0" r="15240" b="15240"/>
            <wp:docPr id="12" name="图片 12" descr="C:/Users/len/AppData/Local/Temp/picturecompress_202205231043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n/AppData/Local/Temp/picturecompress_20220523104312/output_1.jpgoutput_1"/>
                    <pic:cNvPicPr>
                      <a:picLocks noChangeAspect="1"/>
                    </pic:cNvPicPr>
                  </pic:nvPicPr>
                  <pic:blipFill>
                    <a:blip r:embed="rId75"/>
                    <a:stretch>
                      <a:fillRect/>
                    </a:stretch>
                  </pic:blipFill>
                  <pic:spPr>
                    <a:xfrm>
                      <a:off x="0" y="0"/>
                      <a:ext cx="4461510" cy="3280410"/>
                    </a:xfrm>
                    <a:prstGeom prst="rect">
                      <a:avLst/>
                    </a:prstGeom>
                  </pic:spPr>
                </pic:pic>
              </a:graphicData>
            </a:graphic>
          </wp:inline>
        </w:drawing>
      </w:r>
    </w:p>
    <w:p>
      <w:pPr>
        <w:pStyle w:val="44"/>
        <w:bidi w:val="0"/>
      </w:pPr>
      <w:r>
        <w:rPr>
          <w:rFonts w:hint="eastAsia"/>
        </w:rPr>
        <w:t>图</w:t>
      </w:r>
      <w:r>
        <w:rPr>
          <w:rFonts w:hint="eastAsia"/>
          <w:lang w:val="en-US" w:eastAsia="zh-CN"/>
        </w:rPr>
        <w:t xml:space="preserve">6.2-24  </w:t>
      </w:r>
      <w:r>
        <w:rPr>
          <w:rFonts w:hint="eastAsia"/>
        </w:rPr>
        <w:t>卫生防护距离包络线图</w:t>
      </w:r>
    </w:p>
    <w:p>
      <w:pPr>
        <w:pStyle w:val="7"/>
        <w:bidi w:val="0"/>
        <w:rPr>
          <w:rFonts w:hint="eastAsia"/>
          <w:highlight w:val="none"/>
        </w:rPr>
      </w:pPr>
      <w:r>
        <w:rPr>
          <w:highlight w:val="none"/>
        </w:rPr>
        <w:t>按表</w:t>
      </w:r>
      <w:r>
        <w:rPr>
          <w:rFonts w:hint="eastAsia"/>
          <w:highlight w:val="none"/>
          <w:lang w:val="en-US" w:eastAsia="zh-CN"/>
        </w:rPr>
        <w:t>6.2-54</w:t>
      </w:r>
      <w:r>
        <w:rPr>
          <w:highlight w:val="none"/>
        </w:rPr>
        <w:t>结果，</w:t>
      </w:r>
      <w:r>
        <w:rPr>
          <w:rFonts w:hint="eastAsia"/>
          <w:highlight w:val="none"/>
        </w:rPr>
        <w:t>根据标准要求“当企业某生产单元的无组织排放存在多种特征大气有害物质时，如果分别推导出的卫生防护距离初值在同一级别时，则该企业的卫生防护距离终值应提高一级；卫生防护距离初值不在同一级别的，以卫生防护距离终值较大者为准。”</w:t>
      </w:r>
      <w:bookmarkStart w:id="133" w:name="_Hlk93144089"/>
      <w:r>
        <w:rPr>
          <w:rFonts w:hint="eastAsia"/>
          <w:highlight w:val="none"/>
        </w:rPr>
        <w:t>本项目一期工程熔保炉系统、一期工程</w:t>
      </w:r>
      <w:r>
        <w:rPr>
          <w:highlight w:val="none"/>
        </w:rPr>
        <w:t>铝灰分离系统</w:t>
      </w:r>
      <w:r>
        <w:rPr>
          <w:rFonts w:hint="eastAsia"/>
          <w:highlight w:val="none"/>
        </w:rPr>
        <w:t>、二期工程</w:t>
      </w:r>
      <w:r>
        <w:rPr>
          <w:highlight w:val="none"/>
        </w:rPr>
        <w:t>铝灰分离</w:t>
      </w:r>
      <w:r>
        <w:rPr>
          <w:rFonts w:hint="eastAsia"/>
          <w:highlight w:val="none"/>
        </w:rPr>
        <w:t>车间需设置</w:t>
      </w:r>
      <w:r>
        <w:rPr>
          <w:highlight w:val="none"/>
        </w:rPr>
        <w:t>50</w:t>
      </w:r>
      <w:r>
        <w:rPr>
          <w:rFonts w:hint="eastAsia"/>
          <w:highlight w:val="none"/>
        </w:rPr>
        <w:t>米的卫生防护距离，二期工程熔保炉系统需设置</w:t>
      </w:r>
      <w:r>
        <w:rPr>
          <w:highlight w:val="none"/>
        </w:rPr>
        <w:t>10</w:t>
      </w:r>
      <w:r>
        <w:rPr>
          <w:rFonts w:hint="eastAsia"/>
          <w:highlight w:val="none"/>
        </w:rPr>
        <w:t>0米的卫生防护距离</w:t>
      </w:r>
      <w:bookmarkEnd w:id="133"/>
      <w:r>
        <w:rPr>
          <w:rFonts w:hint="eastAsia"/>
          <w:highlight w:val="none"/>
        </w:rPr>
        <w:t>，卫生防护距离范围内不适宜建设对环境空气质量要求较高的项目及居民点。</w:t>
      </w:r>
    </w:p>
    <w:p>
      <w:pPr>
        <w:pStyle w:val="7"/>
        <w:bidi w:val="0"/>
        <w:rPr>
          <w:rFonts w:hint="eastAsia"/>
          <w:highlight w:val="none"/>
        </w:rPr>
      </w:pPr>
      <w:r>
        <w:rPr>
          <w:rFonts w:hint="eastAsia"/>
          <w:highlight w:val="none"/>
        </w:rPr>
        <w:t>根据测量，项目北面、</w:t>
      </w:r>
      <w:r>
        <w:rPr>
          <w:rFonts w:hint="eastAsia"/>
          <w:highlight w:val="none"/>
          <w:lang w:val="en-US" w:eastAsia="zh-CN"/>
        </w:rPr>
        <w:t>西</w:t>
      </w:r>
      <w:r>
        <w:rPr>
          <w:rFonts w:hint="eastAsia"/>
          <w:highlight w:val="none"/>
        </w:rPr>
        <w:t>面的卫生防护距离均处于云南创格新材料科技有限公司厂界范围内；项目</w:t>
      </w:r>
      <w:r>
        <w:rPr>
          <w:rFonts w:hint="eastAsia"/>
          <w:highlight w:val="none"/>
          <w:lang w:val="en-US" w:eastAsia="zh-CN"/>
        </w:rPr>
        <w:t>东面</w:t>
      </w:r>
      <w:r>
        <w:rPr>
          <w:rFonts w:hint="eastAsia"/>
          <w:highlight w:val="none"/>
        </w:rPr>
        <w:t>的卫生防护距离超出厂界</w:t>
      </w:r>
      <w:r>
        <w:rPr>
          <w:rFonts w:hint="eastAsia"/>
          <w:highlight w:val="none"/>
          <w:lang w:val="en-US" w:eastAsia="zh-CN"/>
        </w:rPr>
        <w:t>90</w:t>
      </w:r>
      <w:r>
        <w:rPr>
          <w:rFonts w:hint="eastAsia"/>
          <w:highlight w:val="none"/>
        </w:rPr>
        <w:t>m，南面的卫生防护距离超出厂界</w:t>
      </w:r>
      <w:r>
        <w:rPr>
          <w:rFonts w:hint="eastAsia"/>
          <w:highlight w:val="none"/>
          <w:lang w:val="en-US" w:eastAsia="zh-CN"/>
        </w:rPr>
        <w:t>40</w:t>
      </w:r>
      <w:r>
        <w:rPr>
          <w:rFonts w:hint="eastAsia"/>
          <w:highlight w:val="none"/>
        </w:rPr>
        <w:t>m。</w:t>
      </w:r>
    </w:p>
    <w:p>
      <w:pPr>
        <w:pStyle w:val="7"/>
        <w:bidi w:val="0"/>
        <w:rPr>
          <w:rFonts w:hint="eastAsia"/>
          <w:highlight w:val="none"/>
        </w:rPr>
      </w:pPr>
      <w:r>
        <w:rPr>
          <w:rFonts w:hint="eastAsia"/>
          <w:highlight w:val="none"/>
        </w:rPr>
        <w:t>根据调查，项目周边最近敏感点为布标村，距离项目最近距离为9</w:t>
      </w:r>
      <w:r>
        <w:rPr>
          <w:rFonts w:hint="eastAsia"/>
          <w:highlight w:val="none"/>
          <w:lang w:val="en-US" w:eastAsia="zh-CN"/>
        </w:rPr>
        <w:t>5</w:t>
      </w:r>
      <w:r>
        <w:rPr>
          <w:rFonts w:hint="eastAsia"/>
          <w:highlight w:val="none"/>
        </w:rPr>
        <w:t>m，本项目卫生防护距离范围内无居民点等敏感点。</w:t>
      </w:r>
    </w:p>
    <w:p>
      <w:pPr>
        <w:pStyle w:val="8"/>
        <w:bidi w:val="0"/>
      </w:pPr>
      <w:r>
        <w:rPr>
          <w:rFonts w:hint="eastAsia"/>
        </w:rPr>
        <w:t>6.2.7结论</w:t>
      </w:r>
    </w:p>
    <w:p>
      <w:pPr>
        <w:pStyle w:val="7"/>
        <w:bidi w:val="0"/>
      </w:pPr>
      <w:r>
        <w:rPr>
          <w:rFonts w:hint="eastAsia"/>
          <w:lang w:val="en-US" w:eastAsia="zh-CN"/>
        </w:rPr>
        <w:t>1、</w:t>
      </w:r>
      <w:r>
        <w:t>正常排放情况下，</w:t>
      </w:r>
      <w:r>
        <w:rPr>
          <w:rFonts w:hint="eastAsia"/>
        </w:rPr>
        <w:t>所有</w:t>
      </w:r>
      <w:r>
        <w:t>环境空气保护目标</w:t>
      </w:r>
      <w:r>
        <w:rPr>
          <w:rFonts w:hint="eastAsia"/>
        </w:rPr>
        <w:t>N</w:t>
      </w:r>
      <w:r>
        <w:t>O</w:t>
      </w:r>
      <w:r>
        <w:rPr>
          <w:vertAlign w:val="subscript"/>
        </w:rPr>
        <w:t>2</w:t>
      </w:r>
      <w:r>
        <w:rPr>
          <w:rFonts w:hint="eastAsia"/>
        </w:rPr>
        <w:t>、</w:t>
      </w:r>
      <w:r>
        <w:t>SO</w:t>
      </w:r>
      <w:r>
        <w:rPr>
          <w:vertAlign w:val="subscript"/>
        </w:rPr>
        <w:t>2</w:t>
      </w:r>
      <w:r>
        <w:t>、</w:t>
      </w:r>
      <w:r>
        <w:rPr>
          <w:rFonts w:hint="eastAsia"/>
        </w:rPr>
        <w:t>TSP、</w:t>
      </w:r>
      <w:r>
        <w:t>PM10、PM</w:t>
      </w:r>
      <w:r>
        <w:rPr>
          <w:vertAlign w:val="subscript"/>
        </w:rPr>
        <w:t>2.5</w:t>
      </w:r>
      <w:r>
        <w:rPr>
          <w:rFonts w:hint="eastAsia"/>
        </w:rPr>
        <w:t>、氟化物、HCl、Cl</w:t>
      </w:r>
      <w:r>
        <w:rPr>
          <w:vertAlign w:val="subscript"/>
        </w:rPr>
        <w:t>2</w:t>
      </w:r>
      <w:r>
        <w:rPr>
          <w:rFonts w:hint="eastAsia"/>
        </w:rPr>
        <w:t>短期</w:t>
      </w:r>
      <w:r>
        <w:t>贡献值占标率均</w:t>
      </w:r>
      <w:r>
        <w:rPr>
          <w:rFonts w:hint="eastAsia"/>
        </w:rPr>
        <w:t>＜</w:t>
      </w:r>
      <w:r>
        <w:t>100%</w:t>
      </w:r>
      <w:r>
        <w:rPr>
          <w:rFonts w:hint="eastAsia"/>
        </w:rPr>
        <w:t>、一类区</w:t>
      </w:r>
      <w:r>
        <w:t>环境空气保护目标</w:t>
      </w:r>
      <w:r>
        <w:rPr>
          <w:rFonts w:hint="eastAsia"/>
        </w:rPr>
        <w:t>年均浓度贡献值</w:t>
      </w:r>
      <w:r>
        <w:t>占标率均</w:t>
      </w:r>
      <w:r>
        <w:rPr>
          <w:rFonts w:hint="eastAsia"/>
        </w:rPr>
        <w:t>＜10</w:t>
      </w:r>
      <w:r>
        <w:t>%</w:t>
      </w:r>
      <w:r>
        <w:rPr>
          <w:rFonts w:hint="eastAsia"/>
        </w:rPr>
        <w:t>、二类区</w:t>
      </w:r>
      <w:r>
        <w:t>环境空气保护目标</w:t>
      </w:r>
      <w:r>
        <w:rPr>
          <w:rFonts w:hint="eastAsia"/>
        </w:rPr>
        <w:t>年均浓度贡献值</w:t>
      </w:r>
      <w:r>
        <w:t>占标率均</w:t>
      </w:r>
      <w:r>
        <w:rPr>
          <w:rFonts w:hint="eastAsia"/>
        </w:rPr>
        <w:t>＜</w:t>
      </w:r>
      <w:r>
        <w:t>3</w:t>
      </w:r>
      <w:r>
        <w:rPr>
          <w:rFonts w:hint="eastAsia"/>
        </w:rPr>
        <w:t>0</w:t>
      </w:r>
      <w:r>
        <w:t>%</w:t>
      </w:r>
      <w:r>
        <w:rPr>
          <w:rFonts w:hint="eastAsia"/>
        </w:rPr>
        <w:t>；网格点N</w:t>
      </w:r>
      <w:r>
        <w:t>O</w:t>
      </w:r>
      <w:r>
        <w:rPr>
          <w:vertAlign w:val="subscript"/>
        </w:rPr>
        <w:t>2</w:t>
      </w:r>
      <w:r>
        <w:rPr>
          <w:rFonts w:hint="eastAsia"/>
        </w:rPr>
        <w:t>、</w:t>
      </w:r>
      <w:r>
        <w:t>SO</w:t>
      </w:r>
      <w:r>
        <w:rPr>
          <w:vertAlign w:val="subscript"/>
        </w:rPr>
        <w:t>2</w:t>
      </w:r>
      <w:r>
        <w:t>、</w:t>
      </w:r>
      <w:r>
        <w:rPr>
          <w:rFonts w:hint="eastAsia"/>
        </w:rPr>
        <w:t>TSP、</w:t>
      </w:r>
      <w:r>
        <w:t>PM</w:t>
      </w:r>
      <w:r>
        <w:rPr>
          <w:vertAlign w:val="subscript"/>
        </w:rPr>
        <w:t>10</w:t>
      </w:r>
      <w:r>
        <w:t>、PM</w:t>
      </w:r>
      <w:r>
        <w:rPr>
          <w:vertAlign w:val="subscript"/>
        </w:rPr>
        <w:t>2.5</w:t>
      </w:r>
      <w:r>
        <w:rPr>
          <w:rFonts w:hint="eastAsia"/>
        </w:rPr>
        <w:t>、氟化物、HCl、Cl</w:t>
      </w:r>
      <w:r>
        <w:rPr>
          <w:vertAlign w:val="subscript"/>
        </w:rPr>
        <w:t>2</w:t>
      </w:r>
      <w:r>
        <w:rPr>
          <w:rFonts w:hint="eastAsia"/>
        </w:rPr>
        <w:t>短期浓度</w:t>
      </w:r>
      <w:r>
        <w:t>贡献值占标率</w:t>
      </w:r>
      <w:r>
        <w:rPr>
          <w:rFonts w:hint="eastAsia"/>
        </w:rPr>
        <w:t>均＜</w:t>
      </w:r>
      <w:r>
        <w:t>100%</w:t>
      </w:r>
      <w:r>
        <w:rPr>
          <w:rFonts w:hint="eastAsia"/>
        </w:rPr>
        <w:t>，年均浓度在一类区网格点</w:t>
      </w:r>
      <w:r>
        <w:t>贡献值占标率</w:t>
      </w:r>
      <w:r>
        <w:rPr>
          <w:rFonts w:hint="eastAsia"/>
        </w:rPr>
        <w:t>均＜1</w:t>
      </w:r>
      <w:r>
        <w:t>0%</w:t>
      </w:r>
      <w:r>
        <w:rPr>
          <w:rFonts w:hint="eastAsia"/>
        </w:rPr>
        <w:t>、在二类区网格点</w:t>
      </w:r>
      <w:r>
        <w:t>贡献值占标率为</w:t>
      </w:r>
      <w:r>
        <w:rPr>
          <w:rFonts w:hint="eastAsia"/>
        </w:rPr>
        <w:t>＜3</w:t>
      </w:r>
      <w:r>
        <w:t>0%。</w:t>
      </w:r>
    </w:p>
    <w:p>
      <w:pPr>
        <w:pStyle w:val="7"/>
        <w:bidi w:val="0"/>
      </w:pPr>
      <w:r>
        <w:rPr>
          <w:rFonts w:hint="eastAsia"/>
          <w:lang w:val="en-US" w:eastAsia="zh-CN"/>
        </w:rPr>
        <w:t>2、</w:t>
      </w:r>
      <w:r>
        <w:t>正常排放情况下，叠加</w:t>
      </w:r>
      <w:r>
        <w:rPr>
          <w:rFonts w:hint="eastAsia"/>
        </w:rPr>
        <w:t>在建项目</w:t>
      </w:r>
      <w:r>
        <w:rPr>
          <w:rFonts w:hint="eastAsia"/>
          <w:lang w:val="en-US" w:eastAsia="zh-CN"/>
        </w:rPr>
        <w:t>及</w:t>
      </w:r>
      <w:r>
        <w:rPr>
          <w:rFonts w:hint="eastAsia"/>
        </w:rPr>
        <w:t>环境质量</w:t>
      </w:r>
      <w:r>
        <w:t>现状浓度后，</w:t>
      </w:r>
      <w:r>
        <w:rPr>
          <w:rFonts w:hint="eastAsia"/>
        </w:rPr>
        <w:t>N</w:t>
      </w:r>
      <w:r>
        <w:t>O</w:t>
      </w:r>
      <w:r>
        <w:rPr>
          <w:vertAlign w:val="subscript"/>
        </w:rPr>
        <w:t>2</w:t>
      </w:r>
      <w:r>
        <w:rPr>
          <w:rFonts w:hint="eastAsia"/>
        </w:rPr>
        <w:t>、</w:t>
      </w:r>
      <w:r>
        <w:t>SO</w:t>
      </w:r>
      <w:r>
        <w:rPr>
          <w:vertAlign w:val="subscript"/>
        </w:rPr>
        <w:t>2</w:t>
      </w:r>
      <w:r>
        <w:t>、</w:t>
      </w:r>
      <w:r>
        <w:rPr>
          <w:rFonts w:hint="eastAsia"/>
        </w:rPr>
        <w:t>TSP、</w:t>
      </w:r>
      <w:r>
        <w:t>PM</w:t>
      </w:r>
      <w:r>
        <w:rPr>
          <w:vertAlign w:val="subscript"/>
        </w:rPr>
        <w:t>10</w:t>
      </w:r>
      <w:r>
        <w:t>、PM</w:t>
      </w:r>
      <w:r>
        <w:rPr>
          <w:vertAlign w:val="subscript"/>
        </w:rPr>
        <w:t>2.5</w:t>
      </w:r>
      <w:r>
        <w:rPr>
          <w:rFonts w:hint="eastAsia"/>
        </w:rPr>
        <w:t>、氟化物、HCl、Cl</w:t>
      </w:r>
      <w:r>
        <w:rPr>
          <w:vertAlign w:val="subscript"/>
        </w:rPr>
        <w:t>2</w:t>
      </w:r>
      <w:r>
        <w:t>在所有环境空气保护目标</w:t>
      </w:r>
      <w:r>
        <w:rPr>
          <w:rFonts w:hint="eastAsia"/>
        </w:rPr>
        <w:t>和</w:t>
      </w:r>
      <w:r>
        <w:t>网格点</w:t>
      </w:r>
      <w:r>
        <w:rPr>
          <w:rFonts w:hint="eastAsia"/>
        </w:rPr>
        <w:t>的</w:t>
      </w:r>
      <w:r>
        <w:t>小时浓度预测值、日均</w:t>
      </w:r>
      <w:r>
        <w:rPr>
          <w:rFonts w:hint="eastAsia"/>
        </w:rPr>
        <w:t>（保证率）</w:t>
      </w:r>
      <w:r>
        <w:t>浓度预测值、年均浓度预测值均达到环境质量标准要求。</w:t>
      </w:r>
    </w:p>
    <w:p>
      <w:pPr>
        <w:pStyle w:val="7"/>
        <w:bidi w:val="0"/>
      </w:pPr>
      <w:r>
        <w:rPr>
          <w:rFonts w:hint="eastAsia"/>
          <w:lang w:val="en-US" w:eastAsia="zh-CN"/>
        </w:rPr>
        <w:t>3、</w:t>
      </w:r>
      <w:r>
        <w:rPr>
          <w:rFonts w:hint="eastAsia"/>
        </w:rPr>
        <w:t>非正常情况下，氟化物</w:t>
      </w:r>
      <w:r>
        <w:t>、HCl、Cl</w:t>
      </w:r>
      <w:r>
        <w:rPr>
          <w:vertAlign w:val="subscript"/>
        </w:rPr>
        <w:t>2</w:t>
      </w:r>
      <w:r>
        <w:t>小时浓度环境空气保护目标和网格点虽达标，但较正常排放贡献值占标率都大幅增加；TSP小时浓度环境空气保护目标达标，但网格点超标，所以非正常排放对环境影响较大，环评要求建设单位加强管理和设备维护，杜绝非正常排放发生。</w:t>
      </w:r>
    </w:p>
    <w:p>
      <w:pPr>
        <w:pStyle w:val="7"/>
        <w:bidi w:val="0"/>
      </w:pPr>
      <w:r>
        <w:rPr>
          <w:rFonts w:hint="eastAsia"/>
          <w:lang w:val="en-US" w:eastAsia="zh-CN"/>
        </w:rPr>
        <w:t>4、</w:t>
      </w:r>
      <w:r>
        <w:rPr>
          <w:rFonts w:hint="eastAsia"/>
        </w:rPr>
        <w:t>正常排放情况下，SO</w:t>
      </w:r>
      <w:r>
        <w:rPr>
          <w:rFonts w:hint="eastAsia"/>
          <w:vertAlign w:val="subscript"/>
        </w:rPr>
        <w:t>2</w:t>
      </w:r>
      <w:r>
        <w:rPr>
          <w:rFonts w:hint="eastAsia"/>
        </w:rPr>
        <w:t>、NOx、</w:t>
      </w:r>
      <w:r>
        <w:t>TSP</w:t>
      </w:r>
      <w:r>
        <w:rPr>
          <w:rFonts w:hint="eastAsia"/>
        </w:rPr>
        <w:t>、氟化物、HCl、Cl</w:t>
      </w:r>
      <w:r>
        <w:rPr>
          <w:vertAlign w:val="subscript"/>
        </w:rPr>
        <w:t>2</w:t>
      </w:r>
      <w:r>
        <w:rPr>
          <w:rFonts w:hint="eastAsia"/>
        </w:rPr>
        <w:t>在</w:t>
      </w:r>
      <w:r>
        <w:t>厂界各预测点浓度限值达到《大气污染物综合排放标准》（GB16297-1996）</w:t>
      </w:r>
      <w:r>
        <w:rPr>
          <w:rFonts w:hint="eastAsia"/>
        </w:rPr>
        <w:t>无组织排放</w:t>
      </w:r>
      <w:r>
        <w:t>要求。</w:t>
      </w:r>
    </w:p>
    <w:p>
      <w:pPr>
        <w:pStyle w:val="7"/>
        <w:bidi w:val="0"/>
      </w:pPr>
      <w:r>
        <w:rPr>
          <w:rFonts w:hint="eastAsia"/>
          <w:lang w:val="en-US" w:eastAsia="zh-CN"/>
        </w:rPr>
        <w:t>5、</w:t>
      </w:r>
      <w:r>
        <w:rPr>
          <w:rFonts w:hint="eastAsia"/>
        </w:rPr>
        <w:t>本项目一期工程熔保炉系统、一期工程</w:t>
      </w:r>
      <w:r>
        <w:t>铝灰分离系统</w:t>
      </w:r>
      <w:r>
        <w:rPr>
          <w:rFonts w:hint="eastAsia"/>
        </w:rPr>
        <w:t>、二期工程</w:t>
      </w:r>
      <w:r>
        <w:t>铝灰分离</w:t>
      </w:r>
      <w:r>
        <w:rPr>
          <w:rFonts w:hint="eastAsia"/>
        </w:rPr>
        <w:t>车间需设置</w:t>
      </w:r>
      <w:r>
        <w:t>50</w:t>
      </w:r>
      <w:r>
        <w:rPr>
          <w:rFonts w:hint="eastAsia"/>
        </w:rPr>
        <w:t>米的卫生防护距离，二期工程熔保炉系统需设置</w:t>
      </w:r>
      <w:r>
        <w:t>10</w:t>
      </w:r>
      <w:r>
        <w:rPr>
          <w:rFonts w:hint="eastAsia"/>
        </w:rPr>
        <w:t>0米的卫生防护距离，卫生防护距离范围内不适宜建设对环境空气质量要求较高的项目及居民点。</w:t>
      </w:r>
    </w:p>
    <w:p>
      <w:pPr>
        <w:spacing w:line="360" w:lineRule="auto"/>
        <w:ind w:firstLine="480" w:firstLineChars="200"/>
        <w:rPr>
          <w:color w:val="auto"/>
        </w:rPr>
      </w:pPr>
      <w:r>
        <w:rPr>
          <w:rFonts w:ascii="宋体" w:hAnsi="宋体"/>
          <w:color w:val="auto"/>
        </w:rPr>
        <w:t>综上，</w:t>
      </w:r>
      <w:r>
        <w:rPr>
          <w:rFonts w:hint="eastAsia" w:ascii="宋体" w:hAnsi="宋体"/>
          <w:color w:val="auto"/>
        </w:rPr>
        <w:t>本项目排放的大气污染物对环境的影响可以接受，</w:t>
      </w:r>
      <w:r>
        <w:rPr>
          <w:rFonts w:ascii="宋体" w:hAnsi="宋体"/>
          <w:color w:val="auto"/>
        </w:rPr>
        <w:t>符合导则的要求。</w:t>
      </w:r>
    </w:p>
    <w:p>
      <w:pPr>
        <w:pStyle w:val="5"/>
      </w:pPr>
      <w:bookmarkStart w:id="134" w:name="_Toc3623"/>
      <w:r>
        <w:rPr>
          <w:rFonts w:hint="eastAsia"/>
        </w:rPr>
        <w:t>6.3运行期地表水环境质量影响评价</w:t>
      </w:r>
      <w:bookmarkEnd w:id="134"/>
    </w:p>
    <w:p>
      <w:pPr>
        <w:pStyle w:val="8"/>
      </w:pPr>
      <w:r>
        <w:rPr>
          <w:rFonts w:hint="eastAsia"/>
        </w:rPr>
        <w:t>6.3.1全厂废水产排情况</w:t>
      </w:r>
    </w:p>
    <w:p>
      <w:pPr>
        <w:pStyle w:val="7"/>
        <w:ind w:firstLine="480"/>
      </w:pPr>
      <w:r>
        <w:rPr>
          <w:rFonts w:hint="eastAsia"/>
        </w:rPr>
        <w:t>本项目生产过程中废水主要为冷却循环系统定期排水、初期雨水及员工生活污水等。</w:t>
      </w:r>
    </w:p>
    <w:p>
      <w:pPr>
        <w:pStyle w:val="7"/>
        <w:ind w:firstLine="482"/>
        <w:rPr>
          <w:b/>
          <w:bCs/>
        </w:rPr>
      </w:pPr>
      <w:r>
        <w:rPr>
          <w:rFonts w:hint="eastAsia"/>
          <w:b/>
          <w:bCs/>
        </w:rPr>
        <w:t>1、循环冷却系统定期排水</w:t>
      </w:r>
    </w:p>
    <w:p>
      <w:pPr>
        <w:pStyle w:val="7"/>
        <w:ind w:firstLine="480"/>
      </w:pPr>
      <w:r>
        <w:rPr>
          <w:rFonts w:hint="eastAsia"/>
        </w:rPr>
        <w:t>一期工程圆铸锭循环冷却系统定期排水量为800m</w:t>
      </w:r>
      <w:r>
        <w:rPr>
          <w:rFonts w:hint="eastAsia"/>
          <w:vertAlign w:val="superscript"/>
        </w:rPr>
        <w:t>3</w:t>
      </w:r>
      <w:r>
        <w:rPr>
          <w:rFonts w:hint="eastAsia"/>
        </w:rPr>
        <w:t>/a，因此部分废水主要污染物为COD、SS等，主要污染物浓度为C</w:t>
      </w:r>
      <w:r>
        <w:t>OD 10</w:t>
      </w:r>
      <w:r>
        <w:rPr>
          <w:rFonts w:hint="eastAsia"/>
        </w:rPr>
        <w:t>mg/</w:t>
      </w:r>
      <w:r>
        <w:t>L</w:t>
      </w:r>
      <w:r>
        <w:rPr>
          <w:rFonts w:hint="eastAsia"/>
        </w:rPr>
        <w:t>，S</w:t>
      </w:r>
      <w:r>
        <w:t>S5</w:t>
      </w:r>
      <w:r>
        <w:rPr>
          <w:rFonts w:hint="eastAsia"/>
        </w:rPr>
        <w:t>mg/</w:t>
      </w:r>
      <w:r>
        <w:t>L</w:t>
      </w:r>
      <w:r>
        <w:rPr>
          <w:rFonts w:hint="eastAsia"/>
        </w:rPr>
        <w:t>，污染程度较轻，经收集后通过市政污水管网进入砚山县第一污水处理厂进行处理。板锭循环冷却系统定期排水量为800m</w:t>
      </w:r>
      <w:r>
        <w:rPr>
          <w:rFonts w:hint="eastAsia"/>
          <w:vertAlign w:val="superscript"/>
        </w:rPr>
        <w:t>3</w:t>
      </w:r>
      <w:r>
        <w:rPr>
          <w:rFonts w:hint="eastAsia"/>
        </w:rPr>
        <w:t>/a，为含油废水，需经自建污水处理站处理后达标后通过市政污水管网进入砚山县第一污水处理厂进行处理。</w:t>
      </w:r>
    </w:p>
    <w:p>
      <w:pPr>
        <w:pStyle w:val="7"/>
        <w:ind w:firstLine="480"/>
      </w:pPr>
      <w:r>
        <w:rPr>
          <w:rFonts w:hint="eastAsia"/>
        </w:rPr>
        <w:t>二期工程铸轧板环冷却系统定期排水量为250m</w:t>
      </w:r>
      <w:r>
        <w:rPr>
          <w:rFonts w:hint="eastAsia"/>
          <w:vertAlign w:val="superscript"/>
        </w:rPr>
        <w:t>3</w:t>
      </w:r>
      <w:r>
        <w:rPr>
          <w:rFonts w:hint="eastAsia"/>
        </w:rPr>
        <w:t>/a，因此部分废水主要污染物为COD、SS等，主要污染物浓度为C</w:t>
      </w:r>
      <w:r>
        <w:t>OD 10</w:t>
      </w:r>
      <w:r>
        <w:rPr>
          <w:rFonts w:hint="eastAsia"/>
        </w:rPr>
        <w:t>mg/</w:t>
      </w:r>
      <w:r>
        <w:t>L</w:t>
      </w:r>
      <w:r>
        <w:rPr>
          <w:rFonts w:hint="eastAsia"/>
        </w:rPr>
        <w:t>，S</w:t>
      </w:r>
      <w:r>
        <w:t>S5</w:t>
      </w:r>
      <w:r>
        <w:rPr>
          <w:rFonts w:hint="eastAsia"/>
        </w:rPr>
        <w:t>mg/</w:t>
      </w:r>
      <w:r>
        <w:t>L</w:t>
      </w:r>
      <w:r>
        <w:rPr>
          <w:rFonts w:hint="eastAsia"/>
        </w:rPr>
        <w:t>，污染程度较轻，经收集后后通过市政污水管网进入砚山县第一污水处理厂进行处理。</w:t>
      </w:r>
    </w:p>
    <w:p>
      <w:pPr>
        <w:pStyle w:val="7"/>
        <w:ind w:firstLine="482"/>
        <w:rPr>
          <w:b/>
          <w:bCs/>
        </w:rPr>
      </w:pPr>
      <w:r>
        <w:rPr>
          <w:rFonts w:hint="eastAsia"/>
          <w:b/>
          <w:bCs/>
        </w:rPr>
        <w:t>2、生活污水</w:t>
      </w:r>
    </w:p>
    <w:p>
      <w:pPr>
        <w:pStyle w:val="7"/>
        <w:ind w:firstLine="480"/>
        <w:rPr>
          <w:bCs/>
          <w:kern w:val="0"/>
        </w:rPr>
      </w:pPr>
      <w:r>
        <w:rPr>
          <w:rFonts w:hint="eastAsia"/>
        </w:rPr>
        <w:t>项目一期工程</w:t>
      </w:r>
      <w:r>
        <w:rPr>
          <w:rFonts w:hint="eastAsia"/>
          <w:kern w:val="0"/>
        </w:rPr>
        <w:t>生活污水总产生量为9.6</w:t>
      </w:r>
      <w:r>
        <w:rPr>
          <w:kern w:val="0"/>
        </w:rPr>
        <w:t>m</w:t>
      </w:r>
      <w:r>
        <w:rPr>
          <w:kern w:val="0"/>
          <w:vertAlign w:val="superscript"/>
        </w:rPr>
        <w:t>3</w:t>
      </w:r>
      <w:r>
        <w:rPr>
          <w:kern w:val="0"/>
        </w:rPr>
        <w:t>/d</w:t>
      </w:r>
      <w:r>
        <w:rPr>
          <w:rFonts w:hint="eastAsia"/>
          <w:kern w:val="0"/>
        </w:rPr>
        <w:t>、3168</w:t>
      </w:r>
      <w:r>
        <w:rPr>
          <w:kern w:val="0"/>
        </w:rPr>
        <w:t>m</w:t>
      </w:r>
      <w:r>
        <w:rPr>
          <w:kern w:val="0"/>
          <w:vertAlign w:val="superscript"/>
        </w:rPr>
        <w:t>3</w:t>
      </w:r>
      <w:r>
        <w:rPr>
          <w:rFonts w:hint="eastAsia"/>
          <w:kern w:val="0"/>
        </w:rPr>
        <w:t>/a，</w:t>
      </w:r>
      <w:r>
        <w:rPr>
          <w:rFonts w:hint="eastAsia"/>
        </w:rPr>
        <w:t>二期工程</w:t>
      </w:r>
      <w:r>
        <w:rPr>
          <w:rFonts w:hint="eastAsia"/>
          <w:kern w:val="0"/>
        </w:rPr>
        <w:t>生活污水总产生量为4.8</w:t>
      </w:r>
      <w:r>
        <w:rPr>
          <w:kern w:val="0"/>
        </w:rPr>
        <w:t>m</w:t>
      </w:r>
      <w:r>
        <w:rPr>
          <w:kern w:val="0"/>
          <w:vertAlign w:val="superscript"/>
        </w:rPr>
        <w:t>3</w:t>
      </w:r>
      <w:r>
        <w:rPr>
          <w:kern w:val="0"/>
        </w:rPr>
        <w:t>/d</w:t>
      </w:r>
      <w:r>
        <w:rPr>
          <w:rFonts w:hint="eastAsia"/>
          <w:kern w:val="0"/>
        </w:rPr>
        <w:t>、1584</w:t>
      </w:r>
      <w:r>
        <w:rPr>
          <w:kern w:val="0"/>
        </w:rPr>
        <w:t>m</w:t>
      </w:r>
      <w:r>
        <w:rPr>
          <w:kern w:val="0"/>
          <w:vertAlign w:val="superscript"/>
        </w:rPr>
        <w:t>3</w:t>
      </w:r>
      <w:r>
        <w:rPr>
          <w:rFonts w:hint="eastAsia"/>
          <w:kern w:val="0"/>
        </w:rPr>
        <w:t>/a。一二期工程共用综合楼及倒班宿舍，项目建设</w:t>
      </w:r>
      <w:r>
        <w:rPr>
          <w:bCs/>
          <w:kern w:val="0"/>
        </w:rPr>
        <w:t>化粪池</w:t>
      </w:r>
      <w:r>
        <w:rPr>
          <w:rFonts w:hint="eastAsia"/>
          <w:bCs/>
          <w:kern w:val="0"/>
        </w:rPr>
        <w:t>1座，</w:t>
      </w:r>
      <w:r>
        <w:rPr>
          <w:bCs/>
          <w:kern w:val="0"/>
        </w:rPr>
        <w:t>容积为</w:t>
      </w:r>
      <w:r>
        <w:rPr>
          <w:rFonts w:hint="eastAsia"/>
          <w:bCs/>
          <w:kern w:val="0"/>
        </w:rPr>
        <w:t>15</w:t>
      </w:r>
      <w:r>
        <w:rPr>
          <w:bCs/>
          <w:kern w:val="0"/>
        </w:rPr>
        <w:t>m</w:t>
      </w:r>
      <w:r>
        <w:rPr>
          <w:bCs/>
          <w:kern w:val="0"/>
          <w:vertAlign w:val="superscript"/>
        </w:rPr>
        <w:t>3</w:t>
      </w:r>
      <w:r>
        <w:rPr>
          <w:bCs/>
          <w:kern w:val="0"/>
        </w:rPr>
        <w:t>，隔油池</w:t>
      </w:r>
      <w:r>
        <w:rPr>
          <w:rFonts w:hint="eastAsia"/>
          <w:bCs/>
          <w:kern w:val="0"/>
        </w:rPr>
        <w:t>1座</w:t>
      </w:r>
      <w:r>
        <w:rPr>
          <w:bCs/>
          <w:kern w:val="0"/>
        </w:rPr>
        <w:t>容积为</w:t>
      </w:r>
      <w:r>
        <w:rPr>
          <w:rFonts w:hint="eastAsia"/>
          <w:bCs/>
          <w:kern w:val="0"/>
        </w:rPr>
        <w:t>3</w:t>
      </w:r>
      <w:r>
        <w:rPr>
          <w:bCs/>
          <w:kern w:val="0"/>
        </w:rPr>
        <w:t>m</w:t>
      </w:r>
      <w:r>
        <w:rPr>
          <w:bCs/>
          <w:kern w:val="0"/>
          <w:vertAlign w:val="superscript"/>
        </w:rPr>
        <w:t>3</w:t>
      </w:r>
      <w:r>
        <w:rPr>
          <w:bCs/>
          <w:kern w:val="0"/>
        </w:rPr>
        <w:t>。</w:t>
      </w:r>
      <w:r>
        <w:rPr>
          <w:kern w:val="0"/>
        </w:rPr>
        <w:t>生活污水经过化粪池收集预处理、食堂废水经过隔油池处理</w:t>
      </w:r>
      <w:r>
        <w:rPr>
          <w:rFonts w:hint="eastAsia"/>
          <w:kern w:val="0"/>
        </w:rPr>
        <w:t>达到</w:t>
      </w:r>
      <w:r>
        <w:rPr>
          <w:rFonts w:hint="eastAsia"/>
        </w:rPr>
        <w:t>《污水排入城镇下水道水质标准》（GB/T31962-2015）表1中A等级标准</w:t>
      </w:r>
      <w:r>
        <w:rPr>
          <w:rFonts w:hint="eastAsia"/>
          <w:kern w:val="0"/>
        </w:rPr>
        <w:t>后</w:t>
      </w:r>
      <w:r>
        <w:rPr>
          <w:rFonts w:hint="eastAsia"/>
        </w:rPr>
        <w:t>通过市政污水管网进入砚山县第一污水处理厂进行处理</w:t>
      </w:r>
      <w:r>
        <w:rPr>
          <w:rFonts w:hint="eastAsia"/>
          <w:bCs/>
          <w:kern w:val="0"/>
        </w:rPr>
        <w:t>。</w:t>
      </w:r>
    </w:p>
    <w:p>
      <w:pPr>
        <w:pStyle w:val="7"/>
        <w:ind w:firstLine="482"/>
        <w:rPr>
          <w:b/>
          <w:bCs/>
        </w:rPr>
      </w:pPr>
      <w:r>
        <w:rPr>
          <w:rFonts w:hint="eastAsia"/>
          <w:b/>
          <w:bCs/>
        </w:rPr>
        <w:t>3、</w:t>
      </w:r>
      <w:r>
        <w:rPr>
          <w:b/>
          <w:bCs/>
        </w:rPr>
        <w:t>初期雨水</w:t>
      </w:r>
    </w:p>
    <w:p>
      <w:pPr>
        <w:pStyle w:val="7"/>
        <w:ind w:firstLine="480"/>
      </w:pPr>
      <w:r>
        <w:rPr>
          <w:rFonts w:hint="eastAsia"/>
        </w:rPr>
        <w:t>项目一期工程</w:t>
      </w:r>
      <w:r>
        <w:t>初期雨水量为</w:t>
      </w:r>
      <w:r>
        <w:rPr>
          <w:rFonts w:hint="eastAsia"/>
        </w:rPr>
        <w:t>528.99</w:t>
      </w:r>
      <w:r>
        <w:t>m</w:t>
      </w:r>
      <w:r>
        <w:rPr>
          <w:vertAlign w:val="superscript"/>
        </w:rPr>
        <w:t>3</w:t>
      </w:r>
      <w:r>
        <w:rPr>
          <w:rFonts w:hint="eastAsia"/>
        </w:rPr>
        <w:t>/次、26449.5</w:t>
      </w:r>
      <w:r>
        <w:t>m</w:t>
      </w:r>
      <w:r>
        <w:rPr>
          <w:vertAlign w:val="superscript"/>
        </w:rPr>
        <w:t>3</w:t>
      </w:r>
      <w:r>
        <w:rPr>
          <w:rFonts w:hint="eastAsia"/>
        </w:rPr>
        <w:t>/a，一期工程</w:t>
      </w:r>
      <w:r>
        <w:t>初期雨水收集池容积为</w:t>
      </w:r>
      <w:r>
        <w:rPr>
          <w:rFonts w:hint="eastAsia"/>
        </w:rPr>
        <w:t>640</w:t>
      </w:r>
      <w:r>
        <w:t>m</w:t>
      </w:r>
      <w:r>
        <w:rPr>
          <w:vertAlign w:val="superscript"/>
        </w:rPr>
        <w:t>3</w:t>
      </w:r>
      <w:r>
        <w:t>。</w:t>
      </w:r>
      <w:r>
        <w:rPr>
          <w:rFonts w:hint="eastAsia"/>
        </w:rPr>
        <w:t>二期工程</w:t>
      </w:r>
      <w:r>
        <w:t>初期雨水量为</w:t>
      </w:r>
      <w:r>
        <w:rPr>
          <w:rFonts w:hint="eastAsia"/>
        </w:rPr>
        <w:t>88.65</w:t>
      </w:r>
      <w:r>
        <w:t>m</w:t>
      </w:r>
      <w:r>
        <w:rPr>
          <w:vertAlign w:val="superscript"/>
        </w:rPr>
        <w:t>3</w:t>
      </w:r>
      <w:r>
        <w:rPr>
          <w:rFonts w:hint="eastAsia"/>
        </w:rPr>
        <w:t>/次、4432.5</w:t>
      </w:r>
      <w:r>
        <w:t>m</w:t>
      </w:r>
      <w:r>
        <w:rPr>
          <w:vertAlign w:val="superscript"/>
        </w:rPr>
        <w:t>3</w:t>
      </w:r>
      <w:r>
        <w:rPr>
          <w:rFonts w:hint="eastAsia"/>
        </w:rPr>
        <w:t>/a，二期工程</w:t>
      </w:r>
      <w:r>
        <w:t>初期雨水收集池容积为</w:t>
      </w:r>
      <w:r>
        <w:rPr>
          <w:rFonts w:hint="eastAsia"/>
        </w:rPr>
        <w:t>110</w:t>
      </w:r>
      <w:r>
        <w:t>m</w:t>
      </w:r>
      <w:r>
        <w:rPr>
          <w:vertAlign w:val="superscript"/>
        </w:rPr>
        <w:t>3</w:t>
      </w:r>
      <w:r>
        <w:t>。</w:t>
      </w:r>
    </w:p>
    <w:p>
      <w:pPr>
        <w:pStyle w:val="7"/>
        <w:ind w:firstLine="480"/>
      </w:pPr>
      <w:r>
        <w:rPr>
          <w:rFonts w:hint="eastAsia"/>
        </w:rPr>
        <w:t>初期雨水污染的主要原因为项目废气中的污染物沉降到地面上、厂区路面灰尘、油污等，初期雨水污染物浓度受空气质量、前期降雨情况、下垫面类型和清洁程度等因素影响，变化范围大，存在着不确定性。</w:t>
      </w:r>
    </w:p>
    <w:p>
      <w:pPr>
        <w:pStyle w:val="7"/>
        <w:ind w:firstLine="480"/>
      </w:pPr>
      <w:r>
        <w:t>收集的初期雨水进入厂区初期雨水收集池，经</w:t>
      </w:r>
      <w:r>
        <w:rPr>
          <w:rFonts w:hint="eastAsia"/>
        </w:rPr>
        <w:t>沉淀</w:t>
      </w:r>
      <w:r>
        <w:t>处理</w:t>
      </w:r>
      <w:r>
        <w:rPr>
          <w:rFonts w:hint="eastAsia"/>
        </w:rPr>
        <w:t>后</w:t>
      </w:r>
      <w:r>
        <w:t>，</w:t>
      </w:r>
      <w:r>
        <w:rPr>
          <w:rFonts w:hint="eastAsia"/>
        </w:rPr>
        <w:t>用作晴天厂区绿化及道路清扫，剩余部分用于冷却循环补充水，不外排</w:t>
      </w:r>
      <w:r>
        <w:t>。</w:t>
      </w:r>
    </w:p>
    <w:p>
      <w:pPr>
        <w:pStyle w:val="8"/>
      </w:pPr>
      <w:r>
        <w:rPr>
          <w:rFonts w:hint="eastAsia"/>
        </w:rPr>
        <w:t>6.3.2废水处置情况</w:t>
      </w:r>
    </w:p>
    <w:p>
      <w:pPr>
        <w:pStyle w:val="7"/>
        <w:ind w:firstLine="482"/>
        <w:rPr>
          <w:b/>
          <w:bCs/>
        </w:rPr>
      </w:pPr>
      <w:r>
        <w:rPr>
          <w:rFonts w:hint="eastAsia"/>
          <w:b/>
          <w:bCs/>
        </w:rPr>
        <w:t>1、雨污分流、清污分流</w:t>
      </w:r>
    </w:p>
    <w:p>
      <w:pPr>
        <w:pStyle w:val="7"/>
        <w:ind w:firstLine="480"/>
      </w:pPr>
      <w:r>
        <w:rPr>
          <w:rFonts w:hint="eastAsia"/>
        </w:rPr>
        <w:t>本项目废水严格实行清污分流和雨污分流制。分别设置生产废水收集管网、生活污水收集管网和雨水管网，并对初期雨水进行收集处理。</w:t>
      </w:r>
    </w:p>
    <w:p>
      <w:pPr>
        <w:pStyle w:val="7"/>
        <w:ind w:firstLine="482"/>
        <w:rPr>
          <w:b/>
          <w:bCs/>
        </w:rPr>
      </w:pPr>
      <w:r>
        <w:rPr>
          <w:rFonts w:hint="eastAsia"/>
          <w:b/>
          <w:bCs/>
        </w:rPr>
        <w:t>2、板锭循环水定期排水处理工艺</w:t>
      </w:r>
    </w:p>
    <w:p>
      <w:pPr>
        <w:pStyle w:val="7"/>
        <w:bidi w:val="0"/>
      </w:pPr>
      <w:r>
        <w:rPr>
          <w:rFonts w:hint="eastAsia"/>
        </w:rPr>
        <w:t>项目铝合金板锭生产过程中不需要对设备进行冷却，主要的冷却对象为板锭，故只涉及浊循环。本项目板锭铸造方式选用铝制油润滑结晶器，为了防止铸锭与铝制结晶器粘连导致板锭表面有划痕或者裂纹，需要在结晶器表面涂抹润滑油，冷却水冲刷板锭表面时，润滑油混入冷却水中，会导致</w:t>
      </w:r>
      <w:r>
        <w:t>冷却水含油量持续增加</w:t>
      </w:r>
      <w:r>
        <w:rPr>
          <w:rFonts w:hint="eastAsia"/>
        </w:rPr>
        <w:t>；故本项目圆铸锭生产线、板锭生产线分别设置循环水系统。板锭循环水系统定期排水经自建污水处理站处理达《污水综合排放标准》（G</w:t>
      </w:r>
      <w:r>
        <w:t>B</w:t>
      </w:r>
      <w:r>
        <w:rPr>
          <w:rFonts w:hint="eastAsia"/>
        </w:rPr>
        <w:t>8978-1996）中的一级排放标准后通过市政污水管网进入砚山县第一污水处理厂进行处理。</w:t>
      </w:r>
    </w:p>
    <w:p>
      <w:pPr>
        <w:pStyle w:val="7"/>
        <w:ind w:firstLine="480"/>
        <w:rPr>
          <w:rFonts w:hint="eastAsia"/>
          <w:snapToGrid w:val="0"/>
        </w:rPr>
      </w:pPr>
      <w:r>
        <w:rPr>
          <w:rFonts w:hint="eastAsia"/>
        </w:rPr>
        <w:t>拟建项目建设1座1m</w:t>
      </w:r>
      <w:r>
        <w:rPr>
          <w:rFonts w:hint="eastAsia"/>
          <w:vertAlign w:val="superscript"/>
        </w:rPr>
        <w:t>3</w:t>
      </w:r>
      <w:r>
        <w:rPr>
          <w:rFonts w:hint="eastAsia"/>
        </w:rPr>
        <w:t>/h污水处理站对板锭循环水系统定期排污水进行处理。处理工艺为“混凝沉淀+两级气浮”，包括含油废水调节池、混凝反应槽、沉淀槽、一级气浮、二级气浮、综合调节池等组成。</w:t>
      </w:r>
      <w:r>
        <w:rPr>
          <w:rFonts w:hint="eastAsia"/>
          <w:snapToGrid w:val="0"/>
        </w:rPr>
        <w:t>污水处理站处理工艺见下图7.2-</w:t>
      </w:r>
      <w:r>
        <w:rPr>
          <w:snapToGrid w:val="0"/>
        </w:rPr>
        <w:t>1</w:t>
      </w:r>
      <w:r>
        <w:rPr>
          <w:rFonts w:hint="eastAsia"/>
          <w:snapToGrid w:val="0"/>
        </w:rPr>
        <w:t>。</w:t>
      </w:r>
    </w:p>
    <w:p>
      <w:pPr>
        <w:pStyle w:val="7"/>
        <w:ind w:firstLine="480"/>
        <w:rPr>
          <w:lang w:val="zh-CN"/>
        </w:rPr>
      </w:pPr>
      <w:r>
        <w:rPr>
          <w:rFonts w:hint="eastAsia"/>
        </w:rPr>
        <w:t>气浮法除油，其原理是在含油废水中引入气体，使水中的乳化油粒粘附在所产生的细微气泡上，随气泡一起上浮到水面，形成浮渣，从而回收水中的废油。气浮法效果较好，工艺成熟。项目采用两级气浮，</w:t>
      </w:r>
      <w:r>
        <w:rPr>
          <w:rFonts w:hint="eastAsia"/>
          <w:lang w:val="zh-CN"/>
        </w:rPr>
        <w:t>工艺设计处理效果见下表：</w:t>
      </w:r>
    </w:p>
    <w:p>
      <w:pPr>
        <w:pStyle w:val="7"/>
        <w:ind w:firstLine="0" w:firstLineChars="0"/>
        <w:jc w:val="center"/>
      </w:pPr>
      <w:r>
        <w:rPr>
          <w:rFonts w:hint="eastAsia"/>
        </w:rPr>
        <w:object>
          <v:shape id="_x0000_i1041" o:spt="75" type="#_x0000_t75" style="height:398pt;width:137.1pt;" o:ole="t" filled="f" o:preferrelative="t" stroked="f" coordsize="21600,21600">
            <v:path/>
            <v:fill on="f" focussize="0,0"/>
            <v:stroke on="f" joinstyle="miter"/>
            <v:imagedata r:id="rId77" cropleft="17959f" croptop="4117f" cropright="32579f" cropbottom="30455f" o:title=""/>
            <o:lock v:ext="edit" aspectratio="t"/>
            <w10:wrap type="none"/>
            <w10:anchorlock/>
          </v:shape>
          <o:OLEObject Type="Embed" ProgID="Visio.Drawing.15" ShapeID="_x0000_i1041" DrawAspect="Content" ObjectID="_1468075741" r:id="rId76">
            <o:LockedField>false</o:LockedField>
          </o:OLEObject>
        </w:object>
      </w:r>
    </w:p>
    <w:p>
      <w:pPr>
        <w:pStyle w:val="44"/>
      </w:pPr>
      <w:r>
        <w:rPr>
          <w:rFonts w:hint="eastAsia"/>
        </w:rPr>
        <w:t>图6.3-1  含油污水处理站处理工艺流程框图</w:t>
      </w:r>
    </w:p>
    <w:p>
      <w:pPr>
        <w:pStyle w:val="31"/>
      </w:pPr>
      <w:r>
        <w:rPr>
          <w:rFonts w:hint="eastAsia"/>
          <w:lang w:val="zh-CN"/>
        </w:rPr>
        <w:t>表</w:t>
      </w:r>
      <w:r>
        <w:rPr>
          <w:rFonts w:hint="eastAsia"/>
        </w:rPr>
        <w:t>6.3-1</w:t>
      </w:r>
      <w:r>
        <w:t xml:space="preserve">  </w:t>
      </w:r>
      <w:r>
        <w:rPr>
          <w:rFonts w:hint="eastAsia"/>
        </w:rPr>
        <w:t>污水主要</w:t>
      </w:r>
      <w:r>
        <w:t>污染物进水水质及</w:t>
      </w:r>
      <w:r>
        <w:rPr>
          <w:rFonts w:hint="eastAsia"/>
        </w:rPr>
        <w:t>处理效果</w:t>
      </w:r>
    </w:p>
    <w:tbl>
      <w:tblPr>
        <w:tblStyle w:val="27"/>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16"/>
        <w:gridCol w:w="1421"/>
        <w:gridCol w:w="1418"/>
        <w:gridCol w:w="1420"/>
        <w:gridCol w:w="1422"/>
        <w:gridCol w:w="142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工艺单元</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项目</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COD</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NH</w:t>
            </w:r>
            <w:r>
              <w:rPr>
                <w:vertAlign w:val="subscript"/>
              </w:rPr>
              <w:t>3</w:t>
            </w:r>
            <w:r>
              <w:t>-N</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SS</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石油类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restart"/>
            <w:tcBorders>
              <w:top w:val="single" w:color="auto" w:sz="4" w:space="0"/>
              <w:left w:val="single" w:color="auto" w:sz="4" w:space="0"/>
              <w:right w:val="single" w:color="auto" w:sz="4" w:space="0"/>
            </w:tcBorders>
            <w:shd w:val="clear" w:color="auto" w:fill="auto"/>
            <w:vAlign w:val="center"/>
          </w:tcPr>
          <w:p>
            <w:pPr>
              <w:pStyle w:val="32"/>
            </w:pPr>
            <w:r>
              <w:rPr>
                <w:rFonts w:hint="eastAsia"/>
              </w:rPr>
              <w:t>混凝沉淀</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进水（</w:t>
            </w:r>
            <w:r>
              <w:t>mg/L</w:t>
            </w:r>
            <w:r>
              <w:rPr>
                <w:rFonts w:hint="eastAsia"/>
              </w:rPr>
              <w:t>）</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10</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0.248</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5</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continue"/>
            <w:tcBorders>
              <w:left w:val="single" w:color="auto" w:sz="4" w:space="0"/>
              <w:right w:val="single" w:color="auto" w:sz="4" w:space="0"/>
            </w:tcBorders>
            <w:shd w:val="clear" w:color="auto" w:fill="auto"/>
            <w:vAlign w:val="center"/>
          </w:tcPr>
          <w:p>
            <w:pPr>
              <w:pStyle w:val="32"/>
            </w:pP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去除率（%）</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w:t>
            </w:r>
          </w:p>
        </w:tc>
        <w:tc>
          <w:tcPr>
            <w:tcW w:w="833" w:type="pct"/>
            <w:shd w:val="clear" w:color="auto" w:fill="auto"/>
            <w:vAlign w:val="center"/>
          </w:tcPr>
          <w:p>
            <w:pPr>
              <w:pStyle w:val="32"/>
            </w:pPr>
            <w:r>
              <w:rPr>
                <w:rFonts w:hint="eastAsia"/>
              </w:rPr>
              <w:t>0</w:t>
            </w:r>
          </w:p>
        </w:tc>
        <w:tc>
          <w:tcPr>
            <w:tcW w:w="834" w:type="pct"/>
            <w:shd w:val="clear" w:color="auto" w:fill="auto"/>
            <w:vAlign w:val="center"/>
          </w:tcPr>
          <w:p>
            <w:pPr>
              <w:pStyle w:val="32"/>
            </w:pPr>
            <w:r>
              <w:rPr>
                <w:rFonts w:hint="eastAsia"/>
              </w:rPr>
              <w:t>60</w:t>
            </w:r>
          </w:p>
        </w:tc>
        <w:tc>
          <w:tcPr>
            <w:tcW w:w="834" w:type="pct"/>
            <w:shd w:val="clear" w:color="auto" w:fill="auto"/>
            <w:vAlign w:val="center"/>
          </w:tcPr>
          <w:p>
            <w:pPr>
              <w:pStyle w:val="32"/>
            </w:pPr>
            <w:r>
              <w:rPr>
                <w:rFonts w:hint="eastAsia"/>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continue"/>
            <w:tcBorders>
              <w:left w:val="single" w:color="auto" w:sz="4" w:space="0"/>
              <w:bottom w:val="single" w:color="auto" w:sz="4" w:space="0"/>
              <w:right w:val="single" w:color="auto" w:sz="4" w:space="0"/>
            </w:tcBorders>
            <w:shd w:val="clear" w:color="auto" w:fill="auto"/>
            <w:vAlign w:val="center"/>
          </w:tcPr>
          <w:p>
            <w:pPr>
              <w:pStyle w:val="32"/>
            </w:pP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出水（</w:t>
            </w:r>
            <w:r>
              <w:t>mg/L</w:t>
            </w:r>
            <w:r>
              <w:rPr>
                <w:rFonts w:hint="eastAsia"/>
              </w:rPr>
              <w:t>）</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10</w:t>
            </w:r>
          </w:p>
        </w:tc>
        <w:tc>
          <w:tcPr>
            <w:tcW w:w="833" w:type="pct"/>
            <w:shd w:val="clear" w:color="auto" w:fill="auto"/>
            <w:vAlign w:val="center"/>
          </w:tcPr>
          <w:p>
            <w:pPr>
              <w:pStyle w:val="32"/>
            </w:pPr>
            <w:r>
              <w:rPr>
                <w:rFonts w:hint="eastAsia"/>
              </w:rPr>
              <w:t>0.248</w:t>
            </w:r>
          </w:p>
        </w:tc>
        <w:tc>
          <w:tcPr>
            <w:tcW w:w="834" w:type="pct"/>
            <w:shd w:val="clear" w:color="auto" w:fill="auto"/>
            <w:vAlign w:val="center"/>
          </w:tcPr>
          <w:p>
            <w:pPr>
              <w:pStyle w:val="32"/>
            </w:pPr>
            <w:r>
              <w:rPr>
                <w:rFonts w:hint="eastAsia"/>
              </w:rPr>
              <w:t>2</w:t>
            </w:r>
          </w:p>
        </w:tc>
        <w:tc>
          <w:tcPr>
            <w:tcW w:w="834" w:type="pct"/>
            <w:shd w:val="clear" w:color="auto" w:fill="auto"/>
            <w:vAlign w:val="center"/>
          </w:tcPr>
          <w:p>
            <w:pPr>
              <w:pStyle w:val="32"/>
            </w:pPr>
            <w:r>
              <w:rPr>
                <w:rFonts w:hint="eastAsia"/>
              </w:rPr>
              <w:t>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restart"/>
            <w:tcBorders>
              <w:top w:val="single" w:color="auto" w:sz="4" w:space="0"/>
              <w:left w:val="single" w:color="auto" w:sz="4" w:space="0"/>
              <w:right w:val="single" w:color="auto" w:sz="4" w:space="0"/>
            </w:tcBorders>
            <w:shd w:val="clear" w:color="auto" w:fill="auto"/>
            <w:vAlign w:val="center"/>
          </w:tcPr>
          <w:p>
            <w:pPr>
              <w:pStyle w:val="32"/>
            </w:pPr>
            <w:r>
              <w:t>一级</w:t>
            </w:r>
            <w:r>
              <w:rPr>
                <w:rFonts w:hint="eastAsia"/>
              </w:rPr>
              <w:t>气浮</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进水（</w:t>
            </w:r>
            <w:r>
              <w:t>mg/L</w:t>
            </w:r>
            <w:r>
              <w:rPr>
                <w:rFonts w:hint="eastAsia"/>
              </w:rPr>
              <w:t>）</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10</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0.248</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2</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continue"/>
            <w:tcBorders>
              <w:left w:val="single" w:color="auto" w:sz="4" w:space="0"/>
              <w:right w:val="single" w:color="auto" w:sz="4" w:space="0"/>
            </w:tcBorders>
            <w:shd w:val="clear" w:color="auto" w:fill="auto"/>
            <w:vAlign w:val="center"/>
          </w:tcPr>
          <w:p>
            <w:pPr>
              <w:pStyle w:val="32"/>
            </w:pP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去除率（%）</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w:t>
            </w:r>
          </w:p>
        </w:tc>
        <w:tc>
          <w:tcPr>
            <w:tcW w:w="833" w:type="pct"/>
            <w:shd w:val="clear" w:color="auto" w:fill="auto"/>
            <w:vAlign w:val="center"/>
          </w:tcPr>
          <w:p>
            <w:pPr>
              <w:pStyle w:val="32"/>
            </w:pPr>
            <w:r>
              <w:rPr>
                <w:rFonts w:hint="eastAsia"/>
              </w:rPr>
              <w:t>0</w:t>
            </w:r>
          </w:p>
        </w:tc>
        <w:tc>
          <w:tcPr>
            <w:tcW w:w="834" w:type="pct"/>
            <w:shd w:val="clear" w:color="auto" w:fill="auto"/>
            <w:vAlign w:val="center"/>
          </w:tcPr>
          <w:p>
            <w:pPr>
              <w:pStyle w:val="32"/>
            </w:pPr>
            <w:r>
              <w:rPr>
                <w:rFonts w:hint="eastAsia"/>
              </w:rPr>
              <w:t>80</w:t>
            </w:r>
          </w:p>
        </w:tc>
        <w:tc>
          <w:tcPr>
            <w:tcW w:w="834" w:type="pct"/>
            <w:shd w:val="clear" w:color="auto" w:fill="auto"/>
            <w:vAlign w:val="center"/>
          </w:tcPr>
          <w:p>
            <w:pPr>
              <w:pStyle w:val="32"/>
            </w:pPr>
            <w:r>
              <w:rPr>
                <w:rFonts w:hint="eastAsia"/>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continue"/>
            <w:tcBorders>
              <w:left w:val="single" w:color="auto" w:sz="4" w:space="0"/>
              <w:bottom w:val="single" w:color="auto" w:sz="4" w:space="0"/>
              <w:right w:val="single" w:color="auto" w:sz="4" w:space="0"/>
            </w:tcBorders>
            <w:shd w:val="clear" w:color="auto" w:fill="auto"/>
            <w:vAlign w:val="center"/>
          </w:tcPr>
          <w:p>
            <w:pPr>
              <w:pStyle w:val="32"/>
            </w:pP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出水（</w:t>
            </w:r>
            <w:r>
              <w:t>mg/L</w:t>
            </w:r>
            <w:r>
              <w:rPr>
                <w:rFonts w:hint="eastAsia"/>
              </w:rPr>
              <w:t>）</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10</w:t>
            </w:r>
          </w:p>
        </w:tc>
        <w:tc>
          <w:tcPr>
            <w:tcW w:w="833" w:type="pct"/>
            <w:shd w:val="clear" w:color="auto" w:fill="auto"/>
            <w:vAlign w:val="center"/>
          </w:tcPr>
          <w:p>
            <w:pPr>
              <w:pStyle w:val="32"/>
            </w:pPr>
            <w:r>
              <w:rPr>
                <w:rFonts w:hint="eastAsia"/>
              </w:rPr>
              <w:t>0.248</w:t>
            </w:r>
          </w:p>
        </w:tc>
        <w:tc>
          <w:tcPr>
            <w:tcW w:w="834" w:type="pct"/>
            <w:shd w:val="clear" w:color="auto" w:fill="auto"/>
            <w:vAlign w:val="center"/>
          </w:tcPr>
          <w:p>
            <w:pPr>
              <w:pStyle w:val="32"/>
            </w:pPr>
            <w:r>
              <w:rPr>
                <w:rFonts w:hint="eastAsia"/>
              </w:rPr>
              <w:t>0.4</w:t>
            </w:r>
          </w:p>
        </w:tc>
        <w:tc>
          <w:tcPr>
            <w:tcW w:w="834" w:type="pct"/>
            <w:shd w:val="clear" w:color="auto" w:fill="auto"/>
            <w:vAlign w:val="center"/>
          </w:tcPr>
          <w:p>
            <w:pPr>
              <w:pStyle w:val="32"/>
            </w:pPr>
            <w:r>
              <w:rPr>
                <w:rFonts w:hint="eastAsia"/>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restart"/>
            <w:tcBorders>
              <w:top w:val="single" w:color="auto" w:sz="4" w:space="0"/>
              <w:left w:val="single" w:color="auto" w:sz="4" w:space="0"/>
              <w:right w:val="single" w:color="auto" w:sz="4" w:space="0"/>
            </w:tcBorders>
            <w:shd w:val="clear" w:color="auto" w:fill="auto"/>
            <w:vAlign w:val="center"/>
          </w:tcPr>
          <w:p>
            <w:pPr>
              <w:pStyle w:val="32"/>
            </w:pPr>
            <w:r>
              <w:t>二级</w:t>
            </w:r>
            <w:r>
              <w:rPr>
                <w:rFonts w:hint="eastAsia"/>
              </w:rPr>
              <w:t>气浮</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进水（</w:t>
            </w:r>
            <w:r>
              <w:t>mg/L</w:t>
            </w:r>
            <w:r>
              <w:rPr>
                <w:rFonts w:hint="eastAsia"/>
              </w:rPr>
              <w:t>）</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10</w:t>
            </w:r>
          </w:p>
        </w:tc>
        <w:tc>
          <w:tcPr>
            <w:tcW w:w="83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0.248</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0.4</w:t>
            </w: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continue"/>
            <w:tcBorders>
              <w:left w:val="single" w:color="auto" w:sz="4" w:space="0"/>
              <w:right w:val="single" w:color="auto" w:sz="4" w:space="0"/>
            </w:tcBorders>
            <w:shd w:val="clear" w:color="auto" w:fill="auto"/>
            <w:vAlign w:val="center"/>
          </w:tcPr>
          <w:p>
            <w:pPr>
              <w:pStyle w:val="32"/>
            </w:pP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去除率（%）</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0</w:t>
            </w:r>
          </w:p>
        </w:tc>
        <w:tc>
          <w:tcPr>
            <w:tcW w:w="833" w:type="pct"/>
            <w:shd w:val="clear" w:color="auto" w:fill="auto"/>
            <w:vAlign w:val="center"/>
          </w:tcPr>
          <w:p>
            <w:pPr>
              <w:pStyle w:val="32"/>
            </w:pPr>
            <w:r>
              <w:rPr>
                <w:rFonts w:hint="eastAsia"/>
              </w:rPr>
              <w:t>0</w:t>
            </w:r>
          </w:p>
        </w:tc>
        <w:tc>
          <w:tcPr>
            <w:tcW w:w="834" w:type="pct"/>
            <w:shd w:val="clear" w:color="auto" w:fill="auto"/>
            <w:vAlign w:val="center"/>
          </w:tcPr>
          <w:p>
            <w:pPr>
              <w:pStyle w:val="32"/>
            </w:pPr>
            <w:r>
              <w:rPr>
                <w:rFonts w:hint="eastAsia"/>
              </w:rPr>
              <w:t>80</w:t>
            </w:r>
          </w:p>
        </w:tc>
        <w:tc>
          <w:tcPr>
            <w:tcW w:w="834" w:type="pct"/>
            <w:shd w:val="clear" w:color="auto" w:fill="auto"/>
            <w:vAlign w:val="center"/>
          </w:tcPr>
          <w:p>
            <w:pPr>
              <w:pStyle w:val="32"/>
            </w:pPr>
            <w:r>
              <w:rPr>
                <w:rFonts w:hint="eastAsia"/>
              </w:rP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1" w:type="pct"/>
            <w:vMerge w:val="continue"/>
            <w:tcBorders>
              <w:left w:val="single" w:color="auto" w:sz="4" w:space="0"/>
              <w:bottom w:val="single" w:color="auto" w:sz="4" w:space="0"/>
              <w:right w:val="single" w:color="auto" w:sz="4" w:space="0"/>
            </w:tcBorders>
            <w:shd w:val="clear" w:color="auto" w:fill="auto"/>
            <w:vAlign w:val="center"/>
          </w:tcPr>
          <w:p>
            <w:pPr>
              <w:pStyle w:val="32"/>
            </w:pPr>
          </w:p>
        </w:tc>
        <w:tc>
          <w:tcPr>
            <w:tcW w:w="83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出水（</w:t>
            </w:r>
            <w:r>
              <w:t>mg/L</w:t>
            </w:r>
            <w:r>
              <w:rPr>
                <w:rFonts w:hint="eastAsia"/>
              </w:rPr>
              <w:t>）</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10</w:t>
            </w:r>
          </w:p>
        </w:tc>
        <w:tc>
          <w:tcPr>
            <w:tcW w:w="833" w:type="pct"/>
            <w:shd w:val="clear" w:color="auto" w:fill="auto"/>
            <w:vAlign w:val="center"/>
          </w:tcPr>
          <w:p>
            <w:pPr>
              <w:pStyle w:val="32"/>
            </w:pPr>
            <w:r>
              <w:rPr>
                <w:rFonts w:hint="eastAsia"/>
              </w:rPr>
              <w:t>0.248</w:t>
            </w:r>
          </w:p>
        </w:tc>
        <w:tc>
          <w:tcPr>
            <w:tcW w:w="834" w:type="pct"/>
            <w:shd w:val="clear" w:color="auto" w:fill="auto"/>
            <w:vAlign w:val="center"/>
          </w:tcPr>
          <w:p>
            <w:pPr>
              <w:pStyle w:val="32"/>
            </w:pPr>
            <w:r>
              <w:rPr>
                <w:rFonts w:hint="eastAsia"/>
              </w:rPr>
              <w:t>0.08</w:t>
            </w:r>
          </w:p>
        </w:tc>
        <w:tc>
          <w:tcPr>
            <w:tcW w:w="834" w:type="pct"/>
            <w:shd w:val="clear" w:color="auto" w:fill="auto"/>
            <w:vAlign w:val="center"/>
          </w:tcPr>
          <w:p>
            <w:pPr>
              <w:pStyle w:val="32"/>
            </w:pPr>
            <w:r>
              <w:rPr>
                <w:rFonts w:hint="eastAsia"/>
              </w:rPr>
              <w:t>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665"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rPr>
              <w:t>排放标准</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szCs w:val="21"/>
              </w:rPr>
            </w:pPr>
            <w:r>
              <w:rPr>
                <w:rFonts w:hint="eastAsia"/>
                <w:szCs w:val="21"/>
              </w:rPr>
              <w:t>100</w:t>
            </w:r>
          </w:p>
        </w:tc>
        <w:tc>
          <w:tcPr>
            <w:tcW w:w="833" w:type="pct"/>
            <w:shd w:val="clear" w:color="auto" w:fill="auto"/>
            <w:vAlign w:val="center"/>
          </w:tcPr>
          <w:p>
            <w:pPr>
              <w:pStyle w:val="32"/>
              <w:rPr>
                <w:szCs w:val="21"/>
              </w:rPr>
            </w:pPr>
            <w:r>
              <w:rPr>
                <w:rFonts w:hint="eastAsia"/>
                <w:szCs w:val="21"/>
              </w:rPr>
              <w:t>15</w:t>
            </w:r>
          </w:p>
        </w:tc>
        <w:tc>
          <w:tcPr>
            <w:tcW w:w="834" w:type="pct"/>
            <w:shd w:val="clear" w:color="auto" w:fill="auto"/>
            <w:vAlign w:val="center"/>
          </w:tcPr>
          <w:p>
            <w:pPr>
              <w:pStyle w:val="32"/>
            </w:pPr>
            <w:r>
              <w:rPr>
                <w:rFonts w:hint="eastAsia"/>
              </w:rPr>
              <w:t>70</w:t>
            </w:r>
          </w:p>
        </w:tc>
        <w:tc>
          <w:tcPr>
            <w:tcW w:w="834" w:type="pct"/>
            <w:shd w:val="clear" w:color="auto" w:fill="auto"/>
            <w:vAlign w:val="center"/>
          </w:tcPr>
          <w:p>
            <w:pPr>
              <w:pStyle w:val="32"/>
            </w:pPr>
            <w:r>
              <w:rPr>
                <w:rFonts w:hint="eastAsia"/>
              </w:rPr>
              <w:t>5</w:t>
            </w:r>
          </w:p>
        </w:tc>
      </w:tr>
    </w:tbl>
    <w:p>
      <w:pPr>
        <w:pStyle w:val="7"/>
        <w:ind w:firstLine="480"/>
      </w:pPr>
      <w:r>
        <w:rPr>
          <w:rFonts w:hint="eastAsia"/>
        </w:rPr>
        <w:t>板锭循环冷却系统定期排水量经自建污水处理站处理后达《污水综合排放标准》（G</w:t>
      </w:r>
      <w:r>
        <w:t>B</w:t>
      </w:r>
      <w:r>
        <w:rPr>
          <w:rFonts w:hint="eastAsia"/>
        </w:rPr>
        <w:t>8978-1996）中的一级排放标准后通过市政污水管网进入砚山县第一污水处理厂进行处理。</w:t>
      </w:r>
    </w:p>
    <w:p>
      <w:pPr>
        <w:pStyle w:val="8"/>
      </w:pPr>
      <w:r>
        <w:rPr>
          <w:rFonts w:hint="eastAsia"/>
        </w:rPr>
        <w:t>6.3.3废水进入污水处理厂可行性分析</w:t>
      </w:r>
    </w:p>
    <w:p>
      <w:pPr>
        <w:pStyle w:val="7"/>
        <w:ind w:firstLine="480"/>
      </w:pPr>
      <w:r>
        <w:rPr>
          <w:rFonts w:hint="eastAsia"/>
        </w:rPr>
        <w:t>本项目生活污水以及循环冷却水排水经过厂内预处理后通过市政污水管网进入砚山县第一污水处理厂做进一步处理，进入污水处理厂可行性分析如下：</w:t>
      </w:r>
    </w:p>
    <w:p>
      <w:pPr>
        <w:pStyle w:val="7"/>
        <w:ind w:firstLine="482"/>
        <w:rPr>
          <w:b/>
          <w:bCs/>
        </w:rPr>
      </w:pPr>
      <w:r>
        <w:rPr>
          <w:rFonts w:hint="eastAsia"/>
          <w:b/>
          <w:bCs/>
        </w:rPr>
        <w:t>1、水质</w:t>
      </w:r>
    </w:p>
    <w:p>
      <w:pPr>
        <w:pStyle w:val="7"/>
        <w:ind w:firstLine="480"/>
      </w:pPr>
      <w:r>
        <w:rPr>
          <w:rFonts w:hint="eastAsia"/>
        </w:rPr>
        <w:t>根据表5.2-1分析，项目生活污水经隔油池、化粪池处理可达《污水排入城镇下水道水质标准》（GB/T31962-2015）表1、A等级标准，循环冷却水排水水质能够满足《污水综合排放标准》（G</w:t>
      </w:r>
      <w:r>
        <w:t>B</w:t>
      </w:r>
      <w:r>
        <w:rPr>
          <w:rFonts w:hint="eastAsia"/>
        </w:rPr>
        <w:t>8978-1996）中的一级排放标准，且项目经处理后的循环冷却水排水中主要污染物为COD和SS，污染物浓度低，满足砚山县第一污水处理厂的进水水质要求，不会对砚山县第一污水处理厂带来污染负荷。根据砚山县国祯污水处理有限公司出具的证明，同意接收项目产生的生活污水以及冷却循环废水。</w:t>
      </w:r>
    </w:p>
    <w:p>
      <w:pPr>
        <w:pStyle w:val="7"/>
        <w:ind w:firstLine="482"/>
        <w:rPr>
          <w:b/>
          <w:bCs/>
        </w:rPr>
      </w:pPr>
      <w:r>
        <w:rPr>
          <w:rFonts w:hint="eastAsia"/>
          <w:b/>
          <w:bCs/>
        </w:rPr>
        <w:t>2、水量</w:t>
      </w:r>
    </w:p>
    <w:p>
      <w:pPr>
        <w:pStyle w:val="7"/>
        <w:ind w:firstLine="480"/>
      </w:pPr>
      <w:r>
        <w:rPr>
          <w:rFonts w:hint="eastAsia"/>
        </w:rPr>
        <w:t>砚山县第一污水处理厂处理规模1.5万吨/年，服务范围为14km</w:t>
      </w:r>
      <w:r>
        <w:rPr>
          <w:rFonts w:hint="eastAsia"/>
          <w:vertAlign w:val="superscript"/>
        </w:rPr>
        <w:t>2</w:t>
      </w:r>
      <w:r>
        <w:rPr>
          <w:rFonts w:hint="eastAsia"/>
        </w:rPr>
        <w:t>，采用A2/O工艺，深度处理采用纤维转盘滤池，排放标准为《城镇污水处理厂污染物排放标准GB18918-2002》的一级A标，目前的处理规模为1.3万m</w:t>
      </w:r>
      <w:r>
        <w:rPr>
          <w:rFonts w:hint="eastAsia"/>
          <w:vertAlign w:val="superscript"/>
        </w:rPr>
        <w:t>3</w:t>
      </w:r>
      <w:r>
        <w:rPr>
          <w:rFonts w:hint="eastAsia"/>
        </w:rPr>
        <w:t>/d，还余有约0.2万m</w:t>
      </w:r>
      <w:r>
        <w:rPr>
          <w:rFonts w:hint="eastAsia"/>
          <w:vertAlign w:val="superscript"/>
        </w:rPr>
        <w:t>3</w:t>
      </w:r>
      <w:r>
        <w:rPr>
          <w:rFonts w:hint="eastAsia"/>
        </w:rPr>
        <w:t>/d的处理规模。目前县城的建成区基本实现雨污分流，管网设施相对健全，能满足县城城区污水处理。布标片区和三星坝片区已建成城市污水管网，生活污水全部进入管道，进入第一污水处理厂进行处理。本项目外排废水量为生活污水14.4m</w:t>
      </w:r>
      <w:r>
        <w:rPr>
          <w:rFonts w:hint="eastAsia"/>
          <w:vertAlign w:val="superscript"/>
        </w:rPr>
        <w:t>3</w:t>
      </w:r>
      <w:r>
        <w:rPr>
          <w:rFonts w:hint="eastAsia"/>
        </w:rPr>
        <w:t>/d，冷却循环系统定期排水1850m</w:t>
      </w:r>
      <w:r>
        <w:rPr>
          <w:rFonts w:hint="eastAsia"/>
          <w:vertAlign w:val="superscript"/>
        </w:rPr>
        <w:t>3</w:t>
      </w:r>
      <w:r>
        <w:rPr>
          <w:rFonts w:hint="eastAsia"/>
        </w:rPr>
        <w:t>/a（约合5.61m</w:t>
      </w:r>
      <w:r>
        <w:rPr>
          <w:rFonts w:hint="eastAsia"/>
          <w:vertAlign w:val="superscript"/>
        </w:rPr>
        <w:t>3</w:t>
      </w:r>
      <w:r>
        <w:rPr>
          <w:rFonts w:hint="eastAsia"/>
        </w:rPr>
        <w:t>/d），总外排水量为20.01m</w:t>
      </w:r>
      <w:r>
        <w:rPr>
          <w:rFonts w:hint="eastAsia"/>
          <w:vertAlign w:val="superscript"/>
        </w:rPr>
        <w:t>3</w:t>
      </w:r>
      <w:r>
        <w:rPr>
          <w:rFonts w:hint="eastAsia"/>
        </w:rPr>
        <w:t>/d，占砚山县第一污水处理厂的比例为1.0%，占比较小，且砚山县国祯污水处理有限公司同意接纳项目的污废水。</w:t>
      </w:r>
    </w:p>
    <w:p>
      <w:pPr>
        <w:pStyle w:val="7"/>
        <w:ind w:firstLine="482"/>
        <w:rPr>
          <w:b/>
          <w:bCs/>
        </w:rPr>
      </w:pPr>
      <w:r>
        <w:rPr>
          <w:rFonts w:hint="eastAsia"/>
          <w:b/>
          <w:bCs/>
        </w:rPr>
        <w:t>3、管网建设情况</w:t>
      </w:r>
    </w:p>
    <w:p>
      <w:pPr>
        <w:pStyle w:val="7"/>
        <w:ind w:firstLine="480"/>
        <w:rPr>
          <w:highlight w:val="none"/>
        </w:rPr>
      </w:pPr>
      <w:r>
        <w:rPr>
          <w:rFonts w:hint="eastAsia"/>
          <w:highlight w:val="none"/>
        </w:rPr>
        <w:t>根据现场调查，目前项目所在区域</w:t>
      </w:r>
      <w:r>
        <w:rPr>
          <w:rFonts w:hint="eastAsia"/>
          <w:highlight w:val="none"/>
          <w:lang w:val="en-US" w:eastAsia="zh-CN"/>
        </w:rPr>
        <w:t>雨水管网及污水管网已建成。</w:t>
      </w:r>
      <w:r>
        <w:rPr>
          <w:rFonts w:hint="eastAsia"/>
          <w:highlight w:val="none"/>
        </w:rPr>
        <w:t>项目的污废水</w:t>
      </w:r>
      <w:r>
        <w:rPr>
          <w:rFonts w:hint="eastAsia"/>
          <w:highlight w:val="none"/>
          <w:lang w:val="en-US" w:eastAsia="zh-CN"/>
        </w:rPr>
        <w:t>通过污水管道</w:t>
      </w:r>
      <w:r>
        <w:rPr>
          <w:rFonts w:hint="eastAsia"/>
          <w:highlight w:val="none"/>
        </w:rPr>
        <w:t>能够进入砚山县第一污水处理厂进行处理。</w:t>
      </w:r>
    </w:p>
    <w:p>
      <w:pPr>
        <w:pStyle w:val="7"/>
        <w:ind w:firstLine="482"/>
        <w:rPr>
          <w:b/>
          <w:bCs/>
        </w:rPr>
      </w:pPr>
      <w:r>
        <w:rPr>
          <w:rFonts w:hint="eastAsia"/>
          <w:b/>
          <w:bCs/>
        </w:rPr>
        <w:t>4、对厂区雨水进入园区雨水管网的要求</w:t>
      </w:r>
    </w:p>
    <w:p>
      <w:pPr>
        <w:pStyle w:val="7"/>
        <w:ind w:firstLine="480"/>
      </w:pPr>
      <w:r>
        <w:rPr>
          <w:rFonts w:hint="eastAsia"/>
        </w:rPr>
        <w:t>项目分别位于听湖水库、公革河以北，项目距离听湖水库、公革河的最近距离分别约1596m、3605m。</w:t>
      </w:r>
    </w:p>
    <w:p>
      <w:pPr>
        <w:pStyle w:val="7"/>
        <w:ind w:firstLine="480"/>
      </w:pPr>
      <w:r>
        <w:rPr>
          <w:rFonts w:hint="eastAsia"/>
        </w:rPr>
        <w:t>根据园区规划环评要求，园区雨水不得进入听湖水库</w:t>
      </w:r>
      <w:r>
        <w:rPr>
          <w:rFonts w:hint="eastAsia"/>
          <w:lang w:eastAsia="zh-CN"/>
        </w:rPr>
        <w:t>。</w:t>
      </w:r>
      <w:r>
        <w:rPr>
          <w:rFonts w:hint="eastAsia"/>
        </w:rPr>
        <w:t>本工程排水实施雨污分流、清污分流。</w:t>
      </w:r>
      <w:r>
        <w:rPr>
          <w:rFonts w:hint="eastAsia"/>
          <w:lang w:val="en-US" w:eastAsia="zh-CN"/>
        </w:rPr>
        <w:t>项目初期雨水经收集后回用于冷却循环水系统，后期雨水排入园区雨水管网</w:t>
      </w:r>
      <w:r>
        <w:rPr>
          <w:rFonts w:hint="eastAsia"/>
          <w:lang w:eastAsia="zh-CN"/>
        </w:rPr>
        <w:t>。</w:t>
      </w:r>
      <w:r>
        <w:rPr>
          <w:rFonts w:hint="eastAsia"/>
        </w:rPr>
        <w:t>有效避免了厂区雨水对听湖水库的影响。</w:t>
      </w:r>
    </w:p>
    <w:p>
      <w:pPr>
        <w:pStyle w:val="8"/>
        <w:rPr>
          <w:color w:val="auto"/>
        </w:rPr>
      </w:pPr>
      <w:r>
        <w:rPr>
          <w:rFonts w:hint="eastAsia"/>
          <w:color w:val="auto"/>
        </w:rPr>
        <w:t>6.2.4非正常排放预测结果</w:t>
      </w:r>
    </w:p>
    <w:p>
      <w:pPr>
        <w:pStyle w:val="7"/>
        <w:bidi w:val="0"/>
      </w:pPr>
      <w:r>
        <w:rPr>
          <w:rFonts w:hint="eastAsia"/>
        </w:rPr>
        <w:t>本项目所涉及到的非正常情况主要为各废气治理装置发生故障，从而造成废气的不达标排放。假设生产过程中废气治理装置发生故障，在此情况下废气治理措施对废气的处理效率降为50%</w:t>
      </w:r>
    </w:p>
    <w:p>
      <w:pPr>
        <w:pStyle w:val="7"/>
        <w:bidi w:val="0"/>
        <w:rPr>
          <w:color w:val="auto"/>
        </w:rPr>
      </w:pPr>
      <w:r>
        <w:rPr>
          <w:color w:val="auto"/>
        </w:rPr>
        <w:t>预测因子为TSP、</w:t>
      </w:r>
      <w:r>
        <w:rPr>
          <w:rFonts w:hint="eastAsia"/>
          <w:color w:val="auto"/>
        </w:rPr>
        <w:t>氟化物</w:t>
      </w:r>
      <w:r>
        <w:rPr>
          <w:color w:val="auto"/>
        </w:rPr>
        <w:t>、HCl、Cl</w:t>
      </w:r>
      <w:r>
        <w:rPr>
          <w:color w:val="auto"/>
          <w:vertAlign w:val="subscript"/>
        </w:rPr>
        <w:t>2</w:t>
      </w:r>
      <w:r>
        <w:rPr>
          <w:color w:val="auto"/>
        </w:rPr>
        <w:t>，其中TSP小时浓度标准按日均浓度标准3倍计，预测结果见表6.2</w:t>
      </w:r>
      <w:r>
        <w:rPr>
          <w:rFonts w:hint="eastAsia"/>
          <w:color w:val="auto"/>
          <w:lang w:val="en-US" w:eastAsia="zh-CN"/>
        </w:rPr>
        <w:t>-41</w:t>
      </w:r>
      <w:r>
        <w:rPr>
          <w:color w:val="auto"/>
        </w:rPr>
        <w:t>至表6.2</w:t>
      </w:r>
      <w:r>
        <w:rPr>
          <w:rFonts w:hint="eastAsia"/>
          <w:color w:val="auto"/>
          <w:lang w:val="en-US" w:eastAsia="zh-CN"/>
        </w:rPr>
        <w:t>-44</w:t>
      </w:r>
      <w:r>
        <w:rPr>
          <w:color w:val="auto"/>
        </w:rPr>
        <w:t>。</w:t>
      </w:r>
    </w:p>
    <w:p>
      <w:pPr>
        <w:pStyle w:val="31"/>
        <w:bidi w:val="0"/>
      </w:pPr>
      <w:r>
        <w:t>表6.</w:t>
      </w:r>
      <w:r>
        <w:rPr>
          <w:rFonts w:hint="eastAsia"/>
          <w:lang w:val="en-US" w:eastAsia="zh-CN"/>
        </w:rPr>
        <w:t>2-41</w:t>
      </w:r>
      <w:r>
        <w:t xml:space="preserve">  非正常排放</w:t>
      </w:r>
      <w:r>
        <w:rPr>
          <w:rFonts w:hint="eastAsia"/>
        </w:rPr>
        <w:t>TSP</w:t>
      </w:r>
      <w:r>
        <w:t>小时浓度预测结果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133"/>
        <w:gridCol w:w="1007"/>
        <w:gridCol w:w="1028"/>
        <w:gridCol w:w="1028"/>
        <w:gridCol w:w="1028"/>
        <w:gridCol w:w="102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 (μg/m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108.2316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21072707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12.03</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132.4397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14.72</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152.7536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16.97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501.9701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55.77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135.4783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15.05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396.3602</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44.04</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154.2843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21020721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17.14</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92.96197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10.33</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92.63517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10.29</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86.54726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9.62</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91.36612</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10.15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3766.263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900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418.47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9"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135.3466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360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37.6</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spacing w:line="360" w:lineRule="auto"/>
        <w:ind w:firstLine="480" w:firstLineChars="200"/>
        <w:rPr>
          <w:color w:val="FF0000"/>
        </w:rPr>
      </w:pPr>
    </w:p>
    <w:p>
      <w:pPr>
        <w:pStyle w:val="41"/>
        <w:bidi w:val="0"/>
      </w:pPr>
      <w:r>
        <w:t>表6.2</w:t>
      </w:r>
      <w:r>
        <w:rPr>
          <w:rFonts w:hint="eastAsia"/>
          <w:lang w:val="en-US" w:eastAsia="zh-CN"/>
        </w:rPr>
        <w:t>-42</w:t>
      </w:r>
      <w:r>
        <w:t xml:space="preserve">  非正常排放</w:t>
      </w:r>
      <w:r>
        <w:rPr>
          <w:rFonts w:hint="eastAsia"/>
        </w:rPr>
        <w:t>氟化物</w:t>
      </w:r>
      <w:r>
        <w:t>小时浓度预测结果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133"/>
        <w:gridCol w:w="1007"/>
        <w:gridCol w:w="1028"/>
        <w:gridCol w:w="1028"/>
        <w:gridCol w:w="1028"/>
        <w:gridCol w:w="102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 (μg/m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0.07306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21072707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0.0906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0.09666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0.48</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0.34729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1.74</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0.0937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0.27592</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1.38</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0.1101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21020721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0.55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0.06384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0.32</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0.06539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0.33</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0.06111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0.31</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0.06292</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0.31</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2.65019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13.25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0.09285</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0.46</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spacing w:line="360" w:lineRule="auto"/>
        <w:ind w:firstLine="480" w:firstLineChars="200"/>
        <w:rPr>
          <w:color w:val="FF0000"/>
        </w:rPr>
      </w:pPr>
    </w:p>
    <w:p>
      <w:pPr>
        <w:pStyle w:val="31"/>
        <w:bidi w:val="0"/>
      </w:pPr>
      <w:r>
        <w:t>表6.2</w:t>
      </w:r>
      <w:r>
        <w:rPr>
          <w:rFonts w:hint="eastAsia"/>
          <w:lang w:val="en-US" w:eastAsia="zh-CN"/>
        </w:rPr>
        <w:t>-4</w:t>
      </w:r>
      <w:r>
        <w:t xml:space="preserve">3 </w:t>
      </w:r>
      <w:r>
        <w:rPr>
          <w:rFonts w:hint="eastAsia"/>
          <w:lang w:val="en-US" w:eastAsia="zh-CN"/>
        </w:rPr>
        <w:t xml:space="preserve"> </w:t>
      </w:r>
      <w:r>
        <w:t>非正常排放</w:t>
      </w:r>
      <w:r>
        <w:rPr>
          <w:rFonts w:hint="eastAsia"/>
        </w:rPr>
        <w:t>HCl</w:t>
      </w:r>
      <w:r>
        <w:t>小时浓度预测结果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133"/>
        <w:gridCol w:w="1007"/>
        <w:gridCol w:w="1028"/>
        <w:gridCol w:w="1028"/>
        <w:gridCol w:w="1028"/>
        <w:gridCol w:w="102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 (μg/m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0.14547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0.29</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0.1825</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0.18208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0.36</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0.88313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1.77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0.18656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0.61448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1.23</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0.22733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21040620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0.13125</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0.1402</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0.28</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0.12627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0.25</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0.13084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0.26</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6.5024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13</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0.19914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21101223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50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spacing w:line="360" w:lineRule="auto"/>
        <w:ind w:firstLine="480" w:firstLineChars="200"/>
        <w:rPr>
          <w:color w:val="FF0000"/>
        </w:rPr>
      </w:pPr>
    </w:p>
    <w:p>
      <w:pPr>
        <w:pStyle w:val="31"/>
        <w:bidi w:val="0"/>
      </w:pPr>
      <w:r>
        <w:t>表6.2</w:t>
      </w:r>
      <w:r>
        <w:rPr>
          <w:rFonts w:hint="eastAsia"/>
          <w:lang w:val="en-US" w:eastAsia="zh-CN"/>
        </w:rPr>
        <w:t>-44</w:t>
      </w:r>
      <w:r>
        <w:t xml:space="preserve">  非正常排放</w:t>
      </w:r>
      <w:r>
        <w:rPr>
          <w:rFonts w:hint="eastAsia"/>
        </w:rPr>
        <w:t>TSP</w:t>
      </w:r>
      <w:r>
        <w:t>小时浓度预测结果</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133"/>
        <w:gridCol w:w="1007"/>
        <w:gridCol w:w="1028"/>
        <w:gridCol w:w="1028"/>
        <w:gridCol w:w="1028"/>
        <w:gridCol w:w="102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序号</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点名称</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浓度类型</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浓度增量 (μg/m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出现时间(YYMMDDHH)</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评价标准(μg/m</w:t>
            </w:r>
            <w:r>
              <w:rPr>
                <w:rFonts w:hint="default" w:ascii="Times New Roman" w:hAnsi="Times New Roman" w:cs="Times New Roman"/>
                <w:color w:val="auto"/>
                <w:kern w:val="0"/>
                <w:sz w:val="18"/>
                <w:szCs w:val="18"/>
                <w:vertAlign w:val="superscript"/>
              </w:rPr>
              <w:t>3</w:t>
            </w:r>
            <w:r>
              <w:rPr>
                <w:rFonts w:hint="default" w:ascii="Times New Roman" w:hAnsi="Times New Roman" w:cs="Times New Roman"/>
                <w:color w:val="auto"/>
                <w:kern w:val="0"/>
                <w:sz w:val="18"/>
                <w:szCs w:val="18"/>
              </w:rPr>
              <w:t>)</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占标率%(叠加背景以后)</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是否超标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restar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关心点</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马鞍山</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0.07885</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21031008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三家寨</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0.09893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碧云村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0.0987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21111509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处暑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0.47871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21092301</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0.48</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小听湖</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0.10113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21121609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布标</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0.33308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21042820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0.33</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柏布榔</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0.12323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21040620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0.12</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听湖村</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0.07115</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21122909</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园区管委会</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0.076</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21050504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0.08</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砚山职业高中</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0.06845</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21090720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vMerge w:val="continue"/>
            <w:vAlign w:val="center"/>
          </w:tcPr>
          <w:p>
            <w:pPr>
              <w:widowControl/>
              <w:adjustRightInd w:val="0"/>
              <w:snapToGrid w:val="0"/>
              <w:jc w:val="center"/>
              <w:rPr>
                <w:rFonts w:hint="default" w:ascii="Times New Roman" w:hAnsi="Times New Roman" w:cs="Times New Roman"/>
                <w:color w:val="auto"/>
                <w:kern w:val="0"/>
                <w:sz w:val="18"/>
                <w:szCs w:val="18"/>
              </w:rPr>
            </w:pP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永忠</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0.07092</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21072608</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0.07</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网格最大值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-400,700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3.52467</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21080403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3.52</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30"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一类区听湖水库最大值</w:t>
            </w:r>
          </w:p>
        </w:tc>
        <w:tc>
          <w:tcPr>
            <w:tcW w:w="665" w:type="pct"/>
            <w:shd w:val="clear" w:color="auto" w:fill="auto"/>
            <w:noWrap/>
            <w:vAlign w:val="center"/>
          </w:tcPr>
          <w:p>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-600,-1600</w:t>
            </w:r>
          </w:p>
        </w:tc>
        <w:tc>
          <w:tcPr>
            <w:tcW w:w="591"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1小时</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0.10794</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21101223</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100</w:t>
            </w:r>
          </w:p>
        </w:tc>
        <w:tc>
          <w:tcPr>
            <w:tcW w:w="603"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0.11</w:t>
            </w:r>
          </w:p>
        </w:tc>
        <w:tc>
          <w:tcPr>
            <w:tcW w:w="602" w:type="pct"/>
            <w:shd w:val="clear" w:color="auto" w:fill="auto"/>
            <w:noWrap/>
            <w:vAlign w:val="center"/>
          </w:tcPr>
          <w:p>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sz w:val="18"/>
                <w:szCs w:val="18"/>
              </w:rPr>
              <w:t>达标</w:t>
            </w:r>
          </w:p>
        </w:tc>
      </w:tr>
    </w:tbl>
    <w:p>
      <w:pPr>
        <w:pStyle w:val="7"/>
        <w:bidi w:val="0"/>
      </w:pPr>
      <w:r>
        <w:t>由表6.2</w:t>
      </w:r>
      <w:r>
        <w:rPr>
          <w:rFonts w:hint="eastAsia"/>
          <w:lang w:val="en-US" w:eastAsia="zh-CN"/>
        </w:rPr>
        <w:t>-41</w:t>
      </w:r>
      <w:r>
        <w:t>至表6.</w:t>
      </w:r>
      <w:r>
        <w:rPr>
          <w:rFonts w:hint="eastAsia"/>
          <w:lang w:val="en-US" w:eastAsia="zh-CN"/>
        </w:rPr>
        <w:t>2-44</w:t>
      </w:r>
      <w:r>
        <w:t>非正常排放预测结果可以看出，</w:t>
      </w:r>
      <w:r>
        <w:rPr>
          <w:rFonts w:hint="eastAsia"/>
        </w:rPr>
        <w:t>氟化物</w:t>
      </w:r>
      <w:r>
        <w:t>、HCl、Cl</w:t>
      </w:r>
      <w:r>
        <w:rPr>
          <w:vertAlign w:val="subscript"/>
        </w:rPr>
        <w:t>2</w:t>
      </w:r>
      <w:r>
        <w:t>小时浓度环境空气保护目标和网格点虽达标，但较正常排放贡献值占标率都大幅增加；TSP小时浓度环境空气保护目标达标，但网格点超标，所以非正常排放对环境影响较大，环评要求建设单位加强管理和设备维护，杜绝非正常排放发生。</w:t>
      </w:r>
    </w:p>
    <w:p>
      <w:pPr>
        <w:pStyle w:val="8"/>
      </w:pPr>
      <w:r>
        <w:rPr>
          <w:rFonts w:hint="eastAsia"/>
        </w:rPr>
        <w:t>6.3.4小结</w:t>
      </w:r>
    </w:p>
    <w:p>
      <w:pPr>
        <w:pStyle w:val="7"/>
        <w:ind w:firstLine="480"/>
      </w:pPr>
      <w:r>
        <w:rPr>
          <w:rFonts w:hint="eastAsia"/>
        </w:rPr>
        <w:t>本项目生活污水经隔油池、化粪池预处理后能够满足《污水排入城镇下水道水质标准》（GB/T31962-2015）表1中A等级标准；板锭冷却循环系统定期排水经污水处理站处理后《污水综合排放标准》（G</w:t>
      </w:r>
      <w:r>
        <w:t>B</w:t>
      </w:r>
      <w:r>
        <w:rPr>
          <w:rFonts w:hint="eastAsia"/>
        </w:rPr>
        <w:t>8978-1996）中的一级排放标准；废水收集后经市政污水管网进入砚山县第一污水处理厂进一步处理后达到《城镇污水处理厂污染物排放标准》（GB18918-2002）一级A标准后排入公革河。初期雨水经过收集池沉淀处理后能够满足《城市污水再生利用 城市杂用水水质标准》(GB/TI8920-2002) 中城市绿化及道路清扫以及《城市污水再生利用工业用水水质》（GB/T19923-2005）的相应标准后回用于晴天厂区绿化及道路清扫，剩余部分用于冷却循环补充水，不外排。在对化粪池、隔油池、初期雨水收集池、收集管道及厂区地面做好防渗处理的前提下，项目废水排放对周围地表水环境影响很小。</w:t>
      </w:r>
    </w:p>
    <w:p>
      <w:pPr>
        <w:pStyle w:val="7"/>
        <w:ind w:firstLine="480"/>
      </w:pPr>
      <w:r>
        <w:rPr>
          <w:rFonts w:hint="eastAsia"/>
        </w:rPr>
        <w:t>项目的污废水能够进入砚山县第一污水处理厂处理，不会对砚山县第一污水处理厂造成大的影响。</w:t>
      </w:r>
    </w:p>
    <w:p>
      <w:pPr>
        <w:pStyle w:val="5"/>
      </w:pPr>
      <w:bookmarkStart w:id="135" w:name="_Toc15290"/>
      <w:r>
        <w:rPr>
          <w:rFonts w:hint="eastAsia"/>
        </w:rPr>
        <w:t>6.4运行期地下水环境影响预测与分析</w:t>
      </w:r>
      <w:bookmarkEnd w:id="135"/>
    </w:p>
    <w:p>
      <w:pPr>
        <w:pStyle w:val="8"/>
        <w:bidi w:val="0"/>
      </w:pPr>
      <w:bookmarkStart w:id="136" w:name="_Toc12192"/>
      <w:r>
        <w:rPr>
          <w:rFonts w:hint="eastAsia"/>
        </w:rPr>
        <w:t>6.4.1评价区概况</w:t>
      </w:r>
      <w:bookmarkEnd w:id="136"/>
    </w:p>
    <w:p>
      <w:pPr>
        <w:pStyle w:val="9"/>
      </w:pPr>
      <w:r>
        <w:rPr>
          <w:rFonts w:hint="eastAsia"/>
        </w:rPr>
        <w:t>6.4.1.1地形、地貌特征</w:t>
      </w:r>
    </w:p>
    <w:p>
      <w:pPr>
        <w:pStyle w:val="7"/>
        <w:ind w:firstLine="480"/>
      </w:pPr>
      <w:r>
        <w:rPr>
          <w:rFonts w:hint="eastAsia"/>
        </w:rPr>
        <w:t>项目区拟建场地位于砚山县城区北东侧约8km处，地貌上处于砚山盆地的北延部分，属盆地地貌。由于项目区处于盆地向低中山过渡地带，地形起伏较大，第四系冲洪积层厚度薄，大部分地段岩溶残丘突出，形成盆地与岩溶残丘相间的地貌类型。场地内分布的岩溶残丘比高均不大，多为锥体形，周边坡度不大，为直线形；丘顶均有厚薄不一的残坡粘土覆盖，植被发育；</w:t>
      </w:r>
      <w:r>
        <w:rPr>
          <w:rFonts w:hint="eastAsia"/>
          <w:lang w:eastAsia="zh-CN"/>
        </w:rPr>
        <w:t>其他</w:t>
      </w:r>
      <w:r>
        <w:rPr>
          <w:rFonts w:hint="eastAsia"/>
        </w:rPr>
        <w:t>盆地区地形较平缓，为缓坡地形，现多被开垦为耕地，主要种植玉米、辣椒、水果、三七等，局部低洼处有少量水稻分布。场地周边及场地范围内无对建设工程有影响的地下管、电缆、网线等设施通过，无滑坡、崩塌、泥石流等地质灾害分布，场地稳定。本场地最高点分布于场地南侧，标高约1594m左右（中部局部残丘顶部标高约1589m）。</w:t>
      </w:r>
    </w:p>
    <w:p>
      <w:pPr>
        <w:pStyle w:val="9"/>
      </w:pPr>
      <w:r>
        <w:rPr>
          <w:rFonts w:hint="eastAsia"/>
        </w:rPr>
        <w:t>6.4.1.2地质条件</w:t>
      </w:r>
    </w:p>
    <w:p>
      <w:pPr>
        <w:pStyle w:val="7"/>
        <w:ind w:firstLine="480"/>
      </w:pPr>
      <w:r>
        <w:rPr>
          <w:rFonts w:hint="eastAsia"/>
        </w:rPr>
        <w:t>评价区出露地层主要为寒武系、奥陶系、泥盆系、石炭系、二叠系、三叠系、下第三系和第四系（见表6.4-1）。地层分布受地质构造的控制，其中受文山旋钮构造的控制尤为明显。</w:t>
      </w:r>
    </w:p>
    <w:p>
      <w:pPr>
        <w:pStyle w:val="31"/>
      </w:pPr>
      <w:r>
        <w:rPr>
          <w:rFonts w:hint="eastAsia"/>
        </w:rPr>
        <w:t>表6.4-1  评价区内出露地层岩性简表</w:t>
      </w:r>
    </w:p>
    <w:tbl>
      <w:tblPr>
        <w:tblStyle w:val="27"/>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825"/>
        <w:gridCol w:w="650"/>
        <w:gridCol w:w="981"/>
        <w:gridCol w:w="946"/>
        <w:gridCol w:w="1280"/>
        <w:gridCol w:w="3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界</w:t>
            </w:r>
          </w:p>
        </w:tc>
        <w:tc>
          <w:tcPr>
            <w:tcW w:w="8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组（群）</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地层代号</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区域厚度（</w:t>
            </w:r>
            <w:r>
              <w:rPr>
                <w:bCs/>
                <w:kern w:val="0"/>
                <w:sz w:val="18"/>
                <w:szCs w:val="18"/>
              </w:rPr>
              <w:t>m</w:t>
            </w:r>
            <w:r>
              <w:rPr>
                <w:kern w:val="0"/>
                <w:sz w:val="18"/>
                <w:szCs w:val="18"/>
              </w:rPr>
              <w:t>）</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岩性描述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新生界</w:t>
            </w:r>
          </w:p>
        </w:tc>
        <w:tc>
          <w:tcPr>
            <w:tcW w:w="8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第四系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p>
        </w:tc>
        <w:tc>
          <w:tcPr>
            <w:tcW w:w="98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center"/>
              <w:rPr>
                <w:kern w:val="0"/>
                <w:sz w:val="18"/>
                <w:szCs w:val="18"/>
              </w:rPr>
            </w:pP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Q </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0-50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冲、洪、残积粘土、砂砾及红粘土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8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下第三系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p>
        </w:tc>
        <w:tc>
          <w:tcPr>
            <w:tcW w:w="98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center"/>
              <w:rPr>
                <w:kern w:val="0"/>
                <w:sz w:val="18"/>
                <w:szCs w:val="18"/>
              </w:rPr>
            </w:pPr>
            <w:r>
              <w:rPr>
                <w:kern w:val="0"/>
                <w:sz w:val="18"/>
                <w:szCs w:val="18"/>
              </w:rPr>
              <w:t>砚山组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Ey</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148-625</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含砾砂岩夹砾岩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中</w:t>
            </w:r>
          </w:p>
          <w:p>
            <w:pPr>
              <w:autoSpaceDE w:val="0"/>
              <w:autoSpaceDN w:val="0"/>
              <w:adjustRightInd w:val="0"/>
              <w:jc w:val="center"/>
              <w:rPr>
                <w:kern w:val="0"/>
                <w:sz w:val="18"/>
                <w:szCs w:val="18"/>
              </w:rPr>
            </w:pPr>
            <w:r>
              <w:rPr>
                <w:kern w:val="0"/>
                <w:sz w:val="18"/>
                <w:szCs w:val="18"/>
              </w:rPr>
              <w:t>生</w:t>
            </w:r>
          </w:p>
          <w:p>
            <w:pPr>
              <w:autoSpaceDE w:val="0"/>
              <w:autoSpaceDN w:val="0"/>
              <w:adjustRightInd w:val="0"/>
              <w:jc w:val="center"/>
              <w:rPr>
                <w:kern w:val="0"/>
                <w:sz w:val="18"/>
                <w:szCs w:val="18"/>
              </w:rPr>
            </w:pPr>
            <w:r>
              <w:rPr>
                <w:kern w:val="0"/>
                <w:sz w:val="18"/>
                <w:szCs w:val="18"/>
              </w:rPr>
              <w:t>界</w:t>
            </w:r>
          </w:p>
        </w:tc>
        <w:tc>
          <w:tcPr>
            <w:tcW w:w="825" w:type="dxa"/>
            <w:vMerge w:val="restart"/>
            <w:tcBorders>
              <w:top w:val="single" w:color="auto" w:sz="4" w:space="0"/>
              <w:left w:val="single" w:color="auto" w:sz="4" w:space="0"/>
              <w:bottom w:val="single" w:color="auto" w:sz="4" w:space="0"/>
              <w:right w:val="single" w:color="auto" w:sz="4" w:space="0"/>
            </w:tcBorders>
          </w:tcPr>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r>
              <w:rPr>
                <w:kern w:val="0"/>
                <w:sz w:val="18"/>
                <w:szCs w:val="18"/>
              </w:rPr>
              <w:t>三叠系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中统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个旧组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T</w:t>
            </w:r>
            <w:r>
              <w:rPr>
                <w:kern w:val="0"/>
                <w:sz w:val="18"/>
                <w:szCs w:val="18"/>
                <w:vertAlign w:val="subscript"/>
              </w:rPr>
              <w:t>2</w:t>
            </w:r>
            <w:r>
              <w:rPr>
                <w:kern w:val="0"/>
                <w:sz w:val="18"/>
                <w:szCs w:val="18"/>
              </w:rPr>
              <w:t xml:space="preserve">g </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555-1308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灰、深灰中厚层灰岩夹白云岩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下统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永宁镇组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T</w:t>
            </w:r>
            <w:r>
              <w:rPr>
                <w:kern w:val="0"/>
                <w:sz w:val="18"/>
                <w:szCs w:val="18"/>
                <w:vertAlign w:val="subscript"/>
              </w:rPr>
              <w:t>1</w:t>
            </w:r>
            <w:r>
              <w:rPr>
                <w:kern w:val="0"/>
                <w:sz w:val="18"/>
                <w:szCs w:val="18"/>
              </w:rPr>
              <w:t xml:space="preserve">y </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43-472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灰及深灰薄-中厚层泥质灰岩，泥质条带灰岩及泥灰岩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洗马塘组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T</w:t>
            </w:r>
            <w:r>
              <w:rPr>
                <w:kern w:val="0"/>
                <w:sz w:val="18"/>
                <w:szCs w:val="18"/>
                <w:vertAlign w:val="subscript"/>
              </w:rPr>
              <w:t>1</w:t>
            </w:r>
            <w:r>
              <w:rPr>
                <w:kern w:val="0"/>
                <w:sz w:val="18"/>
                <w:szCs w:val="18"/>
              </w:rPr>
              <w:t xml:space="preserve">x </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23-248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紫红色薄层钙质粉砂岩夹泥质粉砂岩，局部夹黄色中厚层细砂岩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3"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r>
              <w:rPr>
                <w:kern w:val="0"/>
                <w:sz w:val="18"/>
                <w:szCs w:val="18"/>
              </w:rPr>
              <w:t>古</w:t>
            </w: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r>
              <w:rPr>
                <w:kern w:val="0"/>
                <w:sz w:val="18"/>
                <w:szCs w:val="18"/>
              </w:rPr>
              <w:t>生</w:t>
            </w: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p>
          <w:p>
            <w:pPr>
              <w:autoSpaceDE w:val="0"/>
              <w:autoSpaceDN w:val="0"/>
              <w:adjustRightInd w:val="0"/>
              <w:jc w:val="center"/>
              <w:rPr>
                <w:kern w:val="0"/>
                <w:sz w:val="18"/>
                <w:szCs w:val="18"/>
              </w:rPr>
            </w:pPr>
            <w:r>
              <w:rPr>
                <w:kern w:val="0"/>
                <w:sz w:val="18"/>
                <w:szCs w:val="18"/>
              </w:rPr>
              <w:t>界</w:t>
            </w:r>
          </w:p>
        </w:tc>
        <w:tc>
          <w:tcPr>
            <w:tcW w:w="825"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二叠系</w:t>
            </w:r>
          </w:p>
        </w:tc>
        <w:tc>
          <w:tcPr>
            <w:tcW w:w="65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上统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吴家坪组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P</w:t>
            </w:r>
            <w:r>
              <w:rPr>
                <w:kern w:val="0"/>
                <w:sz w:val="18"/>
                <w:szCs w:val="18"/>
                <w:vertAlign w:val="subscript"/>
              </w:rPr>
              <w:t>2</w:t>
            </w:r>
            <w:r>
              <w:rPr>
                <w:kern w:val="0"/>
                <w:sz w:val="18"/>
                <w:szCs w:val="18"/>
              </w:rPr>
              <w:t xml:space="preserve">w </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32-266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厚层状灰岩、生物碎屑灰岩及白云岩，粉晶结构。底部夹页岩、铝土岩。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龙潭组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P</w:t>
            </w:r>
            <w:r>
              <w:rPr>
                <w:kern w:val="0"/>
                <w:sz w:val="18"/>
                <w:szCs w:val="18"/>
                <w:vertAlign w:val="subscript"/>
              </w:rPr>
              <w:t>2</w:t>
            </w:r>
            <w:r>
              <w:rPr>
                <w:kern w:val="0"/>
                <w:sz w:val="18"/>
                <w:szCs w:val="18"/>
              </w:rPr>
              <w:t>l</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硅质岩、粉砂质泥岩夹细砂岩及煤层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下统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阳新组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P</w:t>
            </w:r>
            <w:r>
              <w:rPr>
                <w:kern w:val="0"/>
                <w:sz w:val="18"/>
                <w:szCs w:val="18"/>
                <w:vertAlign w:val="subscript"/>
              </w:rPr>
              <w:t>1</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0-603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浅灰色厚层及块状灰岩，局部地段为白云质灰岩及白云岩，夹深色薄层及团块状硅质岩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825"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石炭系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上统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马平组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C</w:t>
            </w:r>
            <w:r>
              <w:rPr>
                <w:kern w:val="0"/>
                <w:sz w:val="18"/>
                <w:szCs w:val="18"/>
                <w:vertAlign w:val="subscript"/>
              </w:rPr>
              <w:t>3</w:t>
            </w:r>
            <w:r>
              <w:rPr>
                <w:kern w:val="0"/>
                <w:sz w:val="18"/>
                <w:szCs w:val="18"/>
              </w:rPr>
              <w:t>m</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42-198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灰白色厚层灰岩，局部夹白云岩、白云质灰岩及生物灰岩、硅质岩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中统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威宁组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C</w:t>
            </w:r>
            <w:r>
              <w:rPr>
                <w:kern w:val="0"/>
                <w:sz w:val="18"/>
                <w:szCs w:val="18"/>
                <w:vertAlign w:val="subscript"/>
              </w:rPr>
              <w:t>2</w:t>
            </w:r>
            <w:r>
              <w:rPr>
                <w:kern w:val="0"/>
                <w:sz w:val="18"/>
                <w:szCs w:val="18"/>
              </w:rPr>
              <w:t>w</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121-169 </w:t>
            </w:r>
          </w:p>
        </w:tc>
        <w:tc>
          <w:tcPr>
            <w:tcW w:w="3612" w:type="dxa"/>
            <w:tcBorders>
              <w:top w:val="single" w:color="auto" w:sz="4" w:space="0"/>
              <w:left w:val="single" w:color="auto" w:sz="4" w:space="0"/>
              <w:bottom w:val="single" w:color="auto" w:sz="4" w:space="0"/>
              <w:right w:val="single" w:color="auto" w:sz="4" w:space="0"/>
            </w:tcBorders>
          </w:tcPr>
          <w:p>
            <w:pPr>
              <w:autoSpaceDE w:val="0"/>
              <w:autoSpaceDN w:val="0"/>
              <w:adjustRightInd w:val="0"/>
              <w:rPr>
                <w:kern w:val="0"/>
                <w:sz w:val="18"/>
                <w:szCs w:val="18"/>
              </w:rPr>
            </w:pPr>
            <w:r>
              <w:rPr>
                <w:kern w:val="0"/>
                <w:sz w:val="18"/>
                <w:szCs w:val="18"/>
              </w:rPr>
              <w:t>灰色中-厚层灰岩，局部夹白云岩、白云质灰岩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下统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大塘组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C</w:t>
            </w:r>
            <w:r>
              <w:rPr>
                <w:kern w:val="0"/>
                <w:sz w:val="18"/>
                <w:szCs w:val="18"/>
                <w:vertAlign w:val="subscript"/>
              </w:rPr>
              <w:t>1</w:t>
            </w:r>
            <w:r>
              <w:rPr>
                <w:kern w:val="0"/>
                <w:sz w:val="18"/>
                <w:szCs w:val="18"/>
              </w:rPr>
              <w:t>d</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27-388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浅灰局部深灰色中厚层灰岩，生物灰岩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825"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泥盆系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上统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榴江组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D</w:t>
            </w:r>
            <w:r>
              <w:rPr>
                <w:kern w:val="0"/>
                <w:sz w:val="18"/>
                <w:szCs w:val="18"/>
                <w:vertAlign w:val="subscript"/>
              </w:rPr>
              <w:t>3</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薄-厚层装灰岩、白云岩夹泥灰岩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中统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古木组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D</w:t>
            </w:r>
            <w:r>
              <w:rPr>
                <w:kern w:val="0"/>
                <w:sz w:val="18"/>
                <w:szCs w:val="18"/>
                <w:vertAlign w:val="subscript"/>
              </w:rPr>
              <w:t>2</w:t>
            </w:r>
            <w:r>
              <w:rPr>
                <w:kern w:val="0"/>
                <w:sz w:val="18"/>
                <w:szCs w:val="18"/>
              </w:rPr>
              <w:t>g</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 xml:space="preserve">84-374 </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薄-厚层装灰岩、白云岩夹泥灰岩、鲕状灰岩，以泥晶粉晶、鲕粒结构为主，个别中晶。岩溶发育强烈，富水性强。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下统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芭蕉菁组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D</w:t>
            </w:r>
            <w:r>
              <w:rPr>
                <w:kern w:val="0"/>
                <w:sz w:val="18"/>
                <w:szCs w:val="18"/>
                <w:vertAlign w:val="subscript"/>
              </w:rPr>
              <w:t>1</w:t>
            </w:r>
            <w:r>
              <w:rPr>
                <w:kern w:val="0"/>
                <w:sz w:val="18"/>
                <w:szCs w:val="18"/>
              </w:rPr>
              <w:t>b</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50-335</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白云岩、白云质灰岩、泥灰岩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坡脚组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D</w:t>
            </w:r>
            <w:r>
              <w:rPr>
                <w:kern w:val="0"/>
                <w:sz w:val="18"/>
                <w:szCs w:val="18"/>
                <w:vertAlign w:val="subscript"/>
              </w:rPr>
              <w:t>1</w:t>
            </w:r>
            <w:r>
              <w:rPr>
                <w:kern w:val="0"/>
                <w:sz w:val="18"/>
                <w:szCs w:val="18"/>
              </w:rPr>
              <w:t>p</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43-264</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泥岩及泥质粉砂岩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65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翠峰山组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D</w:t>
            </w:r>
            <w:r>
              <w:rPr>
                <w:kern w:val="0"/>
                <w:sz w:val="18"/>
                <w:szCs w:val="18"/>
                <w:vertAlign w:val="subscript"/>
              </w:rPr>
              <w:t>1</w:t>
            </w:r>
            <w:r>
              <w:rPr>
                <w:kern w:val="0"/>
                <w:sz w:val="18"/>
                <w:szCs w:val="18"/>
              </w:rPr>
              <w:t>c</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91-1334</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泥质粉砂岩，石英细砂岩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8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奥陶系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下统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湄潭组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O</w:t>
            </w:r>
            <w:r>
              <w:rPr>
                <w:kern w:val="0"/>
                <w:sz w:val="18"/>
                <w:szCs w:val="18"/>
                <w:vertAlign w:val="subscript"/>
              </w:rPr>
              <w:t>1</w:t>
            </w:r>
            <w:r>
              <w:rPr>
                <w:kern w:val="0"/>
                <w:sz w:val="18"/>
                <w:szCs w:val="18"/>
              </w:rPr>
              <w:t>m</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124-614</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石英细砂岩夹砂质泥岩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kern w:val="0"/>
                <w:sz w:val="18"/>
                <w:szCs w:val="18"/>
              </w:rPr>
            </w:pPr>
          </w:p>
        </w:tc>
        <w:tc>
          <w:tcPr>
            <w:tcW w:w="82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寒武系</w:t>
            </w:r>
          </w:p>
        </w:tc>
        <w:tc>
          <w:tcPr>
            <w:tcW w:w="65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上统</w:t>
            </w:r>
          </w:p>
        </w:tc>
        <w:tc>
          <w:tcPr>
            <w:tcW w:w="981"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歇场组</w:t>
            </w:r>
          </w:p>
        </w:tc>
        <w:tc>
          <w:tcPr>
            <w:tcW w:w="946"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w:t>
            </w:r>
            <w:r>
              <w:rPr>
                <w:kern w:val="0"/>
                <w:sz w:val="18"/>
                <w:szCs w:val="18"/>
                <w:vertAlign w:val="subscript"/>
              </w:rPr>
              <w:t>1</w:t>
            </w:r>
            <w:r>
              <w:rPr>
                <w:kern w:val="0"/>
                <w:sz w:val="18"/>
                <w:szCs w:val="18"/>
              </w:rPr>
              <w:t>x</w:t>
            </w:r>
          </w:p>
        </w:tc>
        <w:tc>
          <w:tcPr>
            <w:tcW w:w="1280"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rPr>
                <w:kern w:val="0"/>
                <w:sz w:val="18"/>
                <w:szCs w:val="18"/>
              </w:rPr>
            </w:pPr>
            <w:r>
              <w:rPr>
                <w:kern w:val="0"/>
                <w:sz w:val="18"/>
                <w:szCs w:val="18"/>
              </w:rPr>
              <w:t>335-631</w:t>
            </w:r>
          </w:p>
        </w:tc>
        <w:tc>
          <w:tcPr>
            <w:tcW w:w="3612"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left"/>
              <w:rPr>
                <w:kern w:val="0"/>
                <w:sz w:val="18"/>
                <w:szCs w:val="18"/>
              </w:rPr>
            </w:pPr>
            <w:r>
              <w:rPr>
                <w:kern w:val="0"/>
                <w:sz w:val="18"/>
                <w:szCs w:val="18"/>
              </w:rPr>
              <w:t>中厚层为主白云质灰岩夹泥质条带灰岩夹白云岩，局部夹砂质泥灰岩，钙质及泥质粉砂</w:t>
            </w:r>
          </w:p>
        </w:tc>
      </w:tr>
    </w:tbl>
    <w:p>
      <w:pPr>
        <w:pStyle w:val="7"/>
        <w:ind w:firstLine="482"/>
        <w:rPr>
          <w:rFonts w:hint="eastAsia"/>
          <w:b/>
          <w:bCs/>
        </w:rPr>
      </w:pPr>
    </w:p>
    <w:p>
      <w:pPr>
        <w:pStyle w:val="7"/>
        <w:ind w:firstLine="482"/>
        <w:rPr>
          <w:b/>
          <w:bCs/>
        </w:rPr>
      </w:pPr>
      <w:r>
        <w:rPr>
          <w:rFonts w:hint="eastAsia"/>
          <w:b/>
          <w:bCs/>
        </w:rPr>
        <w:t>1、寒武系</w:t>
      </w:r>
    </w:p>
    <w:p>
      <w:pPr>
        <w:pStyle w:val="7"/>
        <w:ind w:firstLine="480"/>
      </w:pPr>
      <w:r>
        <w:t>仅有</w:t>
      </w:r>
      <w:r>
        <w:rPr>
          <w:kern w:val="0"/>
        </w:rPr>
        <w:t>歇场组（∈</w:t>
      </w:r>
      <w:r>
        <w:rPr>
          <w:kern w:val="0"/>
          <w:vertAlign w:val="subscript"/>
        </w:rPr>
        <w:t>1</w:t>
      </w:r>
      <w:r>
        <w:rPr>
          <w:kern w:val="0"/>
        </w:rPr>
        <w:t>x）出露于本次调查区西南侧，</w:t>
      </w:r>
      <w:r>
        <w:t>主要分布于项目西南侧，布标西南方向一带，呈北东-南西向展布，分布于F</w:t>
      </w:r>
      <w:r>
        <w:rPr>
          <w:vertAlign w:val="subscript"/>
        </w:rPr>
        <w:t>1</w:t>
      </w:r>
      <w:r>
        <w:t>阻水断层西侧，为布标村地下水主要含水层，岩性主要为中厚层为主白云质灰岩夹泥质条带灰岩夹白云岩，局部夹砂质泥灰岩，钙质及泥质粉砂，与本次调查水文地质单元水力联系不大，该含水层被泥盆系下统坡脚组和翠峰山组弱透水层及F</w:t>
      </w:r>
      <w:r>
        <w:rPr>
          <w:vertAlign w:val="subscript"/>
        </w:rPr>
        <w:t>1</w:t>
      </w:r>
      <w:r>
        <w:t>阻水断层阻隔，在布标一带有泉点出露，例如57号泉点即为该层集中排泄点，同时布标村民井也取该含水层地下水，本次GW6即取自F</w:t>
      </w:r>
      <w:r>
        <w:rPr>
          <w:vertAlign w:val="subscript"/>
        </w:rPr>
        <w:t>1</w:t>
      </w:r>
      <w:r>
        <w:t>断层附近该含水层地下水。</w:t>
      </w:r>
    </w:p>
    <w:p>
      <w:pPr>
        <w:pStyle w:val="7"/>
        <w:ind w:firstLine="482"/>
        <w:rPr>
          <w:b/>
          <w:bCs/>
        </w:rPr>
      </w:pPr>
      <w:r>
        <w:rPr>
          <w:rFonts w:hint="eastAsia"/>
          <w:b/>
          <w:bCs/>
        </w:rPr>
        <w:t>2、奥陶系</w:t>
      </w:r>
    </w:p>
    <w:p>
      <w:pPr>
        <w:pStyle w:val="7"/>
        <w:ind w:firstLine="480"/>
      </w:pPr>
      <w:r>
        <w:rPr>
          <w:rFonts w:hint="eastAsia"/>
        </w:rPr>
        <w:t>湄潭组（O</w:t>
      </w:r>
      <w:r>
        <w:rPr>
          <w:rFonts w:hint="eastAsia"/>
          <w:vertAlign w:val="subscript"/>
        </w:rPr>
        <w:t>1</w:t>
      </w:r>
      <w:r>
        <w:rPr>
          <w:rFonts w:hint="eastAsia"/>
        </w:rPr>
        <w:t>m）石英细砂岩夹砂质泥岩，仅在区域水文地质图西南角出露，位于歇场组西侧，断层接触，与本次评价区关系不大。</w:t>
      </w:r>
    </w:p>
    <w:p>
      <w:pPr>
        <w:pStyle w:val="7"/>
        <w:ind w:firstLine="482"/>
        <w:rPr>
          <w:b/>
          <w:bCs/>
        </w:rPr>
      </w:pPr>
      <w:r>
        <w:rPr>
          <w:rFonts w:hint="eastAsia"/>
          <w:b/>
          <w:bCs/>
        </w:rPr>
        <w:t>3、泥盆系</w:t>
      </w:r>
    </w:p>
    <w:p>
      <w:pPr>
        <w:pStyle w:val="7"/>
        <w:ind w:firstLine="480"/>
      </w:pPr>
      <w:r>
        <w:rPr>
          <w:rFonts w:hint="eastAsia"/>
        </w:rPr>
        <w:t>（1）</w:t>
      </w:r>
      <w:r>
        <w:t>下泥盆统</w:t>
      </w:r>
    </w:p>
    <w:p>
      <w:pPr>
        <w:pStyle w:val="7"/>
        <w:ind w:firstLine="480"/>
      </w:pPr>
      <w:r>
        <w:t>翠峰山组（D</w:t>
      </w:r>
      <w:r>
        <w:rPr>
          <w:vertAlign w:val="subscript"/>
        </w:rPr>
        <w:t>1</w:t>
      </w:r>
      <w:r>
        <w:t>c）</w:t>
      </w:r>
      <w:r>
        <w:rPr>
          <w:rFonts w:hint="eastAsia"/>
        </w:rPr>
        <w:t>：</w:t>
      </w:r>
      <w:r>
        <w:t>主要分布于调查区南侧，项目区西南侧，下部与寒武系呈不整合接触，岩性主要为泥质粉砂岩，石英细砂岩，富水性较弱，主要构成调查评价区南侧弱透水边界，厚91-1334m。</w:t>
      </w:r>
    </w:p>
    <w:p>
      <w:pPr>
        <w:pStyle w:val="7"/>
        <w:ind w:firstLine="480"/>
      </w:pPr>
      <w:r>
        <w:t>坡脚组（D</w:t>
      </w:r>
      <w:r>
        <w:rPr>
          <w:vertAlign w:val="subscript"/>
        </w:rPr>
        <w:t>1</w:t>
      </w:r>
      <w:r>
        <w:t>p）</w:t>
      </w:r>
      <w:r>
        <w:rPr>
          <w:rFonts w:hint="eastAsia"/>
        </w:rPr>
        <w:t>：</w:t>
      </w:r>
      <w:r>
        <w:t>主要分布于调查区南侧，项目区西南侧，与翠峰山组整合接触，岩性为泥岩及泥质粉砂岩富水性较弱，主要构成调查评价区南侧弱透水边界，厚43-264m。</w:t>
      </w:r>
    </w:p>
    <w:p>
      <w:pPr>
        <w:pStyle w:val="7"/>
        <w:ind w:firstLine="480"/>
      </w:pPr>
      <w:r>
        <w:t>芭蕉菁组（D</w:t>
      </w:r>
      <w:r>
        <w:rPr>
          <w:vertAlign w:val="subscript"/>
        </w:rPr>
        <w:t>1</w:t>
      </w:r>
      <w:r>
        <w:t>b）</w:t>
      </w:r>
      <w:r>
        <w:rPr>
          <w:rFonts w:hint="eastAsia"/>
        </w:rPr>
        <w:t>：</w:t>
      </w:r>
      <w:r>
        <w:t>主要分布于调查区南侧，项目区西侧，成条带状近东西走向展布，与坡脚组整合接触，岩性为白云岩、白云质灰岩、泥灰岩，富水性强，厚50-335m。</w:t>
      </w:r>
    </w:p>
    <w:p>
      <w:pPr>
        <w:pStyle w:val="7"/>
        <w:ind w:firstLine="480"/>
      </w:pPr>
      <w:r>
        <w:rPr>
          <w:rFonts w:hint="eastAsia"/>
        </w:rPr>
        <w:t>（2）</w:t>
      </w:r>
      <w:r>
        <w:t>中泥盆统</w:t>
      </w:r>
    </w:p>
    <w:p>
      <w:pPr>
        <w:pStyle w:val="7"/>
        <w:ind w:firstLine="480"/>
      </w:pPr>
      <w:r>
        <w:t>古木组（D</w:t>
      </w:r>
      <w:r>
        <w:rPr>
          <w:vertAlign w:val="subscript"/>
        </w:rPr>
        <w:t>2</w:t>
      </w:r>
      <w:r>
        <w:t>g）</w:t>
      </w:r>
      <w:r>
        <w:rPr>
          <w:rFonts w:hint="eastAsia"/>
        </w:rPr>
        <w:t>：</w:t>
      </w:r>
      <w:r>
        <w:t>主要分布于评价区范围西侧，出露面积较大，为渣库区及周边出露主要地层，岩性为薄-厚层装灰岩、白云岩夹泥灰岩、鲕状灰岩，以泥晶粉晶、鲕粒结构为主，个别中晶。岩溶发育强烈，富水性强，厚84-374m。</w:t>
      </w:r>
    </w:p>
    <w:p>
      <w:pPr>
        <w:pStyle w:val="7"/>
        <w:ind w:firstLine="482"/>
        <w:rPr>
          <w:b/>
          <w:bCs/>
        </w:rPr>
      </w:pPr>
      <w:r>
        <w:rPr>
          <w:rFonts w:hint="eastAsia"/>
          <w:b/>
          <w:bCs/>
        </w:rPr>
        <w:t>4、石炭系</w:t>
      </w:r>
    </w:p>
    <w:p>
      <w:pPr>
        <w:pStyle w:val="7"/>
        <w:ind w:firstLine="480"/>
      </w:pPr>
      <w:r>
        <w:rPr>
          <w:rFonts w:hint="eastAsia"/>
        </w:rPr>
        <w:t>（1）</w:t>
      </w:r>
      <w:r>
        <w:t>下石炭统</w:t>
      </w:r>
    </w:p>
    <w:p>
      <w:pPr>
        <w:pStyle w:val="7"/>
        <w:ind w:firstLine="480"/>
      </w:pPr>
      <w:r>
        <w:t>大塘组（C</w:t>
      </w:r>
      <w:r>
        <w:rPr>
          <w:vertAlign w:val="subscript"/>
        </w:rPr>
        <w:t>1</w:t>
      </w:r>
      <w:r>
        <w:t>d）</w:t>
      </w:r>
      <w:r>
        <w:rPr>
          <w:rFonts w:hint="eastAsia"/>
        </w:rPr>
        <w:t>：</w:t>
      </w:r>
      <w:r>
        <w:t>分布于碧云村东侧，项目场地北侧，与下伏泥盆系中统古木组整合接触。近东西向呈条带状走向展布，受北东南西向平行压扭性断裂构造作用，地层走向岩东西向，在南北向成波浪形弯曲。岩性为浅灰局部深灰色中厚层灰岩，生物灰岩，厚27.04-387.65m。</w:t>
      </w:r>
    </w:p>
    <w:p>
      <w:pPr>
        <w:pStyle w:val="7"/>
        <w:ind w:firstLine="480"/>
      </w:pPr>
      <w:r>
        <w:rPr>
          <w:rFonts w:hint="eastAsia"/>
        </w:rPr>
        <w:t>（2）</w:t>
      </w:r>
      <w:r>
        <w:t>中石炭统</w:t>
      </w:r>
    </w:p>
    <w:p>
      <w:pPr>
        <w:pStyle w:val="7"/>
        <w:ind w:firstLine="480"/>
      </w:pPr>
      <w:r>
        <w:t>威宁组（C</w:t>
      </w:r>
      <w:r>
        <w:rPr>
          <w:vertAlign w:val="subscript"/>
        </w:rPr>
        <w:t>2</w:t>
      </w:r>
      <w:r>
        <w:t>w）</w:t>
      </w:r>
      <w:r>
        <w:rPr>
          <w:rFonts w:hint="eastAsia"/>
        </w:rPr>
        <w:t>：</w:t>
      </w:r>
      <w:r>
        <w:t>主要分布于调查区中部，近东西向呈条带状走向展布，受北东南西向平行压扭性断裂构造作用，地层走向岩东西向，在南北向成波浪形弯曲。岩性为灰色中-厚层灰岩，局部夹白云岩、白云质灰岩，厚121.24-168.61m。</w:t>
      </w:r>
    </w:p>
    <w:p>
      <w:pPr>
        <w:pStyle w:val="7"/>
        <w:ind w:firstLine="480"/>
      </w:pPr>
      <w:r>
        <w:rPr>
          <w:rFonts w:hint="eastAsia"/>
        </w:rPr>
        <w:t>（3）</w:t>
      </w:r>
      <w:r>
        <w:t>上石炭统</w:t>
      </w:r>
    </w:p>
    <w:p>
      <w:pPr>
        <w:pStyle w:val="7"/>
        <w:ind w:firstLine="480"/>
      </w:pPr>
      <w:r>
        <w:t>马平组（C</w:t>
      </w:r>
      <w:r>
        <w:rPr>
          <w:vertAlign w:val="subscript"/>
        </w:rPr>
        <w:t>3</w:t>
      </w:r>
      <w:r>
        <w:t>m）</w:t>
      </w:r>
      <w:r>
        <w:rPr>
          <w:rFonts w:hint="eastAsia"/>
        </w:rPr>
        <w:t>：</w:t>
      </w:r>
      <w:r>
        <w:t>分布于调查区北侧，受北东南西向平行压扭性断裂构造作用，地层走向岩东西向，在南北向成波浪形弯曲，岩性为灰白色厚层灰岩，局部夹白云岩、白云质灰岩及生物灰岩、硅质岩，厚41.83-198.20m。</w:t>
      </w:r>
    </w:p>
    <w:p>
      <w:pPr>
        <w:pStyle w:val="7"/>
        <w:ind w:firstLine="482"/>
        <w:rPr>
          <w:b/>
          <w:bCs/>
        </w:rPr>
      </w:pPr>
      <w:r>
        <w:rPr>
          <w:rFonts w:hint="eastAsia"/>
          <w:b/>
          <w:bCs/>
        </w:rPr>
        <w:t>5、二叠系</w:t>
      </w:r>
    </w:p>
    <w:p>
      <w:pPr>
        <w:pStyle w:val="7"/>
        <w:ind w:firstLine="480"/>
      </w:pPr>
      <w:r>
        <w:t>早期继承了石炭纪海盆，造成碳酸盐相沉积。之后东吴运动使海盆上升并伴之基性岩喷发。晚二叠世又发生了新的海侵，形成了碎屑岩相的龙潭组。</w:t>
      </w:r>
    </w:p>
    <w:p>
      <w:pPr>
        <w:pStyle w:val="7"/>
        <w:ind w:firstLine="480"/>
      </w:pPr>
      <w:r>
        <w:rPr>
          <w:rFonts w:hint="eastAsia"/>
        </w:rPr>
        <w:t>（1）</w:t>
      </w:r>
      <w:r>
        <w:t>下二叠统阳新组（P</w:t>
      </w:r>
      <w:r>
        <w:rPr>
          <w:vertAlign w:val="subscript"/>
        </w:rPr>
        <w:t>1</w:t>
      </w:r>
      <w:r>
        <w:t>）</w:t>
      </w:r>
      <w:r>
        <w:rPr>
          <w:rFonts w:hint="eastAsia"/>
        </w:rPr>
        <w:t>：</w:t>
      </w:r>
    </w:p>
    <w:p>
      <w:pPr>
        <w:pStyle w:val="7"/>
        <w:ind w:firstLine="480"/>
      </w:pPr>
      <w:r>
        <w:t>主要分布于评价区北侧及中部F</w:t>
      </w:r>
      <w:r>
        <w:rPr>
          <w:vertAlign w:val="subscript"/>
        </w:rPr>
        <w:t>2</w:t>
      </w:r>
      <w:r>
        <w:t>和F</w:t>
      </w:r>
      <w:r>
        <w:rPr>
          <w:vertAlign w:val="subscript"/>
        </w:rPr>
        <w:t>3</w:t>
      </w:r>
      <w:r>
        <w:t>断层之间夹持块段，与下伏地层呈整合接触。岩性为浅灰色厚层及块状灰岩，局部地段为白云质灰岩及白云岩，夹深色薄层及团块状硅质岩，厚0-603.21m。</w:t>
      </w:r>
    </w:p>
    <w:p>
      <w:pPr>
        <w:pStyle w:val="7"/>
        <w:ind w:firstLine="480"/>
      </w:pPr>
      <w:r>
        <w:rPr>
          <w:rFonts w:hint="eastAsia"/>
        </w:rPr>
        <w:t>（2）</w:t>
      </w:r>
      <w:r>
        <w:t>上二叠统</w:t>
      </w:r>
    </w:p>
    <w:p>
      <w:pPr>
        <w:pStyle w:val="7"/>
        <w:ind w:firstLine="480"/>
      </w:pPr>
      <w:r>
        <w:t>吴家坪组（P</w:t>
      </w:r>
      <w:r>
        <w:rPr>
          <w:vertAlign w:val="subscript"/>
        </w:rPr>
        <w:t>2</w:t>
      </w:r>
      <w:r>
        <w:t>w）</w:t>
      </w:r>
      <w:r>
        <w:rPr>
          <w:rFonts w:hint="eastAsia"/>
        </w:rPr>
        <w:t>：</w:t>
      </w:r>
      <w:r>
        <w:t>分布于项目场地北侧及北东侧一带，F</w:t>
      </w:r>
      <w:r>
        <w:rPr>
          <w:vertAlign w:val="subscript"/>
        </w:rPr>
        <w:t>1</w:t>
      </w:r>
      <w:r>
        <w:t>阻水断层东侧，厚层状灰岩、生物碎屑灰岩及白云岩，粉晶结构。底部夹页岩、铝土岩。厚32-266m。</w:t>
      </w:r>
    </w:p>
    <w:p>
      <w:pPr>
        <w:pStyle w:val="7"/>
        <w:ind w:firstLine="482"/>
        <w:rPr>
          <w:b/>
          <w:bCs/>
        </w:rPr>
      </w:pPr>
      <w:r>
        <w:rPr>
          <w:rFonts w:hint="eastAsia"/>
          <w:b/>
          <w:bCs/>
        </w:rPr>
        <w:t>6、三叠系</w:t>
      </w:r>
    </w:p>
    <w:p>
      <w:pPr>
        <w:pStyle w:val="7"/>
        <w:ind w:firstLine="480"/>
      </w:pPr>
      <w:r>
        <w:rPr>
          <w:rFonts w:hint="eastAsia"/>
        </w:rPr>
        <w:t>（1）</w:t>
      </w:r>
      <w:r>
        <w:t>下三叠统</w:t>
      </w:r>
    </w:p>
    <w:p>
      <w:pPr>
        <w:pStyle w:val="7"/>
        <w:ind w:firstLine="480"/>
      </w:pPr>
      <w:r>
        <w:t>洗马塘组（T</w:t>
      </w:r>
      <w:r>
        <w:rPr>
          <w:vertAlign w:val="subscript"/>
        </w:rPr>
        <w:t>1</w:t>
      </w:r>
      <w:r>
        <w:t>x）</w:t>
      </w:r>
      <w:r>
        <w:rPr>
          <w:rFonts w:hint="eastAsia"/>
        </w:rPr>
        <w:t>：</w:t>
      </w:r>
      <w:r>
        <w:t>主要分布项目区北东角及评价区北东侧边界，与吴家坪组呈不整合接触。岩性为薄层泥质粉砂岩、钙质泥岩夹细砂岩。厚23-248m。</w:t>
      </w:r>
    </w:p>
    <w:p>
      <w:pPr>
        <w:pStyle w:val="7"/>
        <w:bidi w:val="0"/>
      </w:pPr>
      <w:r>
        <w:rPr>
          <w:rFonts w:hint="eastAsia"/>
        </w:rPr>
        <w:t>（2）</w:t>
      </w:r>
      <w:r>
        <w:t>中三叠统</w:t>
      </w:r>
    </w:p>
    <w:p>
      <w:pPr>
        <w:pStyle w:val="7"/>
        <w:ind w:firstLine="480"/>
      </w:pPr>
      <w:r>
        <w:t>个旧组（T</w:t>
      </w:r>
      <w:r>
        <w:rPr>
          <w:vertAlign w:val="subscript"/>
        </w:rPr>
        <w:t>2</w:t>
      </w:r>
      <w:r>
        <w:t>g）</w:t>
      </w:r>
      <w:r>
        <w:rPr>
          <w:rFonts w:hint="eastAsia"/>
        </w:rPr>
        <w:t>：</w:t>
      </w:r>
      <w:r>
        <w:t>大面积分布于评价区北侧外边界的大部分区域。按岩性特征分为上下两段：</w:t>
      </w:r>
    </w:p>
    <w:p>
      <w:pPr>
        <w:pStyle w:val="7"/>
        <w:ind w:firstLine="480"/>
      </w:pPr>
      <w:r>
        <w:t>下段（T</w:t>
      </w:r>
      <w:r>
        <w:rPr>
          <w:vertAlign w:val="subscript"/>
        </w:rPr>
        <w:t>2</w:t>
      </w:r>
      <w:r>
        <w:t>g</w:t>
      </w:r>
      <w:r>
        <w:rPr>
          <w:vertAlign w:val="superscript"/>
        </w:rPr>
        <w:t>a</w:t>
      </w:r>
      <w:r>
        <w:t>）：灰至深灰色中-厚层白云岩夹白云质灰岩，局部夹泥灰岩、泥质及硅质团块。厚32.66-413.51m。</w:t>
      </w:r>
    </w:p>
    <w:p>
      <w:pPr>
        <w:pStyle w:val="7"/>
        <w:ind w:firstLine="480"/>
      </w:pPr>
      <w:r>
        <w:t>上段（T</w:t>
      </w:r>
      <w:r>
        <w:rPr>
          <w:vertAlign w:val="subscript"/>
        </w:rPr>
        <w:t>2</w:t>
      </w:r>
      <w:r>
        <w:t>g</w:t>
      </w:r>
      <w:r>
        <w:rPr>
          <w:vertAlign w:val="superscript"/>
        </w:rPr>
        <w:t>b</w:t>
      </w:r>
      <w:r>
        <w:t>）：灰及深灰色中-厚层状灰岩夹白云质灰岩，泥质灰岩夹泥灰岩，局部在底部夹泥岩、泥质岩及硅质团块。厚209.75-1275.48m。</w:t>
      </w:r>
    </w:p>
    <w:p>
      <w:pPr>
        <w:pStyle w:val="7"/>
        <w:ind w:firstLine="480"/>
      </w:pPr>
      <w:r>
        <w:t>该层与本次评价区关系不大。</w:t>
      </w:r>
    </w:p>
    <w:p>
      <w:pPr>
        <w:pStyle w:val="7"/>
        <w:ind w:firstLine="482"/>
        <w:rPr>
          <w:b/>
          <w:bCs/>
        </w:rPr>
      </w:pPr>
      <w:r>
        <w:rPr>
          <w:rFonts w:hint="eastAsia"/>
          <w:b/>
          <w:bCs/>
        </w:rPr>
        <w:t>7、下第三系</w:t>
      </w:r>
    </w:p>
    <w:p>
      <w:pPr>
        <w:pStyle w:val="7"/>
        <w:ind w:firstLine="480"/>
      </w:pPr>
      <w:r>
        <w:t>砚山组（Ey）</w:t>
      </w:r>
      <w:r>
        <w:rPr>
          <w:rFonts w:hint="eastAsia"/>
        </w:rPr>
        <w:t>：</w:t>
      </w:r>
      <w:r>
        <w:t>主要分布在项目场地南东角及以南至砚山县城大片区域，为砚山盆地主要含水层，岩性为含砾砂岩夹砾岩。厚</w:t>
      </w:r>
      <w:r>
        <w:rPr>
          <w:kern w:val="0"/>
        </w:rPr>
        <w:t>148-625m。</w:t>
      </w:r>
    </w:p>
    <w:p>
      <w:pPr>
        <w:pStyle w:val="7"/>
        <w:ind w:firstLine="482"/>
        <w:rPr>
          <w:b/>
          <w:bCs/>
        </w:rPr>
      </w:pPr>
      <w:r>
        <w:rPr>
          <w:rFonts w:hint="eastAsia"/>
          <w:b/>
          <w:bCs/>
        </w:rPr>
        <w:t>8、第四系</w:t>
      </w:r>
    </w:p>
    <w:p>
      <w:pPr>
        <w:pStyle w:val="7"/>
        <w:ind w:firstLine="480"/>
      </w:pPr>
      <w:r>
        <w:t>主要分布在盆地、谷地及河流阶地地带；另在剥夷面、山麓、洼地及洞穴等处也有堆积。与下伏各时代地层均呈不整合接触，厚度0-50m。按成因可分为残坡积（Q</w:t>
      </w:r>
      <w:r>
        <w:rPr>
          <w:vertAlign w:val="superscript"/>
        </w:rPr>
        <w:t>el+dl</w:t>
      </w:r>
      <w:r>
        <w:t>）、冲洪积（Q</w:t>
      </w:r>
      <w:r>
        <w:rPr>
          <w:vertAlign w:val="superscript"/>
        </w:rPr>
        <w:t>al+pl</w:t>
      </w:r>
      <w:r>
        <w:t>）两种。</w:t>
      </w:r>
    </w:p>
    <w:p>
      <w:pPr>
        <w:pStyle w:val="7"/>
        <w:ind w:firstLine="480"/>
      </w:pPr>
      <w:r>
        <w:t>1、残坡积（Q</w:t>
      </w:r>
      <w:r>
        <w:rPr>
          <w:vertAlign w:val="superscript"/>
        </w:rPr>
        <w:t>el+dl</w:t>
      </w:r>
      <w:r>
        <w:t>）</w:t>
      </w:r>
    </w:p>
    <w:p>
      <w:pPr>
        <w:pStyle w:val="7"/>
        <w:ind w:firstLine="480"/>
      </w:pPr>
      <w:r>
        <w:t>在山坡、山麓及地形低洼处分布，为灰色、褐红色粘土、红粘土及碎石。</w:t>
      </w:r>
    </w:p>
    <w:p>
      <w:pPr>
        <w:pStyle w:val="7"/>
        <w:ind w:firstLine="480"/>
      </w:pPr>
      <w:r>
        <w:t>2、冲洪积（Q</w:t>
      </w:r>
      <w:r>
        <w:rPr>
          <w:vertAlign w:val="superscript"/>
        </w:rPr>
        <w:t>al+pl</w:t>
      </w:r>
      <w:r>
        <w:t>）</w:t>
      </w:r>
    </w:p>
    <w:p>
      <w:pPr>
        <w:pStyle w:val="7"/>
        <w:ind w:firstLine="480"/>
      </w:pPr>
      <w:r>
        <w:t>主要分布于河谷地带，在季节性河流及岩溶洼地地带也有分布，区内主要分布于评价区内岩溶洼地处及山麓、沟口处。</w:t>
      </w:r>
    </w:p>
    <w:p>
      <w:pPr>
        <w:pStyle w:val="9"/>
      </w:pPr>
      <w:r>
        <w:rPr>
          <w:rFonts w:hint="eastAsia"/>
        </w:rPr>
        <w:t>6.4.1.3区域地质构造</w:t>
      </w:r>
    </w:p>
    <w:p>
      <w:pPr>
        <w:pStyle w:val="7"/>
        <w:ind w:firstLine="480"/>
      </w:pPr>
      <w:r>
        <w:rPr>
          <w:rFonts w:hint="eastAsia"/>
        </w:rPr>
        <w:t>据《1：20万文山幅水文地质普查报告》，评价区按构造的展布形态及发育程度主要为旋钮构造、北东向构造两个类型。这些构造在不同程度上控制了地下水运动的规律，各构造类型见图6.4-1。</w:t>
      </w:r>
    </w:p>
    <w:p>
      <w:pPr>
        <w:pStyle w:val="7"/>
        <w:ind w:firstLine="0" w:firstLineChars="0"/>
      </w:pPr>
      <w:r>
        <w:drawing>
          <wp:inline distT="0" distB="0" distL="0" distR="0">
            <wp:extent cx="5261610" cy="3467735"/>
            <wp:effectExtent l="0" t="0" r="15240" b="18415"/>
            <wp:docPr id="55" name="图片 55"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未命名"/>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61610" cy="3467735"/>
                    </a:xfrm>
                    <a:prstGeom prst="rect">
                      <a:avLst/>
                    </a:prstGeom>
                    <a:noFill/>
                    <a:ln>
                      <a:noFill/>
                    </a:ln>
                  </pic:spPr>
                </pic:pic>
              </a:graphicData>
            </a:graphic>
          </wp:inline>
        </w:drawing>
      </w:r>
    </w:p>
    <w:p>
      <w:pPr>
        <w:pStyle w:val="44"/>
      </w:pPr>
      <w:r>
        <w:rPr>
          <w:rFonts w:hint="eastAsia"/>
        </w:rPr>
        <w:t>图6.4-1  区域构造纲要图</w:t>
      </w:r>
    </w:p>
    <w:p>
      <w:pPr>
        <w:pStyle w:val="7"/>
        <w:ind w:firstLine="480"/>
      </w:pPr>
      <w:r>
        <w:rPr>
          <w:rFonts w:hint="eastAsia"/>
        </w:rPr>
        <w:t>结合图6.4-1可以看出，区域上属文山巨型旋扭构造控制，构造活动频繁，地质条件复杂。</w:t>
      </w:r>
    </w:p>
    <w:p>
      <w:pPr>
        <w:pStyle w:val="7"/>
        <w:ind w:firstLine="480"/>
      </w:pPr>
      <w:r>
        <w:t>（1）断裂</w:t>
      </w:r>
    </w:p>
    <w:p>
      <w:pPr>
        <w:pStyle w:val="7"/>
        <w:ind w:firstLine="480"/>
        <w:rPr>
          <w:szCs w:val="22"/>
        </w:rPr>
      </w:pPr>
      <w:r>
        <w:rPr>
          <w:szCs w:val="22"/>
        </w:rPr>
        <w:t>F</w:t>
      </w:r>
      <w:r>
        <w:rPr>
          <w:szCs w:val="22"/>
          <w:vertAlign w:val="subscript"/>
        </w:rPr>
        <w:t>4</w:t>
      </w:r>
      <w:r>
        <w:rPr>
          <w:szCs w:val="22"/>
        </w:rPr>
        <w:t>文麻断裂（即下文F</w:t>
      </w:r>
      <w:r>
        <w:rPr>
          <w:szCs w:val="22"/>
          <w:vertAlign w:val="subscript"/>
        </w:rPr>
        <w:t>49</w:t>
      </w:r>
      <w:r>
        <w:rPr>
          <w:szCs w:val="22"/>
        </w:rPr>
        <w:t>断裂）：分布于项目区南西部约38km处，为距工程场地最近的区域活动断裂，由F</w:t>
      </w:r>
      <w:r>
        <w:rPr>
          <w:szCs w:val="22"/>
          <w:vertAlign w:val="subscript"/>
        </w:rPr>
        <w:t>4</w:t>
      </w:r>
      <w:r>
        <w:rPr>
          <w:szCs w:val="22"/>
          <w:vertAlign w:val="superscript"/>
        </w:rPr>
        <w:t>1</w:t>
      </w:r>
      <w:r>
        <w:rPr>
          <w:szCs w:val="22"/>
        </w:rPr>
        <w:t>、F</w:t>
      </w:r>
      <w:r>
        <w:rPr>
          <w:szCs w:val="22"/>
          <w:vertAlign w:val="subscript"/>
        </w:rPr>
        <w:t>4</w:t>
      </w:r>
      <w:r>
        <w:rPr>
          <w:szCs w:val="22"/>
          <w:vertAlign w:val="superscript"/>
        </w:rPr>
        <w:t>2</w:t>
      </w:r>
      <w:r>
        <w:rPr>
          <w:szCs w:val="22"/>
        </w:rPr>
        <w:t>两支组成。该断裂北起平远街盆地边缘平坝寨，向南经文山、</w:t>
      </w:r>
      <w:r>
        <w:rPr>
          <w:rFonts w:hint="eastAsia"/>
          <w:szCs w:val="22"/>
          <w:lang w:eastAsia="zh-CN"/>
        </w:rPr>
        <w:t>麻栗坡</w:t>
      </w:r>
      <w:r>
        <w:rPr>
          <w:szCs w:val="22"/>
        </w:rPr>
        <w:t>至越南，云南境内长约150km。该断裂控制了马塘、文山等新生代盆地的形成和发育，破碎带宽2～50m。文山盆地西侧边缘可见高达上百米的断层崖，并在盆地内上第三系（N</w:t>
      </w:r>
      <w:r>
        <w:rPr>
          <w:szCs w:val="22"/>
          <w:vertAlign w:val="subscript"/>
        </w:rPr>
        <w:t>2</w:t>
      </w:r>
      <w:r>
        <w:rPr>
          <w:szCs w:val="22"/>
        </w:rPr>
        <w:t>）粘土岩中见褶皱、断裂现象；马塘盆地内中更新统（Q</w:t>
      </w:r>
      <w:r>
        <w:rPr>
          <w:szCs w:val="22"/>
          <w:vertAlign w:val="subscript"/>
        </w:rPr>
        <w:t>2</w:t>
      </w:r>
      <w:r>
        <w:rPr>
          <w:szCs w:val="22"/>
        </w:rPr>
        <w:t>）砾石层中垂直错距达1.2m，并有白沙坡温泉、文山卫校温泉沿断裂带出露。该断裂为第四纪以来仍在活动的断裂。</w:t>
      </w:r>
    </w:p>
    <w:p>
      <w:pPr>
        <w:pStyle w:val="7"/>
        <w:ind w:firstLine="480"/>
        <w:rPr>
          <w:szCs w:val="22"/>
        </w:rPr>
      </w:pPr>
      <w:r>
        <w:rPr>
          <w:szCs w:val="22"/>
        </w:rPr>
        <w:t>F</w:t>
      </w:r>
      <w:r>
        <w:rPr>
          <w:szCs w:val="22"/>
          <w:vertAlign w:val="subscript"/>
        </w:rPr>
        <w:t>3</w:t>
      </w:r>
      <w:r>
        <w:rPr>
          <w:szCs w:val="22"/>
        </w:rPr>
        <w:t>断层：分布于项目区东侧约5km处，起于文山盆地北侧边缘，向北东约40°左右延伸，经砚山盆地南东边缘，止于干河东侧约12km处，属北东向构造的一条断裂，倾向南东，倾角65～75°，区域长度35km左右。断层北西盘上升，南东盘下降，最大升降幅度约170m。该断裂距项目区较远，对工程建设影响不大。</w:t>
      </w:r>
    </w:p>
    <w:p>
      <w:pPr>
        <w:pStyle w:val="7"/>
        <w:ind w:firstLine="480"/>
        <w:rPr>
          <w:szCs w:val="22"/>
        </w:rPr>
      </w:pPr>
      <w:r>
        <w:rPr>
          <w:szCs w:val="22"/>
        </w:rPr>
        <w:t>F</w:t>
      </w:r>
      <w:r>
        <w:rPr>
          <w:szCs w:val="22"/>
          <w:vertAlign w:val="subscript"/>
        </w:rPr>
        <w:t>2</w:t>
      </w:r>
      <w:r>
        <w:rPr>
          <w:szCs w:val="22"/>
        </w:rPr>
        <w:t>断层：由场地内中部通过。断裂起于文山盆地北侧，向北东约55°左右延伸，经砚山盆地西侧边缘，止于干河东侧约2km处，于砚山盆地内被第四系覆盖，属北东向构造的一条断裂，倾向南东，倾角78°，区域长度30km左右。断层北西盘上升，南东盘下降。该断裂距场地近，对场区岩体破坏较强烈，对工程建设有一定影响。</w:t>
      </w:r>
    </w:p>
    <w:p>
      <w:pPr>
        <w:pStyle w:val="7"/>
        <w:ind w:firstLine="480"/>
        <w:rPr>
          <w:szCs w:val="22"/>
        </w:rPr>
      </w:pPr>
      <w:r>
        <w:rPr>
          <w:szCs w:val="22"/>
        </w:rPr>
        <w:t>F</w:t>
      </w:r>
      <w:r>
        <w:rPr>
          <w:szCs w:val="22"/>
          <w:vertAlign w:val="subscript"/>
        </w:rPr>
        <w:t>1</w:t>
      </w:r>
      <w:r>
        <w:rPr>
          <w:szCs w:val="22"/>
        </w:rPr>
        <w:t>断层：分布于项目区西侧约10km处，起于拖白泥东侧，呈北东向延伸，经统卡，止于干河南西侧约6km处，为北东向构造的一条断裂，区域上长达22km，倾向南东。断裂南东盘下降，北西盘上升。该断层对项目区内地质灾害的孕育无直接关系。</w:t>
      </w:r>
    </w:p>
    <w:p>
      <w:pPr>
        <w:pStyle w:val="7"/>
        <w:ind w:firstLine="480"/>
      </w:pPr>
      <w:r>
        <w:t>（2）褶皱</w:t>
      </w:r>
    </w:p>
    <w:p>
      <w:pPr>
        <w:pStyle w:val="7"/>
        <w:ind w:firstLine="480"/>
        <w:rPr>
          <w:szCs w:val="22"/>
        </w:rPr>
      </w:pPr>
      <w:r>
        <w:rPr>
          <w:szCs w:val="22"/>
        </w:rPr>
        <w:t>项目区处于砚山盆地北东侧边缘，区域上处于文山—阿锰复向斜的中部。文山—阿锰复向斜自石洞，经阿锰、五珠至威龙，长约80km，由多个次级向斜和次级背斜组成。核部宽3～10km，核部地层自南西向北东为T</w:t>
      </w:r>
      <w:r>
        <w:rPr>
          <w:szCs w:val="22"/>
          <w:vertAlign w:val="subscript"/>
        </w:rPr>
        <w:t>2</w:t>
      </w:r>
      <w:r>
        <w:rPr>
          <w:szCs w:val="22"/>
        </w:rPr>
        <w:t>g、P</w:t>
      </w:r>
      <w:r>
        <w:rPr>
          <w:szCs w:val="22"/>
          <w:vertAlign w:val="subscript"/>
        </w:rPr>
        <w:t>2</w:t>
      </w:r>
      <w:r>
        <w:rPr>
          <w:szCs w:val="22"/>
        </w:rPr>
        <w:t>w地层，翼部为P、C、D地层。由于受后期断裂构造的切错，该复向斜失去了完整性，砚山盆地一带被Ey掩盖。项目区一带地层主要表现为单斜，地层向北东倾斜，地层产状0～65°∠20～35°。</w:t>
      </w:r>
    </w:p>
    <w:p>
      <w:pPr>
        <w:pStyle w:val="8"/>
      </w:pPr>
      <w:r>
        <w:rPr>
          <w:rFonts w:hint="eastAsia"/>
        </w:rPr>
        <w:t>6.4.2水文地质环境调查与评价</w:t>
      </w:r>
    </w:p>
    <w:p>
      <w:pPr>
        <w:pStyle w:val="7"/>
        <w:ind w:firstLine="480"/>
      </w:pPr>
      <w:r>
        <w:rPr>
          <w:rFonts w:hint="eastAsia"/>
        </w:rPr>
        <w:t>由于拟建项目场地南侧位于砚山盆地边缘，结合区域水文地质条件特征，本次评价根据1:20万文山幅水文地质报告对砚山盆地水文地质特征进行分析。</w:t>
      </w:r>
    </w:p>
    <w:p>
      <w:pPr>
        <w:pStyle w:val="9"/>
      </w:pPr>
      <w:r>
        <w:rPr>
          <w:rFonts w:hint="eastAsia"/>
        </w:rPr>
        <w:t>6.4.2.1评价区水文地质条件</w:t>
      </w:r>
    </w:p>
    <w:p>
      <w:pPr>
        <w:pStyle w:val="7"/>
        <w:ind w:firstLine="480"/>
      </w:pPr>
      <w:r>
        <w:t>（</w:t>
      </w:r>
      <w:r>
        <w:rPr>
          <w:rFonts w:hint="eastAsia"/>
        </w:rPr>
        <w:t>一</w:t>
      </w:r>
      <w:r>
        <w:t>）概况</w:t>
      </w:r>
    </w:p>
    <w:p>
      <w:pPr>
        <w:pStyle w:val="7"/>
        <w:ind w:firstLine="480"/>
      </w:pPr>
      <w:r>
        <w:t>砚山盆地的延伸受北东向构造控制，北宽南窄，宽2-7公里，长22公里，面积128平方公里。砚山盆地为构造溶蚀一堆积盆地。盆地内第三纪地层厚897米，第四纪红土厚5-22米，基底为P</w:t>
      </w:r>
      <w:r>
        <w:rPr>
          <w:vertAlign w:val="subscript"/>
        </w:rPr>
        <w:t>1</w:t>
      </w:r>
      <w:r>
        <w:t>、T</w:t>
      </w:r>
      <w:r>
        <w:rPr>
          <w:vertAlign w:val="subscript"/>
        </w:rPr>
        <w:t>2</w:t>
      </w:r>
      <w:r>
        <w:t>g</w:t>
      </w:r>
      <w:r>
        <w:rPr>
          <w:vertAlign w:val="superscript"/>
        </w:rPr>
        <w:t>a</w:t>
      </w:r>
      <w:r>
        <w:t>灰岩与白云岩。基底在盆地中部、南部的部份地段埋深较浅，多呈溶峰裸露地表。在新第三纪时盆地内裸露的碳酸盐岩曾受到强烈的溶蚀，遗留下二层溶洞及孤峰平原式的石林期剥蚀面。</w:t>
      </w:r>
    </w:p>
    <w:p>
      <w:pPr>
        <w:pStyle w:val="7"/>
        <w:ind w:firstLine="0" w:firstLineChars="0"/>
        <w:jc w:val="center"/>
      </w:pPr>
      <w:r>
        <mc:AlternateContent>
          <mc:Choice Requires="wps">
            <w:drawing>
              <wp:anchor distT="0" distB="0" distL="114300" distR="114300" simplePos="0" relativeHeight="251661312" behindDoc="0" locked="0" layoutInCell="1" allowOverlap="1">
                <wp:simplePos x="0" y="0"/>
                <wp:positionH relativeFrom="column">
                  <wp:posOffset>1265555</wp:posOffset>
                </wp:positionH>
                <wp:positionV relativeFrom="paragraph">
                  <wp:posOffset>422910</wp:posOffset>
                </wp:positionV>
                <wp:extent cx="1488440" cy="154305"/>
                <wp:effectExtent l="0" t="38100" r="16510" b="17145"/>
                <wp:wrapNone/>
                <wp:docPr id="64" name="连接符: 肘形 64"/>
                <wp:cNvGraphicFramePr/>
                <a:graphic xmlns:a="http://schemas.openxmlformats.org/drawingml/2006/main">
                  <a:graphicData uri="http://schemas.microsoft.com/office/word/2010/wordprocessingShape">
                    <wps:wsp>
                      <wps:cNvCnPr>
                        <a:cxnSpLocks noChangeShapeType="1"/>
                      </wps:cNvCnPr>
                      <wps:spPr bwMode="auto">
                        <a:xfrm flipV="1">
                          <a:off x="0" y="0"/>
                          <a:ext cx="1488440" cy="154305"/>
                        </a:xfrm>
                        <a:prstGeom prst="bentConnector3">
                          <a:avLst>
                            <a:gd name="adj1" fmla="val 50000"/>
                          </a:avLst>
                        </a:prstGeom>
                        <a:noFill/>
                        <a:ln w="6350" algn="ctr">
                          <a:solidFill>
                            <a:srgbClr val="FF0000"/>
                          </a:solidFill>
                          <a:miter lim="800000"/>
                          <a:tailEnd type="triangle" w="med" len="med"/>
                        </a:ln>
                      </wps:spPr>
                      <wps:bodyPr/>
                    </wps:wsp>
                  </a:graphicData>
                </a:graphic>
              </wp:anchor>
            </w:drawing>
          </mc:Choice>
          <mc:Fallback>
            <w:pict>
              <v:shape id="连接符: 肘形 64" o:spid="_x0000_s1026" o:spt="34" type="#_x0000_t34" style="position:absolute;left:0pt;flip:y;margin-left:99.65pt;margin-top:33.3pt;height:12.15pt;width:117.2pt;z-index:251661312;mso-width-relative:page;mso-height-relative:page;" filled="f" stroked="t" coordsize="21600,21600" o:gfxdata="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qQn1d1QAAAAkBAAAPAAAAAAAAAAEAIAAAACIAAABkcnMvZG93bnJl&#10;di54bWxQSwECFAAUAAAACACHTuJAHOy3GjkCAAA6BAAADgAAAAAAAAABACAAAAAkAQAAZHJzL2Uy&#10;b0RvYy54bWxQSwUGAAAAAAYABgBZAQAAzwUAAAAA&#10;" adj="10800">
                <v:fill on="f" focussize="0,0"/>
                <v:stroke weight="0.5pt" color="#FF0000" miterlimit="8" joinstyle="miter" endarrow="block"/>
                <v:imagedata o:title=""/>
                <o:lock v:ext="edit" aspectratio="f"/>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913765</wp:posOffset>
                </wp:positionH>
                <wp:positionV relativeFrom="paragraph">
                  <wp:posOffset>323215</wp:posOffset>
                </wp:positionV>
                <wp:extent cx="391160" cy="146050"/>
                <wp:effectExtent l="6350" t="6350" r="21590" b="19050"/>
                <wp:wrapNone/>
                <wp:docPr id="63" name="矩形 63"/>
                <wp:cNvGraphicFramePr/>
                <a:graphic xmlns:a="http://schemas.openxmlformats.org/drawingml/2006/main">
                  <a:graphicData uri="http://schemas.microsoft.com/office/word/2010/wordprocessingShape">
                    <wps:wsp>
                      <wps:cNvSpPr/>
                      <wps:spPr>
                        <a:xfrm>
                          <a:off x="0" y="0"/>
                          <a:ext cx="391160" cy="146050"/>
                        </a:xfrm>
                        <a:prstGeom prst="rect">
                          <a:avLst/>
                        </a:prstGeom>
                        <a:noFill/>
                        <a:ln w="12700" cap="flat" cmpd="sng" algn="ctr">
                          <a:solidFill>
                            <a:srgbClr val="5B9BD5">
                              <a:shade val="50000"/>
                            </a:srgbClr>
                          </a:solidFill>
                          <a:prstDash val="solid"/>
                          <a:miter lim="800000"/>
                        </a:ln>
                        <a:effectLst/>
                      </wps:spPr>
                      <wps:txbx>
                        <w:txbxContent>
                          <w:p>
                            <w:pPr>
                              <w:jc w:val="center"/>
                              <w:rPr>
                                <w:color w:val="000000"/>
                                <w:sz w:val="15"/>
                              </w:rPr>
                            </w:pPr>
                            <w:r>
                              <w:rPr>
                                <w:rFonts w:hint="eastAsia"/>
                                <w:color w:val="000000"/>
                                <w:sz w:val="15"/>
                              </w:rPr>
                              <w:t>项目区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71.95pt;margin-top:25.45pt;height:11.5pt;width:30.8pt;z-index:251662336;v-text-anchor:middle;mso-width-relative:page;mso-height-relative:page;" filled="f" stroked="t" coordsize="21600,21600" o:gfxdata="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MFRmTXAAAACQEAAA8AAAAAAAAAAQAgAAAA&#10;IgAAAGRycy9kb3ducmV2LnhtbFBLAQIUABQAAAAIAIdO4kDytjAkfgIAAPYEAAAOAAAAAAAAAAEA&#10;IAAAACYBAABkcnMvZTJvRG9jLnhtbFBLBQYAAAAABgAGAFkBAAAWBgAAAAA=&#10;">
                <v:fill on="f" focussize="0,0"/>
                <v:stroke weight="1pt" color="#41719C" miterlimit="8" joinstyle="miter"/>
                <v:imagedata o:title=""/>
                <o:lock v:ext="edit" aspectratio="f"/>
                <v:textbox inset="0mm,0mm,0mm,0mm">
                  <w:txbxContent>
                    <w:p>
                      <w:pPr>
                        <w:jc w:val="center"/>
                        <w:rPr>
                          <w:color w:val="000000"/>
                          <w:sz w:val="15"/>
                        </w:rPr>
                      </w:pPr>
                      <w:r>
                        <w:rPr>
                          <w:rFonts w:hint="eastAsia"/>
                          <w:color w:val="000000"/>
                          <w:sz w:val="15"/>
                        </w:rPr>
                        <w:t>项目区</w:t>
                      </w:r>
                    </w:p>
                  </w:txbxContent>
                </v:textbox>
              </v:rect>
            </w:pict>
          </mc:Fallback>
        </mc:AlternateContent>
      </w:r>
      <w:r>
        <w:drawing>
          <wp:inline distT="0" distB="0" distL="0" distR="0">
            <wp:extent cx="4735830" cy="6236335"/>
            <wp:effectExtent l="0" t="0" r="7620" b="12065"/>
            <wp:docPr id="53" name="图片 53" descr="砚山盆地规划环评用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砚山盆地规划环评用水文地质图"/>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4739612" cy="6241746"/>
                    </a:xfrm>
                    <a:prstGeom prst="rect">
                      <a:avLst/>
                    </a:prstGeom>
                    <a:noFill/>
                    <a:ln>
                      <a:noFill/>
                    </a:ln>
                  </pic:spPr>
                </pic:pic>
              </a:graphicData>
            </a:graphic>
          </wp:inline>
        </w:drawing>
      </w:r>
    </w:p>
    <w:p>
      <w:pPr>
        <w:pStyle w:val="44"/>
      </w:pPr>
      <w:r>
        <w:t>图</w:t>
      </w:r>
      <w:r>
        <w:rPr>
          <w:rFonts w:hint="eastAsia"/>
        </w:rPr>
        <w:t>6.4-</w:t>
      </w:r>
      <w:r>
        <w:t xml:space="preserve">2 </w:t>
      </w:r>
      <w:r>
        <w:rPr>
          <w:rFonts w:hint="eastAsia"/>
        </w:rPr>
        <w:t xml:space="preserve"> </w:t>
      </w:r>
      <w:r>
        <w:t>砚山盆地水文地质图</w:t>
      </w:r>
    </w:p>
    <w:p>
      <w:pPr>
        <w:pStyle w:val="7"/>
        <w:ind w:firstLine="480"/>
      </w:pPr>
      <w:r>
        <w:t>砚山盆地现处于南盘江与红河水系的分水岭地带，海拔1550米，四周为多形态的岩溶地貌类型，南、北两面的峰丛洼地的洼地面低于盆地面，东面峰丛谷地面与盆地面海拔相近，仅西面由下古生界碳酸盐岩构成的岩溶低中山海拔高于盆地面，高程1600-1900米。由此可见，砚山盆地内的地下水主要形成于盆地本身，少量可能依赖于西部山区的补给。受构造影响，评价区地下水主要沿着南西向北东方向径流，最终排泄于北东侧公革河</w:t>
      </w:r>
      <w:r>
        <w:rPr>
          <w:rFonts w:hint="eastAsia"/>
        </w:rPr>
        <w:t>。</w:t>
      </w:r>
    </w:p>
    <w:p>
      <w:pPr>
        <w:pStyle w:val="7"/>
        <w:ind w:firstLine="480"/>
        <w:rPr>
          <w:lang w:val="zh-CN"/>
        </w:rPr>
      </w:pPr>
      <w:r>
        <w:rPr>
          <w:rFonts w:hint="eastAsia"/>
          <w:lang w:val="zh-CN"/>
        </w:rPr>
        <w:t>（</w:t>
      </w:r>
      <w:r>
        <w:rPr>
          <w:rFonts w:hint="eastAsia"/>
        </w:rPr>
        <w:t>二</w:t>
      </w:r>
      <w:r>
        <w:rPr>
          <w:rFonts w:hint="eastAsia"/>
          <w:lang w:val="zh-CN"/>
        </w:rPr>
        <w:t>）新生界水文地质特征</w:t>
      </w:r>
    </w:p>
    <w:p>
      <w:pPr>
        <w:pStyle w:val="7"/>
        <w:ind w:firstLine="480"/>
        <w:rPr>
          <w:lang w:val="zh-CN"/>
        </w:rPr>
      </w:pPr>
      <w:r>
        <w:rPr>
          <w:rFonts w:hint="eastAsia"/>
        </w:rPr>
        <w:t>1、</w:t>
      </w:r>
      <w:r>
        <w:rPr>
          <w:rFonts w:hint="eastAsia"/>
          <w:lang w:val="zh-CN"/>
        </w:rPr>
        <w:t>第四系残坡积层夹冲洪积层孔隙水</w:t>
      </w:r>
    </w:p>
    <w:p>
      <w:pPr>
        <w:pStyle w:val="7"/>
        <w:ind w:firstLine="480"/>
        <w:rPr>
          <w:lang w:val="zh-CN"/>
        </w:rPr>
      </w:pPr>
      <w:r>
        <w:rPr>
          <w:rFonts w:hint="eastAsia"/>
          <w:lang w:val="zh-CN"/>
        </w:rPr>
        <w:t>分布于盆地中部的砚山城和南部法土龙一带，堆积层以红色、淡黄色砂质粘土为主，厚</w:t>
      </w:r>
      <w:r>
        <w:rPr>
          <w:lang w:val="zh-CN"/>
        </w:rPr>
        <w:t>5-22</w:t>
      </w:r>
      <w:r>
        <w:rPr>
          <w:rFonts w:hint="eastAsia"/>
          <w:lang w:val="zh-CN"/>
        </w:rPr>
        <w:t>米，局部夹少量较薄的冲洪积砂砾石层。该层不连续地覆盖于</w:t>
      </w:r>
      <w:r>
        <w:rPr>
          <w:lang w:val="zh-CN"/>
        </w:rPr>
        <w:t>P</w:t>
      </w:r>
      <w:r>
        <w:rPr>
          <w:vertAlign w:val="subscript"/>
          <w:lang w:val="zh-CN"/>
        </w:rPr>
        <w:t>1</w:t>
      </w:r>
      <w:r>
        <w:rPr>
          <w:rFonts w:hint="eastAsia"/>
          <w:lang w:val="zh-CN"/>
        </w:rPr>
        <w:t>、</w:t>
      </w:r>
      <w:r>
        <w:rPr>
          <w:lang w:val="zh-CN"/>
        </w:rPr>
        <w:t>T</w:t>
      </w:r>
      <w:r>
        <w:rPr>
          <w:vertAlign w:val="subscript"/>
          <w:lang w:val="zh-CN"/>
        </w:rPr>
        <w:t>2</w:t>
      </w:r>
      <w:r>
        <w:rPr>
          <w:lang w:val="zh-CN"/>
        </w:rPr>
        <w:t>g</w:t>
      </w:r>
      <w:r>
        <w:rPr>
          <w:vertAlign w:val="superscript"/>
          <w:lang w:val="zh-CN"/>
        </w:rPr>
        <w:t>a</w:t>
      </w:r>
      <w:r>
        <w:rPr>
          <w:rFonts w:hint="eastAsia"/>
          <w:lang w:val="zh-CN"/>
        </w:rPr>
        <w:t>碳酸盐岩之上，表面为起伏平缓的波地景观。据砚山城</w:t>
      </w:r>
      <w:r>
        <w:rPr>
          <w:lang w:val="zh-CN"/>
        </w:rPr>
        <w:t>3001</w:t>
      </w:r>
      <w:r>
        <w:rPr>
          <w:rFonts w:hint="eastAsia"/>
          <w:lang w:val="zh-CN"/>
        </w:rPr>
        <w:t>点的民井抽水试验，单位涌水量</w:t>
      </w:r>
      <w:r>
        <w:rPr>
          <w:lang w:val="zh-CN"/>
        </w:rPr>
        <w:t>0.085</w:t>
      </w:r>
      <w:r>
        <w:rPr>
          <w:rFonts w:hint="eastAsia"/>
          <w:lang w:val="zh-CN"/>
        </w:rPr>
        <w:t>升</w:t>
      </w:r>
      <w:r>
        <w:rPr>
          <w:lang w:val="zh-CN"/>
        </w:rPr>
        <w:t>/</w:t>
      </w:r>
      <w:r>
        <w:rPr>
          <w:rFonts w:hint="eastAsia"/>
          <w:lang w:val="zh-CN"/>
        </w:rPr>
        <w:t>秒</w:t>
      </w:r>
      <w:r>
        <w:rPr>
          <w:lang w:val="zh-CN"/>
        </w:rPr>
        <w:t>.</w:t>
      </w:r>
      <w:r>
        <w:rPr>
          <w:rFonts w:hint="eastAsia"/>
          <w:lang w:val="zh-CN"/>
        </w:rPr>
        <w:t>米，属弱含水层。其水化学类型</w:t>
      </w:r>
      <w:r>
        <w:rPr>
          <w:lang w:val="zh-CN"/>
        </w:rPr>
        <w:t>HCOs-Ca-Mg</w:t>
      </w:r>
      <w:r>
        <w:rPr>
          <w:rFonts w:hint="eastAsia"/>
          <w:lang w:val="zh-CN"/>
        </w:rPr>
        <w:t>型，矿化度</w:t>
      </w:r>
      <w:r>
        <w:rPr>
          <w:lang w:val="zh-CN"/>
        </w:rPr>
        <w:t>0.416</w:t>
      </w:r>
      <w:r>
        <w:rPr>
          <w:rFonts w:hint="eastAsia"/>
          <w:lang w:val="zh-CN"/>
        </w:rPr>
        <w:t>克</w:t>
      </w:r>
      <w:r>
        <w:rPr>
          <w:lang w:val="zh-CN"/>
        </w:rPr>
        <w:t>/</w:t>
      </w:r>
      <w:r>
        <w:rPr>
          <w:rFonts w:hint="eastAsia"/>
          <w:lang w:val="zh-CN"/>
        </w:rPr>
        <w:t>升。</w:t>
      </w:r>
    </w:p>
    <w:p>
      <w:pPr>
        <w:pStyle w:val="7"/>
        <w:ind w:firstLine="480"/>
        <w:rPr>
          <w:lang w:val="zh-CN"/>
        </w:rPr>
      </w:pPr>
      <w:r>
        <w:rPr>
          <w:rFonts w:hint="eastAsia"/>
        </w:rPr>
        <w:t>2、</w:t>
      </w:r>
      <w:r>
        <w:rPr>
          <w:rFonts w:hint="eastAsia"/>
          <w:lang w:val="zh-CN"/>
        </w:rPr>
        <w:t>新第三系</w:t>
      </w:r>
      <w:r>
        <w:rPr>
          <w:lang w:val="zh-CN"/>
        </w:rPr>
        <w:t>Nh</w:t>
      </w:r>
      <w:r>
        <w:rPr>
          <w:rFonts w:hint="eastAsia"/>
          <w:lang w:val="zh-CN"/>
        </w:rPr>
        <w:t>隔水层</w:t>
      </w:r>
    </w:p>
    <w:p>
      <w:pPr>
        <w:pStyle w:val="7"/>
        <w:ind w:firstLine="480"/>
        <w:rPr>
          <w:lang w:val="zh-CN"/>
        </w:rPr>
      </w:pPr>
      <w:r>
        <w:rPr>
          <w:rFonts w:hint="eastAsia"/>
          <w:lang w:val="zh-CN"/>
        </w:rPr>
        <w:t>分布于砚山县城南面窑上至白泥井一带，上</w:t>
      </w:r>
      <w:r>
        <w:rPr>
          <w:lang w:val="zh-CN"/>
        </w:rPr>
        <w:t xml:space="preserve"> </w:t>
      </w:r>
      <w:r>
        <w:rPr>
          <w:rFonts w:hint="eastAsia"/>
          <w:lang w:val="zh-CN"/>
        </w:rPr>
        <w:t>部以中厚层粘土岩为主，下部以凝灰质角砾岩为主，厚度大于</w:t>
      </w:r>
      <w:r>
        <w:rPr>
          <w:lang w:val="zh-CN"/>
        </w:rPr>
        <w:t>274</w:t>
      </w:r>
      <w:r>
        <w:rPr>
          <w:rFonts w:hint="eastAsia"/>
          <w:lang w:val="zh-CN"/>
        </w:rPr>
        <w:t>米，岩层倾角</w:t>
      </w:r>
      <w:r>
        <w:rPr>
          <w:lang w:val="zh-CN"/>
        </w:rPr>
        <w:t>10-25</w:t>
      </w:r>
      <w:r>
        <w:rPr>
          <w:rFonts w:hint="eastAsia"/>
          <w:lang w:val="zh-CN"/>
        </w:rPr>
        <w:t>°。该层透水性差，水量极弱。视为隔水层。</w:t>
      </w:r>
    </w:p>
    <w:p>
      <w:pPr>
        <w:pStyle w:val="7"/>
        <w:ind w:firstLine="480"/>
        <w:rPr>
          <w:lang w:val="zh-CN"/>
        </w:rPr>
      </w:pPr>
      <w:r>
        <w:rPr>
          <w:rFonts w:hint="eastAsia"/>
        </w:rPr>
        <w:t>3、</w:t>
      </w:r>
      <w:r>
        <w:rPr>
          <w:rFonts w:hint="eastAsia"/>
          <w:lang w:val="zh-CN"/>
        </w:rPr>
        <w:t>老第三系</w:t>
      </w:r>
      <w:r>
        <w:rPr>
          <w:lang w:val="zh-CN"/>
        </w:rPr>
        <w:t>Ey</w:t>
      </w:r>
      <w:r>
        <w:rPr>
          <w:rFonts w:hint="eastAsia"/>
          <w:lang w:val="zh-CN"/>
        </w:rPr>
        <w:t>裂隙水</w:t>
      </w:r>
    </w:p>
    <w:p>
      <w:pPr>
        <w:pStyle w:val="7"/>
        <w:ind w:firstLine="480"/>
        <w:rPr>
          <w:lang w:val="zh-CN"/>
        </w:rPr>
      </w:pPr>
      <w:r>
        <w:rPr>
          <w:rFonts w:hint="eastAsia"/>
          <w:lang w:val="zh-CN"/>
        </w:rPr>
        <w:t>主要出露于盆地北部，出露厚度</w:t>
      </w:r>
      <w:r>
        <w:rPr>
          <w:lang w:val="zh-CN"/>
        </w:rPr>
        <w:t>623</w:t>
      </w:r>
      <w:r>
        <w:rPr>
          <w:rFonts w:hint="eastAsia"/>
          <w:lang w:val="zh-CN"/>
        </w:rPr>
        <w:t>米，以中厚层砾岩为主，南部白泥井一带上部以流纹质集块岩和凝灰岩为主，下部为中层状砾岩，厚</w:t>
      </w:r>
      <w:r>
        <w:rPr>
          <w:lang w:val="zh-CN"/>
        </w:rPr>
        <w:t>64.6-229.28</w:t>
      </w:r>
      <w:r>
        <w:rPr>
          <w:rFonts w:hint="eastAsia"/>
          <w:lang w:val="zh-CN"/>
        </w:rPr>
        <w:t>米。</w:t>
      </w:r>
      <w:r>
        <w:rPr>
          <w:lang w:val="zh-CN"/>
        </w:rPr>
        <w:t>Ey</w:t>
      </w:r>
      <w:r>
        <w:rPr>
          <w:rFonts w:hint="eastAsia"/>
          <w:lang w:val="zh-CN"/>
        </w:rPr>
        <w:t>层因受后期挤压有小褶皱形成，倾角</w:t>
      </w:r>
      <w:r>
        <w:rPr>
          <w:lang w:val="zh-CN"/>
        </w:rPr>
        <w:t>20-40</w:t>
      </w:r>
      <w:r>
        <w:rPr>
          <w:rFonts w:hint="eastAsia"/>
          <w:lang w:val="zh-CN"/>
        </w:rPr>
        <w:t>°。地貌多成剥蚀缓丘平台，高差</w:t>
      </w:r>
      <w:r>
        <w:rPr>
          <w:lang w:val="zh-CN"/>
        </w:rPr>
        <w:t>20-30</w:t>
      </w:r>
      <w:r>
        <w:rPr>
          <w:rFonts w:hint="eastAsia"/>
          <w:lang w:val="zh-CN"/>
        </w:rPr>
        <w:t>米。北部岩层中有裂隙泉，流量</w:t>
      </w:r>
      <w:r>
        <w:rPr>
          <w:lang w:val="zh-CN"/>
        </w:rPr>
        <w:t>0.06-3.45</w:t>
      </w:r>
      <w:r>
        <w:rPr>
          <w:rFonts w:hint="eastAsia"/>
          <w:lang w:val="zh-CN"/>
        </w:rPr>
        <w:t>升</w:t>
      </w:r>
      <w:r>
        <w:rPr>
          <w:lang w:val="zh-CN"/>
        </w:rPr>
        <w:t>/</w:t>
      </w:r>
      <w:r>
        <w:rPr>
          <w:rFonts w:hint="eastAsia"/>
          <w:lang w:val="zh-CN"/>
        </w:rPr>
        <w:t>秒，多年平均径流模量</w:t>
      </w:r>
      <w:r>
        <w:rPr>
          <w:lang w:val="zh-CN"/>
        </w:rPr>
        <w:t>0.27</w:t>
      </w:r>
      <w:r>
        <w:rPr>
          <w:rFonts w:hint="eastAsia"/>
          <w:lang w:val="zh-CN"/>
        </w:rPr>
        <w:t>升</w:t>
      </w:r>
      <w:r>
        <w:rPr>
          <w:lang w:val="zh-CN"/>
        </w:rPr>
        <w:t>/</w:t>
      </w:r>
      <w:r>
        <w:rPr>
          <w:rFonts w:hint="eastAsia"/>
          <w:lang w:val="zh-CN"/>
        </w:rPr>
        <w:t>秒</w:t>
      </w:r>
      <w:r>
        <w:rPr>
          <w:lang w:val="zh-CN"/>
        </w:rPr>
        <w:t>.</w:t>
      </w:r>
      <w:r>
        <w:rPr>
          <w:rFonts w:hint="eastAsia"/>
          <w:lang w:val="zh-CN"/>
        </w:rPr>
        <w:t>平方公里，属富水性较弱的含水层。水化学类型</w:t>
      </w:r>
      <w:r>
        <w:rPr>
          <w:lang w:val="zh-CN"/>
        </w:rPr>
        <w:t>HCO-Ca</w:t>
      </w:r>
      <w:r>
        <w:rPr>
          <w:rFonts w:hint="eastAsia"/>
          <w:lang w:val="zh-CN"/>
        </w:rPr>
        <w:t>型，矿化度</w:t>
      </w:r>
      <w:r>
        <w:rPr>
          <w:lang w:val="zh-CN"/>
        </w:rPr>
        <w:t>0.27</w:t>
      </w:r>
      <w:r>
        <w:rPr>
          <w:rFonts w:hint="eastAsia"/>
          <w:lang w:val="zh-CN"/>
        </w:rPr>
        <w:t>克</w:t>
      </w:r>
      <w:r>
        <w:rPr>
          <w:lang w:val="zh-CN"/>
        </w:rPr>
        <w:t>/</w:t>
      </w:r>
      <w:r>
        <w:rPr>
          <w:rFonts w:hint="eastAsia"/>
          <w:lang w:val="zh-CN"/>
        </w:rPr>
        <w:t>升。</w:t>
      </w:r>
    </w:p>
    <w:p>
      <w:pPr>
        <w:pStyle w:val="7"/>
        <w:ind w:firstLine="480"/>
        <w:rPr>
          <w:lang w:val="zh-CN"/>
        </w:rPr>
      </w:pPr>
      <w:r>
        <w:rPr>
          <w:rFonts w:hint="eastAsia"/>
          <w:lang w:val="zh-CN"/>
        </w:rPr>
        <w:t>（</w:t>
      </w:r>
      <w:r>
        <w:rPr>
          <w:rFonts w:hint="eastAsia"/>
        </w:rPr>
        <w:t>三</w:t>
      </w:r>
      <w:r>
        <w:rPr>
          <w:rFonts w:hint="eastAsia"/>
          <w:lang w:val="zh-CN"/>
        </w:rPr>
        <w:t>）岩溶水排泄及富水块段</w:t>
      </w:r>
    </w:p>
    <w:p>
      <w:pPr>
        <w:spacing w:line="360" w:lineRule="auto"/>
        <w:ind w:firstLine="480" w:firstLineChars="200"/>
        <w:rPr>
          <w:lang w:val="zh-CN"/>
        </w:rPr>
      </w:pPr>
      <w:r>
        <w:rPr>
          <w:rFonts w:hint="eastAsia"/>
        </w:rPr>
        <w:t>1、</w:t>
      </w:r>
      <w:r>
        <w:rPr>
          <w:rFonts w:hint="eastAsia"/>
          <w:lang w:val="zh-CN"/>
        </w:rPr>
        <w:t>砚山一听湖富水块段</w:t>
      </w:r>
    </w:p>
    <w:p>
      <w:pPr>
        <w:pStyle w:val="7"/>
        <w:ind w:firstLine="480"/>
        <w:rPr>
          <w:lang w:val="zh-CN"/>
        </w:rPr>
      </w:pPr>
      <w:r>
        <w:rPr>
          <w:lang w:val="zh-CN"/>
        </w:rPr>
        <w:t>P</w:t>
      </w:r>
      <w:r>
        <w:rPr>
          <w:vertAlign w:val="subscript"/>
          <w:lang w:val="zh-CN"/>
        </w:rPr>
        <w:t>1</w:t>
      </w:r>
      <w:r>
        <w:rPr>
          <w:rFonts w:hint="eastAsia"/>
          <w:lang w:val="zh-CN"/>
        </w:rPr>
        <w:t>含水岩组为中厚层隐、细晶灰岩，除局部成溶蚀孤峰裸露地表外，一般被第四系残坡积砂质粘土覆盖，盖层</w:t>
      </w:r>
      <w:r>
        <w:rPr>
          <w:lang w:val="zh-CN"/>
        </w:rPr>
        <w:t>-</w:t>
      </w:r>
      <w:r>
        <w:rPr>
          <w:rFonts w:hint="eastAsia"/>
          <w:lang w:val="zh-CN"/>
        </w:rPr>
        <w:t>般厚</w:t>
      </w:r>
      <w:r>
        <w:rPr>
          <w:lang w:val="zh-CN"/>
        </w:rPr>
        <w:t>5-22</w:t>
      </w:r>
      <w:r>
        <w:rPr>
          <w:rFonts w:hint="eastAsia"/>
          <w:lang w:val="zh-CN"/>
        </w:rPr>
        <w:t>米，物探电测深最大厚度</w:t>
      </w:r>
      <w:r>
        <w:rPr>
          <w:lang w:val="zh-CN"/>
        </w:rPr>
        <w:t>40</w:t>
      </w:r>
      <w:r>
        <w:rPr>
          <w:rFonts w:hint="eastAsia"/>
          <w:lang w:val="zh-CN"/>
        </w:rPr>
        <w:t>米。</w:t>
      </w:r>
      <w:r>
        <w:rPr>
          <w:lang w:val="zh-CN"/>
        </w:rPr>
        <w:t>P</w:t>
      </w:r>
      <w:r>
        <w:rPr>
          <w:vertAlign w:val="subscript"/>
          <w:lang w:val="zh-CN"/>
        </w:rPr>
        <w:t>1</w:t>
      </w:r>
      <w:r>
        <w:rPr>
          <w:lang w:val="zh-CN"/>
        </w:rPr>
        <w:t xml:space="preserve"> </w:t>
      </w:r>
      <w:r>
        <w:rPr>
          <w:rFonts w:hint="eastAsia"/>
          <w:lang w:val="zh-CN"/>
        </w:rPr>
        <w:t>含水岩组岩溶发育强烈，含水丰富，地表溶峰。上可见二层水平溶洞。据钻孔资料，揭穿覆盖层到下伏</w:t>
      </w:r>
      <w:r>
        <w:rPr>
          <w:lang w:val="zh-CN"/>
        </w:rPr>
        <w:t>P</w:t>
      </w:r>
      <w:r>
        <w:rPr>
          <w:vertAlign w:val="subscript"/>
          <w:lang w:val="zh-CN"/>
        </w:rPr>
        <w:t>1</w:t>
      </w:r>
      <w:r>
        <w:rPr>
          <w:rFonts w:hint="eastAsia"/>
          <w:lang w:val="zh-CN"/>
        </w:rPr>
        <w:t>灰岩时，钻孔普遍不返水，并且动水位仍稳定，</w:t>
      </w:r>
      <w:r>
        <w:rPr>
          <w:lang w:val="zh-CN"/>
        </w:rPr>
        <w:t>150</w:t>
      </w:r>
      <w:r>
        <w:rPr>
          <w:rFonts w:hint="eastAsia"/>
          <w:lang w:val="zh-CN"/>
        </w:rPr>
        <w:t>米以上的线岩溶率达</w:t>
      </w:r>
      <w:r>
        <w:rPr>
          <w:lang w:val="zh-CN"/>
        </w:rPr>
        <w:t>10-40%</w:t>
      </w:r>
      <w:r>
        <w:rPr>
          <w:rFonts w:hint="eastAsia"/>
          <w:lang w:val="zh-CN"/>
        </w:rPr>
        <w:t>，其发育程度随深而减弱。</w:t>
      </w:r>
      <w:r>
        <w:rPr>
          <w:lang w:val="zh-CN"/>
        </w:rPr>
        <w:t>ZK21</w:t>
      </w:r>
      <w:r>
        <w:rPr>
          <w:rFonts w:hint="eastAsia"/>
          <w:lang w:val="zh-CN"/>
        </w:rPr>
        <w:t>号孔在</w:t>
      </w:r>
      <w:r>
        <w:rPr>
          <w:lang w:val="zh-CN"/>
        </w:rPr>
        <w:t>24.5-28</w:t>
      </w:r>
      <w:r>
        <w:rPr>
          <w:rFonts w:hint="eastAsia"/>
          <w:lang w:val="zh-CN"/>
        </w:rPr>
        <w:t>米处发育一高</w:t>
      </w:r>
      <w:r>
        <w:rPr>
          <w:lang w:val="zh-CN"/>
        </w:rPr>
        <w:t>3.5</w:t>
      </w:r>
      <w:r>
        <w:rPr>
          <w:rFonts w:hint="eastAsia"/>
          <w:lang w:val="zh-CN"/>
        </w:rPr>
        <w:t>米的溶洞。</w:t>
      </w:r>
    </w:p>
    <w:p>
      <w:pPr>
        <w:pStyle w:val="7"/>
        <w:ind w:firstLine="480"/>
        <w:rPr>
          <w:lang w:val="zh-CN"/>
        </w:rPr>
      </w:pPr>
      <w:r>
        <w:rPr>
          <w:rFonts w:hint="eastAsia"/>
          <w:lang w:val="zh-CN"/>
        </w:rPr>
        <w:t>该层岩溶水因受上覆砂质粘土的阻隔而普遍承压。</w:t>
      </w:r>
      <w:r>
        <w:rPr>
          <w:lang w:val="zh-CN"/>
        </w:rPr>
        <w:t>ZK7</w:t>
      </w:r>
      <w:r>
        <w:rPr>
          <w:rFonts w:hint="eastAsia"/>
          <w:lang w:val="zh-CN"/>
        </w:rPr>
        <w:t>孔覆盖层厚</w:t>
      </w:r>
      <w:r>
        <w:rPr>
          <w:lang w:val="zh-CN"/>
        </w:rPr>
        <w:t>22</w:t>
      </w:r>
      <w:r>
        <w:rPr>
          <w:rFonts w:hint="eastAsia"/>
          <w:lang w:val="zh-CN"/>
        </w:rPr>
        <w:t>米，水位埋深</w:t>
      </w:r>
      <w:r>
        <w:rPr>
          <w:lang w:val="zh-CN"/>
        </w:rPr>
        <w:t>10</w:t>
      </w:r>
      <w:r>
        <w:rPr>
          <w:rFonts w:hint="eastAsia"/>
          <w:lang w:val="zh-CN"/>
        </w:rPr>
        <w:t>米，水头高出岩溶含水层顶板</w:t>
      </w:r>
      <w:r>
        <w:rPr>
          <w:lang w:val="zh-CN"/>
        </w:rPr>
        <w:t>12</w:t>
      </w:r>
      <w:r>
        <w:rPr>
          <w:rFonts w:hint="eastAsia"/>
          <w:lang w:val="zh-CN"/>
        </w:rPr>
        <w:t>米；</w:t>
      </w:r>
      <w:r>
        <w:rPr>
          <w:lang w:val="zh-CN"/>
        </w:rPr>
        <w:t>ZK21</w:t>
      </w:r>
      <w:r>
        <w:rPr>
          <w:rFonts w:hint="eastAsia"/>
          <w:lang w:val="zh-CN"/>
        </w:rPr>
        <w:t>孔覆盖层厚</w:t>
      </w:r>
      <w:r>
        <w:rPr>
          <w:lang w:val="zh-CN"/>
        </w:rPr>
        <w:t>14.88</w:t>
      </w:r>
      <w:r>
        <w:rPr>
          <w:rFonts w:hint="eastAsia"/>
          <w:lang w:val="zh-CN"/>
        </w:rPr>
        <w:t>米，水位埋深仅</w:t>
      </w:r>
      <w:r>
        <w:rPr>
          <w:lang w:val="zh-CN"/>
        </w:rPr>
        <w:t>2.75</w:t>
      </w:r>
      <w:r>
        <w:rPr>
          <w:rFonts w:hint="eastAsia"/>
          <w:lang w:val="zh-CN"/>
        </w:rPr>
        <w:t>米，高于岩溶含水层顶板</w:t>
      </w:r>
      <w:r>
        <w:rPr>
          <w:lang w:val="zh-CN"/>
        </w:rPr>
        <w:t>12.13</w:t>
      </w:r>
      <w:r>
        <w:rPr>
          <w:rFonts w:hint="eastAsia"/>
          <w:lang w:val="zh-CN"/>
        </w:rPr>
        <w:t>米。随着地形降低，岩溶水在部份峰脚成上升泉出露，如</w:t>
      </w:r>
      <w:r>
        <w:rPr>
          <w:lang w:val="zh-CN"/>
        </w:rPr>
        <w:t>91</w:t>
      </w:r>
      <w:r>
        <w:rPr>
          <w:rFonts w:hint="eastAsia"/>
          <w:lang w:val="zh-CN"/>
        </w:rPr>
        <w:t>号泉枯期流量为</w:t>
      </w:r>
      <w:r>
        <w:rPr>
          <w:lang w:val="zh-CN"/>
        </w:rPr>
        <w:t>39. 94</w:t>
      </w:r>
      <w:r>
        <w:rPr>
          <w:rFonts w:hint="eastAsia"/>
          <w:lang w:val="zh-CN"/>
        </w:rPr>
        <w:t>升</w:t>
      </w:r>
      <w:r>
        <w:rPr>
          <w:lang w:val="zh-CN"/>
        </w:rPr>
        <w:t>/</w:t>
      </w:r>
      <w:r>
        <w:rPr>
          <w:rFonts w:hint="eastAsia"/>
          <w:lang w:val="zh-CN"/>
        </w:rPr>
        <w:t>秒。</w:t>
      </w:r>
    </w:p>
    <w:p>
      <w:pPr>
        <w:pStyle w:val="7"/>
        <w:ind w:firstLine="480"/>
        <w:rPr>
          <w:lang w:val="zh-CN"/>
        </w:rPr>
      </w:pPr>
      <w:r>
        <w:rPr>
          <w:rFonts w:hint="eastAsia"/>
          <w:lang w:val="zh-CN"/>
        </w:rPr>
        <w:t>该地段主要泉点的总流量</w:t>
      </w:r>
      <w:r>
        <w:rPr>
          <w:lang w:val="zh-CN"/>
        </w:rPr>
        <w:t>47.24</w:t>
      </w:r>
      <w:r>
        <w:rPr>
          <w:rFonts w:hint="eastAsia"/>
          <w:lang w:val="zh-CN"/>
        </w:rPr>
        <w:t>升</w:t>
      </w:r>
      <w:r>
        <w:rPr>
          <w:lang w:val="zh-CN"/>
        </w:rPr>
        <w:t>/</w:t>
      </w:r>
      <w:r>
        <w:rPr>
          <w:rFonts w:hint="eastAsia"/>
          <w:lang w:val="zh-CN"/>
        </w:rPr>
        <w:t>秒。</w:t>
      </w:r>
      <w:r>
        <w:rPr>
          <w:lang w:val="zh-CN"/>
        </w:rPr>
        <w:t>ZK7</w:t>
      </w:r>
      <w:r>
        <w:rPr>
          <w:rFonts w:hint="eastAsia"/>
          <w:lang w:val="zh-CN"/>
        </w:rPr>
        <w:t>孔抽水降深</w:t>
      </w:r>
      <w:r>
        <w:rPr>
          <w:lang w:val="zh-CN"/>
        </w:rPr>
        <w:t>21</w:t>
      </w:r>
      <w:r>
        <w:rPr>
          <w:rFonts w:hint="eastAsia"/>
          <w:lang w:val="zh-CN"/>
        </w:rPr>
        <w:t>米时，涌水量</w:t>
      </w:r>
      <w:r>
        <w:rPr>
          <w:lang w:val="zh-CN"/>
        </w:rPr>
        <w:t>4.5965</w:t>
      </w:r>
      <w:r>
        <w:rPr>
          <w:rFonts w:hint="eastAsia"/>
          <w:lang w:val="zh-CN"/>
        </w:rPr>
        <w:t>升</w:t>
      </w:r>
      <w:r>
        <w:rPr>
          <w:lang w:val="zh-CN"/>
        </w:rPr>
        <w:t>/</w:t>
      </w:r>
      <w:r>
        <w:rPr>
          <w:rFonts w:hint="eastAsia"/>
          <w:lang w:val="zh-CN"/>
        </w:rPr>
        <w:t>秒，单位涌水量</w:t>
      </w:r>
      <w:r>
        <w:rPr>
          <w:lang w:val="zh-CN"/>
        </w:rPr>
        <w:t>0.219</w:t>
      </w:r>
      <w:r>
        <w:rPr>
          <w:rFonts w:hint="eastAsia"/>
          <w:lang w:val="zh-CN"/>
        </w:rPr>
        <w:t>升</w:t>
      </w:r>
      <w:r>
        <w:rPr>
          <w:lang w:val="zh-CN"/>
        </w:rPr>
        <w:t>/</w:t>
      </w:r>
      <w:r>
        <w:rPr>
          <w:rFonts w:hint="eastAsia"/>
          <w:lang w:val="zh-CN"/>
        </w:rPr>
        <w:t>秒</w:t>
      </w:r>
      <w:r>
        <w:rPr>
          <w:lang w:val="zh-CN"/>
        </w:rPr>
        <w:t>.</w:t>
      </w:r>
      <w:r>
        <w:rPr>
          <w:rFonts w:hint="eastAsia"/>
          <w:lang w:val="zh-CN"/>
        </w:rPr>
        <w:t>米。</w:t>
      </w:r>
      <w:r>
        <w:rPr>
          <w:lang w:val="zh-CN"/>
        </w:rPr>
        <w:t>ZK21</w:t>
      </w:r>
      <w:r>
        <w:rPr>
          <w:rFonts w:hint="eastAsia"/>
          <w:lang w:val="zh-CN"/>
        </w:rPr>
        <w:t>孔雨季抽水降深</w:t>
      </w:r>
      <w:r>
        <w:rPr>
          <w:lang w:val="zh-CN"/>
        </w:rPr>
        <w:t>2.52</w:t>
      </w:r>
      <w:r>
        <w:rPr>
          <w:rFonts w:hint="eastAsia"/>
          <w:lang w:val="zh-CN"/>
        </w:rPr>
        <w:t>米，涌水量</w:t>
      </w:r>
      <w:r>
        <w:rPr>
          <w:lang w:val="zh-CN"/>
        </w:rPr>
        <w:t>12.727</w:t>
      </w:r>
      <w:r>
        <w:rPr>
          <w:rFonts w:hint="eastAsia"/>
          <w:lang w:val="zh-CN"/>
        </w:rPr>
        <w:t>升</w:t>
      </w:r>
      <w:r>
        <w:rPr>
          <w:lang w:val="zh-CN"/>
        </w:rPr>
        <w:t>/</w:t>
      </w:r>
      <w:r>
        <w:rPr>
          <w:rFonts w:hint="eastAsia"/>
          <w:lang w:val="zh-CN"/>
        </w:rPr>
        <w:t>秒，单位涌水量</w:t>
      </w:r>
      <w:r>
        <w:rPr>
          <w:lang w:val="zh-CN"/>
        </w:rPr>
        <w:t>5.05</w:t>
      </w:r>
      <w:r>
        <w:rPr>
          <w:rFonts w:hint="eastAsia"/>
          <w:lang w:val="zh-CN"/>
        </w:rPr>
        <w:t>升</w:t>
      </w:r>
      <w:r>
        <w:rPr>
          <w:lang w:val="zh-CN"/>
        </w:rPr>
        <w:t>/</w:t>
      </w:r>
      <w:r>
        <w:rPr>
          <w:rFonts w:hint="eastAsia"/>
          <w:lang w:val="zh-CN"/>
        </w:rPr>
        <w:t>秒</w:t>
      </w:r>
      <w:r>
        <w:rPr>
          <w:lang w:val="zh-CN"/>
        </w:rPr>
        <w:t>.</w:t>
      </w:r>
      <w:r>
        <w:rPr>
          <w:rFonts w:hint="eastAsia"/>
          <w:lang w:val="zh-CN"/>
        </w:rPr>
        <w:t>米。本地段的岩溶水主要来自大气降水的补给。</w:t>
      </w:r>
    </w:p>
    <w:p>
      <w:pPr>
        <w:pStyle w:val="7"/>
        <w:ind w:firstLine="480"/>
        <w:rPr>
          <w:lang w:val="zh-CN"/>
        </w:rPr>
      </w:pPr>
      <w:r>
        <w:rPr>
          <w:rFonts w:hint="eastAsia"/>
        </w:rPr>
        <w:t>2、</w:t>
      </w:r>
      <w:r>
        <w:rPr>
          <w:rFonts w:hint="eastAsia"/>
          <w:lang w:val="zh-CN"/>
        </w:rPr>
        <w:t>下六柴冲富水块段</w:t>
      </w:r>
    </w:p>
    <w:p>
      <w:pPr>
        <w:pStyle w:val="7"/>
        <w:ind w:firstLine="480"/>
        <w:rPr>
          <w:lang w:val="zh-CN"/>
        </w:rPr>
      </w:pPr>
      <w:r>
        <w:rPr>
          <w:rFonts w:hint="eastAsia"/>
          <w:lang w:val="zh-CN"/>
        </w:rPr>
        <w:t>位于盆地北东部下六柴冲一带，含水岩组为</w:t>
      </w:r>
      <w:r>
        <w:rPr>
          <w:lang w:val="zh-CN"/>
        </w:rPr>
        <w:t>P</w:t>
      </w:r>
      <w:r>
        <w:rPr>
          <w:vertAlign w:val="subscript"/>
          <w:lang w:val="zh-CN"/>
        </w:rPr>
        <w:t>1</w:t>
      </w:r>
      <w:r>
        <w:rPr>
          <w:rFonts w:hint="eastAsia"/>
          <w:lang w:val="zh-CN"/>
        </w:rPr>
        <w:t>厚层灰岩，为峰丛谷地地貌，海拔</w:t>
      </w:r>
      <w:r>
        <w:rPr>
          <w:lang w:val="zh-CN"/>
        </w:rPr>
        <w:t>1500</w:t>
      </w:r>
      <w:r>
        <w:rPr>
          <w:rFonts w:hint="eastAsia"/>
          <w:lang w:val="zh-CN"/>
        </w:rPr>
        <w:t>米。含水岩组中多见溶洞，浅部具较均匀的溶隙管道水流，地下水由南向北，由东至西运动，并在六柴冲处受</w:t>
      </w:r>
      <w:r>
        <w:rPr>
          <w:lang w:val="zh-CN"/>
        </w:rPr>
        <w:t>E</w:t>
      </w:r>
      <w:r>
        <w:rPr>
          <w:vertAlign w:val="subscript"/>
          <w:lang w:val="zh-CN"/>
        </w:rPr>
        <w:t>y</w:t>
      </w:r>
      <w:r>
        <w:rPr>
          <w:rFonts w:hint="eastAsia"/>
          <w:lang w:val="zh-CN"/>
        </w:rPr>
        <w:t>砾岩的阻挡而大量溢出地表，枯期平均总流量</w:t>
      </w:r>
      <w:r>
        <w:rPr>
          <w:lang w:val="zh-CN"/>
        </w:rPr>
        <w:t>141.7</w:t>
      </w:r>
      <w:r>
        <w:rPr>
          <w:rFonts w:hint="eastAsia"/>
          <w:lang w:val="zh-CN"/>
        </w:rPr>
        <w:t>升</w:t>
      </w:r>
      <w:r>
        <w:rPr>
          <w:lang w:val="zh-CN"/>
        </w:rPr>
        <w:t>/</w:t>
      </w:r>
      <w:r>
        <w:rPr>
          <w:rFonts w:hint="eastAsia"/>
          <w:lang w:val="zh-CN"/>
        </w:rPr>
        <w:t>秒。</w:t>
      </w:r>
    </w:p>
    <w:p>
      <w:pPr>
        <w:spacing w:line="360" w:lineRule="auto"/>
        <w:jc w:val="center"/>
        <w:rPr>
          <w:lang w:val="zh-CN"/>
        </w:rPr>
      </w:pPr>
      <w:r>
        <w:drawing>
          <wp:inline distT="0" distB="0" distL="0" distR="0">
            <wp:extent cx="5589270" cy="2602230"/>
            <wp:effectExtent l="0" t="0" r="11430" b="7620"/>
            <wp:docPr id="18" name="图片 18" descr="砚山盆地剖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砚山盆地剖面图"/>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589270" cy="2602230"/>
                    </a:xfrm>
                    <a:prstGeom prst="rect">
                      <a:avLst/>
                    </a:prstGeom>
                    <a:noFill/>
                    <a:ln>
                      <a:noFill/>
                    </a:ln>
                  </pic:spPr>
                </pic:pic>
              </a:graphicData>
            </a:graphic>
          </wp:inline>
        </w:drawing>
      </w:r>
    </w:p>
    <w:p>
      <w:pPr>
        <w:pStyle w:val="44"/>
        <w:rPr>
          <w:lang w:val="zh-CN"/>
        </w:rPr>
      </w:pPr>
      <w:r>
        <w:rPr>
          <w:rFonts w:hint="eastAsia"/>
          <w:lang w:val="zh-CN"/>
        </w:rPr>
        <w:t>图</w:t>
      </w:r>
      <w:r>
        <w:rPr>
          <w:rFonts w:hint="eastAsia"/>
        </w:rPr>
        <w:t>6.4-3</w:t>
      </w:r>
      <w:r>
        <w:rPr>
          <w:lang w:val="zh-CN"/>
        </w:rPr>
        <w:t xml:space="preserve"> </w:t>
      </w:r>
      <w:r>
        <w:rPr>
          <w:rFonts w:hint="eastAsia"/>
        </w:rPr>
        <w:t xml:space="preserve"> </w:t>
      </w:r>
      <w:r>
        <w:rPr>
          <w:rFonts w:hint="eastAsia"/>
          <w:lang w:val="zh-CN"/>
        </w:rPr>
        <w:t>砚山盆地砚山</w:t>
      </w:r>
      <w:r>
        <w:rPr>
          <w:lang w:val="zh-CN"/>
        </w:rPr>
        <w:t>-</w:t>
      </w:r>
      <w:r>
        <w:rPr>
          <w:rFonts w:hint="eastAsia"/>
          <w:lang w:val="zh-CN"/>
        </w:rPr>
        <w:t>下六柴冲水文地质剖面图</w:t>
      </w:r>
    </w:p>
    <w:p>
      <w:pPr>
        <w:pStyle w:val="7"/>
        <w:ind w:firstLine="480"/>
        <w:rPr>
          <w:lang w:val="zh-CN"/>
        </w:rPr>
      </w:pPr>
      <w:r>
        <w:rPr>
          <w:rFonts w:hint="eastAsia"/>
          <w:lang w:val="zh-CN"/>
        </w:rPr>
        <w:t>从上述砚山盆地水文地质图</w:t>
      </w:r>
      <w:r>
        <w:rPr>
          <w:rFonts w:hint="eastAsia"/>
        </w:rPr>
        <w:t>7.4-3</w:t>
      </w:r>
      <w:r>
        <w:rPr>
          <w:rFonts w:hint="eastAsia"/>
          <w:lang w:val="zh-CN"/>
        </w:rPr>
        <w:t>中可以看出，拟建项目位于砚山盆地北侧，项目场地南东角分布于第三系砚山组地层，北东场地分布于三叠系个旧组上段和个旧组下段，该区域地下水部分往南侧听湖及南东侧径流排泄，部分区域地下水主要向北东方向径流排泄。</w:t>
      </w:r>
    </w:p>
    <w:p>
      <w:pPr>
        <w:pStyle w:val="9"/>
      </w:pPr>
      <w:r>
        <w:rPr>
          <w:rFonts w:hint="eastAsia"/>
        </w:rPr>
        <w:t>6.4.2.2地下水赋存条件及其分布特征</w:t>
      </w:r>
    </w:p>
    <w:p>
      <w:pPr>
        <w:pStyle w:val="7"/>
        <w:ind w:firstLine="480"/>
      </w:pPr>
      <w:r>
        <w:rPr>
          <w:rFonts w:hint="eastAsia"/>
        </w:rPr>
        <w:t>据项目所在区域分布内出露的地层岩性、含水介质及地下水动力条件，区内地下水类型可划分为碳酸盐岩岩溶水、基岩裂隙水和第四系松散岩类孔隙水三类。</w:t>
      </w:r>
    </w:p>
    <w:p>
      <w:pPr>
        <w:pStyle w:val="7"/>
        <w:ind w:firstLine="480"/>
      </w:pPr>
      <w:r>
        <w:rPr>
          <w:rFonts w:hint="eastAsia"/>
        </w:rPr>
        <w:t>碳酸盐岩岩溶水：赋存于碳酸盐岩的溶洞、裂隙、溶孔、管道等介质中。</w:t>
      </w:r>
    </w:p>
    <w:p>
      <w:pPr>
        <w:pStyle w:val="7"/>
        <w:ind w:firstLine="480"/>
      </w:pPr>
      <w:r>
        <w:rPr>
          <w:rFonts w:hint="eastAsia"/>
        </w:rPr>
        <w:t>基岩裂隙水：赋存于碎屑岩的构造裂隙和风化裂隙中。</w:t>
      </w:r>
    </w:p>
    <w:p>
      <w:pPr>
        <w:pStyle w:val="7"/>
        <w:ind w:firstLine="480"/>
      </w:pPr>
      <w:r>
        <w:rPr>
          <w:rFonts w:hint="eastAsia"/>
        </w:rPr>
        <w:t>第四系松散岩类孔隙水：赋存于第四系残坡积层的孔隙内。</w:t>
      </w:r>
    </w:p>
    <w:p>
      <w:pPr>
        <w:pStyle w:val="7"/>
        <w:ind w:firstLine="480"/>
      </w:pPr>
      <w:r>
        <w:rPr>
          <w:rFonts w:hint="eastAsia"/>
        </w:rPr>
        <w:t>评价区主要为岩溶地貌，碎屑岩仅分布于评价区南侧、北西侧及北东侧一带，呈条带状分布，其他地区以零散的形式分布于岩溶地貌之中。岩溶地貌表现为正与负两种形态，地下水主要埋藏赋存于负地形之下，因此，负形态特征及其变化就成为分析地下水埋藏、径流等特点的关键。根据区域水文地质报告，评价区区域上从大的分水岭至公革河，呈阶梯、条带状由高至低分为三级溶蚀面。</w:t>
      </w:r>
    </w:p>
    <w:p>
      <w:pPr>
        <w:pStyle w:val="7"/>
        <w:ind w:firstLine="480"/>
      </w:pPr>
      <w:r>
        <w:rPr>
          <w:rFonts w:hint="eastAsia"/>
        </w:rPr>
        <w:t>（1）第一级溶蚀面海拔最高，第二级分布在分水岭地区，第三级溶蚀面为评价区地下水下游方向的文山市，海拔最低。</w:t>
      </w:r>
    </w:p>
    <w:p>
      <w:pPr>
        <w:pStyle w:val="7"/>
        <w:ind w:firstLine="480"/>
      </w:pPr>
      <w:r>
        <w:rPr>
          <w:rFonts w:hint="eastAsia"/>
        </w:rPr>
        <w:t>（2）评价区紧邻分水岭，评价区范围分布主要为二级溶蚀面。</w:t>
      </w:r>
    </w:p>
    <w:p>
      <w:pPr>
        <w:pStyle w:val="7"/>
        <w:ind w:firstLine="480"/>
      </w:pPr>
      <w:r>
        <w:rPr>
          <w:rFonts w:hint="eastAsia"/>
        </w:rPr>
        <w:t>（3）区域内分水岭为那洒向西至砚山再转北西的树皮，为珠江水系与红河水系分水岭。评价区内公革河属珠江水系，公革河控制着评价区内岩溶水向其汇集的总体方向。</w:t>
      </w:r>
    </w:p>
    <w:p>
      <w:pPr>
        <w:pStyle w:val="7"/>
        <w:ind w:firstLine="480"/>
      </w:pPr>
      <w:r>
        <w:rPr>
          <w:rFonts w:hint="eastAsia"/>
        </w:rPr>
        <w:t>评价区属二级溶蚀坡面的缓坡区域，地下水总体向公革河汇集。地下水的分布埋藏与溶蚀地形变化特征有着大致的相同性。地下水在每级溶蚀面上呈层状分布，从分水岭到公革河地段，地下水的埋藏深度、地下水径流强度、岩溶水的均一程度都随溶蚀地形的变化产生相同的变化。</w:t>
      </w:r>
    </w:p>
    <w:p>
      <w:pPr>
        <w:pStyle w:val="9"/>
      </w:pPr>
      <w:r>
        <w:rPr>
          <w:rFonts w:hint="eastAsia"/>
        </w:rPr>
        <w:t>6.4.2.3评价区地下水补、径、排条件</w:t>
      </w:r>
    </w:p>
    <w:p>
      <w:pPr>
        <w:pStyle w:val="7"/>
        <w:ind w:firstLine="482"/>
        <w:rPr>
          <w:b/>
          <w:bCs/>
        </w:rPr>
      </w:pPr>
      <w:r>
        <w:rPr>
          <w:rFonts w:hint="eastAsia"/>
          <w:b/>
          <w:bCs/>
        </w:rPr>
        <w:t>1、</w:t>
      </w:r>
      <w:r>
        <w:rPr>
          <w:b/>
          <w:bCs/>
        </w:rPr>
        <w:t>补给</w:t>
      </w:r>
      <w:bookmarkStart w:id="137" w:name="_Hlt26778357"/>
      <w:bookmarkEnd w:id="137"/>
    </w:p>
    <w:p>
      <w:pPr>
        <w:pStyle w:val="7"/>
        <w:ind w:firstLine="480"/>
      </w:pPr>
      <w:r>
        <w:t>大气降雨及上游岩溶地下水是评价区地下水主要的补给来源，以垂向渗入及侧向径流形式补给地下水。局部存在岩溶湖、季节性集水洼地渗入补给形式。</w:t>
      </w:r>
    </w:p>
    <w:p>
      <w:pPr>
        <w:pStyle w:val="7"/>
        <w:ind w:firstLine="482"/>
        <w:rPr>
          <w:b/>
          <w:bCs/>
        </w:rPr>
      </w:pPr>
      <w:r>
        <w:rPr>
          <w:rFonts w:hint="eastAsia"/>
          <w:b/>
          <w:bCs/>
        </w:rPr>
        <w:t>2、</w:t>
      </w:r>
      <w:r>
        <w:rPr>
          <w:b/>
          <w:bCs/>
        </w:rPr>
        <w:t>径流</w:t>
      </w:r>
    </w:p>
    <w:p>
      <w:pPr>
        <w:pStyle w:val="7"/>
        <w:ind w:firstLine="480"/>
      </w:pPr>
      <w:r>
        <w:t>评价区属于红河、珠江水系分水岭北侧珠江水系系，补排单元及补给径流分区略图见图</w:t>
      </w:r>
      <w:r>
        <w:rPr>
          <w:rFonts w:hint="eastAsia"/>
        </w:rPr>
        <w:t>6.4-4</w:t>
      </w:r>
      <w:r>
        <w:t>，分水岭东起珠街、阿猛、刘诏、砚山折而向北经长岭，树皮为止。分水岭处的岩溶地貌以残丘坡地、峰丛洼地、谷地，岩溶低中山等类型为主，构成补给区。</w:t>
      </w:r>
    </w:p>
    <w:p>
      <w:pPr>
        <w:pStyle w:val="7"/>
        <w:ind w:firstLine="480"/>
      </w:pPr>
      <w:r>
        <w:t>评价区属公革河单元补给径流区，补给区以残丘坡地、丘峰洼地与谷地、峰丛谷地为主，主要的补给方式是接受大气降雨的垂直补给及上游岩溶水的层间补给，之后形成地下径流；径流区以峰丛洼地、溶丘洼地为主；排泄沿公革河以大泉（55号大泉，位于公革河边上，干河街附近）。</w:t>
      </w:r>
    </w:p>
    <w:p>
      <w:pPr>
        <w:adjustRightInd w:val="0"/>
        <w:snapToGrid w:val="0"/>
        <w:spacing w:line="360" w:lineRule="auto"/>
        <w:jc w:val="center"/>
        <w:rPr>
          <w:szCs w:val="28"/>
        </w:rPr>
      </w:pPr>
      <w:r>
        <w:rPr>
          <w:szCs w:val="28"/>
        </w:rPr>
        <w:drawing>
          <wp:inline distT="0" distB="0" distL="0" distR="0">
            <wp:extent cx="5372100" cy="5501640"/>
            <wp:effectExtent l="0" t="0" r="0" b="3810"/>
            <wp:docPr id="51" name="图片 51"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水系图"/>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372100" cy="5501640"/>
                    </a:xfrm>
                    <a:prstGeom prst="rect">
                      <a:avLst/>
                    </a:prstGeom>
                    <a:noFill/>
                    <a:ln>
                      <a:noFill/>
                    </a:ln>
                  </pic:spPr>
                </pic:pic>
              </a:graphicData>
            </a:graphic>
          </wp:inline>
        </w:drawing>
      </w:r>
    </w:p>
    <w:p>
      <w:pPr>
        <w:pStyle w:val="44"/>
      </w:pPr>
      <w:r>
        <w:t>图</w:t>
      </w:r>
      <w:r>
        <w:rPr>
          <w:rFonts w:hint="eastAsia"/>
        </w:rPr>
        <w:t xml:space="preserve">6.4-4 </w:t>
      </w:r>
      <w:r>
        <w:t xml:space="preserve"> 补排单元及补给径流分区略图</w:t>
      </w:r>
    </w:p>
    <w:p>
      <w:pPr>
        <w:pStyle w:val="7"/>
        <w:ind w:firstLine="482"/>
        <w:rPr>
          <w:b/>
          <w:bCs/>
        </w:rPr>
      </w:pPr>
      <w:r>
        <w:rPr>
          <w:rFonts w:hint="eastAsia"/>
          <w:b/>
          <w:bCs/>
        </w:rPr>
        <w:t>3、</w:t>
      </w:r>
      <w:r>
        <w:rPr>
          <w:b/>
          <w:bCs/>
        </w:rPr>
        <w:t>地下水的排泄</w:t>
      </w:r>
    </w:p>
    <w:p>
      <w:pPr>
        <w:pStyle w:val="7"/>
        <w:ind w:firstLine="480"/>
        <w:rPr>
          <w:snapToGrid w:val="0"/>
          <w:szCs w:val="22"/>
        </w:rPr>
      </w:pPr>
      <w:r>
        <w:rPr>
          <w:snapToGrid w:val="0"/>
          <w:szCs w:val="22"/>
        </w:rPr>
        <w:t>大气降水入渗补给是评价区地下水主要补给来源，地下水在区内泥盆系及石炭系单斜背斜褶皱构造岩溶含水层及3条北东南西向断裂构造的共同作用下，主要沿着溶蚀裂隙及构造裂隙自南西向北东方向径流，最终以泉的形式及侧向补给的形式排泄于公革河，部分区域受F</w:t>
      </w:r>
      <w:r>
        <w:rPr>
          <w:snapToGrid w:val="0"/>
          <w:szCs w:val="22"/>
          <w:vertAlign w:val="subscript"/>
        </w:rPr>
        <w:t>1</w:t>
      </w:r>
      <w:r>
        <w:rPr>
          <w:snapToGrid w:val="0"/>
          <w:szCs w:val="22"/>
        </w:rPr>
        <w:t>阻水断层控制，形成岩溶湖，以蒸发及开发利用（法都克水库为法都克上下寨水源）形式排泄。</w:t>
      </w:r>
      <w:r>
        <w:rPr>
          <w:rFonts w:hint="eastAsia"/>
          <w:lang w:val="zh-CN"/>
        </w:rPr>
        <w:t>评价区域地下水往南侧听湖及南东侧径流排泄进入听湖水库。</w:t>
      </w:r>
    </w:p>
    <w:p>
      <w:pPr>
        <w:pStyle w:val="9"/>
      </w:pPr>
      <w:r>
        <w:rPr>
          <w:rFonts w:hint="eastAsia"/>
        </w:rPr>
        <w:t>6.4.2.4评价区地下水开采利用现状</w:t>
      </w:r>
    </w:p>
    <w:p>
      <w:pPr>
        <w:pStyle w:val="7"/>
        <w:ind w:firstLine="482"/>
        <w:rPr>
          <w:b/>
          <w:bCs/>
        </w:rPr>
      </w:pPr>
      <w:r>
        <w:rPr>
          <w:rFonts w:hint="eastAsia"/>
          <w:b/>
          <w:bCs/>
        </w:rPr>
        <w:t>1、评价区地下水利用现状</w:t>
      </w:r>
    </w:p>
    <w:p>
      <w:pPr>
        <w:pStyle w:val="7"/>
        <w:ind w:firstLine="480"/>
      </w:pPr>
      <w:r>
        <w:rPr>
          <w:rFonts w:hint="eastAsia"/>
        </w:rPr>
        <w:t>项目区附近地下水利用以分散式取水为主，主要为分散式饮用及灌溉。不存在集中供水水源保护区，热水、矿泉水、温泉等特殊地下水资源保护区，生态脆弱区重点保护区域，地质灾害易发区，重要湿地，水土流失重点防治区，沙化土地封禁保护区。而评价区范围内出露泉点及民井及其开发利用情况如下表所示：</w:t>
      </w:r>
    </w:p>
    <w:p>
      <w:pPr>
        <w:pStyle w:val="31"/>
      </w:pPr>
      <w:r>
        <w:rPr>
          <w:rFonts w:hint="eastAsia"/>
        </w:rPr>
        <w:t>表6.4-2  评价区范围内地下水开发利用现状表</w:t>
      </w:r>
    </w:p>
    <w:tbl>
      <w:tblPr>
        <w:tblStyle w:val="27"/>
        <w:tblW w:w="878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34"/>
        <w:gridCol w:w="1081"/>
        <w:gridCol w:w="934"/>
        <w:gridCol w:w="1399"/>
        <w:gridCol w:w="2004"/>
        <w:gridCol w:w="1170"/>
        <w:gridCol w:w="106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widowControl/>
              <w:jc w:val="center"/>
              <w:rPr>
                <w:kern w:val="0"/>
                <w:sz w:val="18"/>
                <w:szCs w:val="18"/>
              </w:rPr>
            </w:pPr>
            <w:r>
              <w:rPr>
                <w:kern w:val="0"/>
                <w:sz w:val="18"/>
                <w:szCs w:val="18"/>
              </w:rPr>
              <w:t>泉点名称</w:t>
            </w:r>
          </w:p>
        </w:tc>
        <w:tc>
          <w:tcPr>
            <w:tcW w:w="1081" w:type="dxa"/>
            <w:vAlign w:val="center"/>
          </w:tcPr>
          <w:p>
            <w:pPr>
              <w:widowControl/>
              <w:jc w:val="center"/>
              <w:rPr>
                <w:kern w:val="0"/>
                <w:sz w:val="18"/>
                <w:szCs w:val="18"/>
              </w:rPr>
            </w:pPr>
            <w:r>
              <w:rPr>
                <w:kern w:val="0"/>
                <w:sz w:val="18"/>
                <w:szCs w:val="18"/>
              </w:rPr>
              <w:t>纬度</w:t>
            </w:r>
          </w:p>
        </w:tc>
        <w:tc>
          <w:tcPr>
            <w:tcW w:w="934" w:type="dxa"/>
            <w:vAlign w:val="center"/>
          </w:tcPr>
          <w:p>
            <w:pPr>
              <w:widowControl/>
              <w:jc w:val="center"/>
              <w:rPr>
                <w:kern w:val="0"/>
                <w:sz w:val="18"/>
                <w:szCs w:val="18"/>
              </w:rPr>
            </w:pPr>
            <w:r>
              <w:rPr>
                <w:kern w:val="0"/>
                <w:sz w:val="18"/>
                <w:szCs w:val="18"/>
              </w:rPr>
              <w:t>经度</w:t>
            </w:r>
          </w:p>
        </w:tc>
        <w:tc>
          <w:tcPr>
            <w:tcW w:w="1399" w:type="dxa"/>
            <w:vAlign w:val="center"/>
          </w:tcPr>
          <w:p>
            <w:pPr>
              <w:widowControl/>
              <w:jc w:val="center"/>
              <w:rPr>
                <w:kern w:val="0"/>
                <w:sz w:val="18"/>
                <w:szCs w:val="18"/>
              </w:rPr>
            </w:pPr>
            <w:r>
              <w:rPr>
                <w:kern w:val="0"/>
                <w:sz w:val="18"/>
                <w:szCs w:val="18"/>
              </w:rPr>
              <w:t>方位距离及水力联系</w:t>
            </w:r>
          </w:p>
        </w:tc>
        <w:tc>
          <w:tcPr>
            <w:tcW w:w="2004" w:type="dxa"/>
            <w:vAlign w:val="center"/>
          </w:tcPr>
          <w:p>
            <w:pPr>
              <w:widowControl/>
              <w:jc w:val="center"/>
              <w:rPr>
                <w:kern w:val="0"/>
                <w:sz w:val="18"/>
                <w:szCs w:val="18"/>
              </w:rPr>
            </w:pPr>
            <w:r>
              <w:rPr>
                <w:kern w:val="0"/>
                <w:sz w:val="18"/>
                <w:szCs w:val="18"/>
              </w:rPr>
              <w:t>基本情况</w:t>
            </w:r>
          </w:p>
        </w:tc>
        <w:tc>
          <w:tcPr>
            <w:tcW w:w="1170" w:type="dxa"/>
            <w:tcBorders>
              <w:right w:val="single" w:color="auto" w:sz="4" w:space="0"/>
            </w:tcBorders>
            <w:vAlign w:val="center"/>
          </w:tcPr>
          <w:p>
            <w:pPr>
              <w:widowControl/>
              <w:jc w:val="center"/>
              <w:rPr>
                <w:kern w:val="0"/>
                <w:sz w:val="18"/>
                <w:szCs w:val="18"/>
              </w:rPr>
            </w:pPr>
            <w:r>
              <w:rPr>
                <w:kern w:val="0"/>
                <w:sz w:val="18"/>
                <w:szCs w:val="18"/>
              </w:rPr>
              <w:t>功能</w:t>
            </w:r>
          </w:p>
        </w:tc>
        <w:tc>
          <w:tcPr>
            <w:tcW w:w="1067" w:type="dxa"/>
            <w:tcBorders>
              <w:left w:val="single" w:color="auto" w:sz="4" w:space="0"/>
            </w:tcBorders>
            <w:vAlign w:val="center"/>
          </w:tcPr>
          <w:p>
            <w:pPr>
              <w:widowControl/>
              <w:jc w:val="center"/>
              <w:rPr>
                <w:b/>
                <w:kern w:val="0"/>
                <w:sz w:val="18"/>
                <w:szCs w:val="18"/>
              </w:rPr>
            </w:pPr>
            <w:r>
              <w:rPr>
                <w:b/>
                <w:kern w:val="0"/>
                <w:sz w:val="18"/>
                <w:szCs w:val="18"/>
              </w:rPr>
              <w:t>备注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jc w:val="center"/>
              <w:rPr>
                <w:sz w:val="18"/>
                <w:szCs w:val="18"/>
              </w:rPr>
            </w:pPr>
            <w:r>
              <w:rPr>
                <w:sz w:val="18"/>
                <w:szCs w:val="18"/>
              </w:rPr>
              <w:t>GW1(小听湖民井)</w:t>
            </w:r>
          </w:p>
        </w:tc>
        <w:tc>
          <w:tcPr>
            <w:tcW w:w="1081" w:type="dxa"/>
            <w:vAlign w:val="center"/>
          </w:tcPr>
          <w:p>
            <w:pPr>
              <w:jc w:val="center"/>
              <w:rPr>
                <w:sz w:val="18"/>
                <w:szCs w:val="18"/>
              </w:rPr>
            </w:pPr>
            <w:r>
              <w:rPr>
                <w:sz w:val="18"/>
                <w:szCs w:val="18"/>
              </w:rPr>
              <w:t>104°23'27"</w:t>
            </w:r>
          </w:p>
        </w:tc>
        <w:tc>
          <w:tcPr>
            <w:tcW w:w="934" w:type="dxa"/>
            <w:vAlign w:val="center"/>
          </w:tcPr>
          <w:p>
            <w:pPr>
              <w:jc w:val="center"/>
              <w:rPr>
                <w:sz w:val="18"/>
                <w:szCs w:val="18"/>
              </w:rPr>
            </w:pPr>
            <w:r>
              <w:rPr>
                <w:sz w:val="18"/>
                <w:szCs w:val="18"/>
              </w:rPr>
              <w:t>23°40'41"</w:t>
            </w:r>
          </w:p>
        </w:tc>
        <w:tc>
          <w:tcPr>
            <w:tcW w:w="1399" w:type="dxa"/>
            <w:vAlign w:val="center"/>
          </w:tcPr>
          <w:p>
            <w:pPr>
              <w:jc w:val="center"/>
              <w:rPr>
                <w:sz w:val="18"/>
                <w:szCs w:val="18"/>
              </w:rPr>
            </w:pPr>
            <w:r>
              <w:rPr>
                <w:sz w:val="18"/>
                <w:szCs w:val="18"/>
              </w:rPr>
              <w:t>项目区东南侧340m，项目区地下水下游</w:t>
            </w:r>
          </w:p>
        </w:tc>
        <w:tc>
          <w:tcPr>
            <w:tcW w:w="2004" w:type="dxa"/>
            <w:vAlign w:val="center"/>
          </w:tcPr>
          <w:p>
            <w:pPr>
              <w:jc w:val="center"/>
              <w:rPr>
                <w:sz w:val="18"/>
                <w:szCs w:val="18"/>
              </w:rPr>
            </w:pPr>
            <w:r>
              <w:rPr>
                <w:sz w:val="18"/>
                <w:szCs w:val="18"/>
              </w:rPr>
              <w:t>水位标高1537.24m，小听湖（搬迁）村民生活洗衣服等辅助用水，该村还存在多个类似民井</w:t>
            </w:r>
          </w:p>
        </w:tc>
        <w:tc>
          <w:tcPr>
            <w:tcW w:w="1170" w:type="dxa"/>
            <w:tcBorders>
              <w:right w:val="single" w:color="auto" w:sz="4" w:space="0"/>
            </w:tcBorders>
            <w:vAlign w:val="center"/>
          </w:tcPr>
          <w:p>
            <w:pPr>
              <w:jc w:val="center"/>
              <w:rPr>
                <w:sz w:val="18"/>
                <w:szCs w:val="18"/>
              </w:rPr>
            </w:pPr>
            <w:r>
              <w:rPr>
                <w:sz w:val="18"/>
                <w:szCs w:val="18"/>
              </w:rPr>
              <w:t>生活用水，该村还有部分水井具有同样功能</w:t>
            </w:r>
          </w:p>
        </w:tc>
        <w:tc>
          <w:tcPr>
            <w:tcW w:w="1067" w:type="dxa"/>
            <w:vMerge w:val="restart"/>
            <w:tcBorders>
              <w:left w:val="single" w:color="auto" w:sz="4" w:space="0"/>
            </w:tcBorders>
            <w:vAlign w:val="center"/>
          </w:tcPr>
          <w:p>
            <w:pPr>
              <w:jc w:val="center"/>
              <w:rPr>
                <w:b/>
                <w:sz w:val="18"/>
                <w:szCs w:val="18"/>
              </w:rPr>
            </w:pPr>
            <w:r>
              <w:rPr>
                <w:b/>
                <w:sz w:val="18"/>
                <w:szCs w:val="18"/>
                <w:highlight w:val="none"/>
              </w:rPr>
              <w:t>砚山县水务局已编制了砚山工业园区周边村寨水源替代方案</w:t>
            </w:r>
            <w:r>
              <w:rPr>
                <w:rFonts w:hint="eastAsia"/>
                <w:b/>
                <w:sz w:val="18"/>
                <w:szCs w:val="18"/>
                <w:highlight w:val="none"/>
              </w:rPr>
              <w:t>。</w:t>
            </w:r>
            <w:r>
              <w:rPr>
                <w:b/>
                <w:sz w:val="18"/>
                <w:szCs w:val="18"/>
                <w:highlight w:val="none"/>
              </w:rPr>
              <w:t>其中</w:t>
            </w:r>
            <w:r>
              <w:rPr>
                <w:rFonts w:hint="eastAsia"/>
                <w:b/>
                <w:sz w:val="18"/>
                <w:szCs w:val="18"/>
                <w:highlight w:val="none"/>
              </w:rPr>
              <w:t>，小听湖（搬迁）村庄搬迁，马鞍山水源为红舍克水库，已接通自来水，布标、听湖村二水厂供水，水源为阿香水库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jc w:val="center"/>
              <w:rPr>
                <w:sz w:val="18"/>
                <w:szCs w:val="18"/>
              </w:rPr>
            </w:pPr>
            <w:r>
              <w:rPr>
                <w:sz w:val="18"/>
                <w:szCs w:val="18"/>
              </w:rPr>
              <w:t>GW2(小听湖龙潭)</w:t>
            </w:r>
          </w:p>
        </w:tc>
        <w:tc>
          <w:tcPr>
            <w:tcW w:w="1081" w:type="dxa"/>
            <w:vAlign w:val="center"/>
          </w:tcPr>
          <w:p>
            <w:pPr>
              <w:jc w:val="center"/>
              <w:rPr>
                <w:sz w:val="18"/>
                <w:szCs w:val="18"/>
              </w:rPr>
            </w:pPr>
            <w:r>
              <w:rPr>
                <w:sz w:val="18"/>
                <w:szCs w:val="18"/>
              </w:rPr>
              <w:t>104°23'17"</w:t>
            </w:r>
          </w:p>
        </w:tc>
        <w:tc>
          <w:tcPr>
            <w:tcW w:w="934" w:type="dxa"/>
            <w:vAlign w:val="center"/>
          </w:tcPr>
          <w:p>
            <w:pPr>
              <w:jc w:val="center"/>
              <w:rPr>
                <w:sz w:val="18"/>
                <w:szCs w:val="18"/>
              </w:rPr>
            </w:pPr>
            <w:r>
              <w:rPr>
                <w:sz w:val="18"/>
                <w:szCs w:val="18"/>
              </w:rPr>
              <w:t>23°40'33"</w:t>
            </w:r>
          </w:p>
        </w:tc>
        <w:tc>
          <w:tcPr>
            <w:tcW w:w="1399" w:type="dxa"/>
            <w:vAlign w:val="center"/>
          </w:tcPr>
          <w:p>
            <w:pPr>
              <w:jc w:val="center"/>
              <w:rPr>
                <w:sz w:val="18"/>
                <w:szCs w:val="18"/>
              </w:rPr>
            </w:pPr>
            <w:r>
              <w:rPr>
                <w:sz w:val="18"/>
                <w:szCs w:val="18"/>
              </w:rPr>
              <w:t>项目区东南侧边界东南方向255m，项目区地下水下游</w:t>
            </w:r>
          </w:p>
        </w:tc>
        <w:tc>
          <w:tcPr>
            <w:tcW w:w="2004" w:type="dxa"/>
            <w:vAlign w:val="center"/>
          </w:tcPr>
          <w:p>
            <w:pPr>
              <w:jc w:val="center"/>
              <w:rPr>
                <w:sz w:val="18"/>
                <w:szCs w:val="18"/>
              </w:rPr>
            </w:pPr>
            <w:r>
              <w:rPr>
                <w:sz w:val="18"/>
                <w:szCs w:val="18"/>
              </w:rPr>
              <w:t>水位标高1535.66m，小听湖（搬迁）村自来水集中水源</w:t>
            </w:r>
          </w:p>
        </w:tc>
        <w:tc>
          <w:tcPr>
            <w:tcW w:w="1170" w:type="dxa"/>
            <w:tcBorders>
              <w:right w:val="single" w:color="auto" w:sz="4" w:space="0"/>
            </w:tcBorders>
            <w:vAlign w:val="center"/>
          </w:tcPr>
          <w:p>
            <w:pPr>
              <w:jc w:val="center"/>
              <w:rPr>
                <w:sz w:val="18"/>
                <w:szCs w:val="18"/>
              </w:rPr>
            </w:pPr>
            <w:r>
              <w:rPr>
                <w:sz w:val="18"/>
                <w:szCs w:val="18"/>
              </w:rPr>
              <w:t>小听湖（搬迁）自来水</w:t>
            </w:r>
          </w:p>
        </w:tc>
        <w:tc>
          <w:tcPr>
            <w:tcW w:w="1067" w:type="dxa"/>
            <w:vMerge w:val="continue"/>
            <w:tcBorders>
              <w:left w:val="single" w:color="auto" w:sz="4" w:space="0"/>
            </w:tcBorders>
            <w:vAlign w:val="center"/>
          </w:tcPr>
          <w:p>
            <w:pPr>
              <w:jc w:val="center"/>
              <w:rPr>
                <w:sz w:val="18"/>
                <w:szCs w:val="1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jc w:val="center"/>
              <w:rPr>
                <w:sz w:val="18"/>
                <w:szCs w:val="18"/>
              </w:rPr>
            </w:pPr>
            <w:r>
              <w:rPr>
                <w:sz w:val="18"/>
                <w:szCs w:val="18"/>
              </w:rPr>
              <w:t>GW3(马鞍山水井)</w:t>
            </w:r>
          </w:p>
        </w:tc>
        <w:tc>
          <w:tcPr>
            <w:tcW w:w="1081" w:type="dxa"/>
            <w:vAlign w:val="center"/>
          </w:tcPr>
          <w:p>
            <w:pPr>
              <w:jc w:val="center"/>
              <w:rPr>
                <w:sz w:val="18"/>
                <w:szCs w:val="18"/>
              </w:rPr>
            </w:pPr>
            <w:r>
              <w:rPr>
                <w:sz w:val="18"/>
                <w:szCs w:val="18"/>
              </w:rPr>
              <w:t>104°22'51"</w:t>
            </w:r>
          </w:p>
        </w:tc>
        <w:tc>
          <w:tcPr>
            <w:tcW w:w="934" w:type="dxa"/>
            <w:vAlign w:val="center"/>
          </w:tcPr>
          <w:p>
            <w:pPr>
              <w:jc w:val="center"/>
              <w:rPr>
                <w:sz w:val="18"/>
                <w:szCs w:val="18"/>
              </w:rPr>
            </w:pPr>
            <w:r>
              <w:rPr>
                <w:sz w:val="18"/>
                <w:szCs w:val="18"/>
              </w:rPr>
              <w:t>23°41'45"</w:t>
            </w:r>
          </w:p>
        </w:tc>
        <w:tc>
          <w:tcPr>
            <w:tcW w:w="1399" w:type="dxa"/>
            <w:vAlign w:val="center"/>
          </w:tcPr>
          <w:p>
            <w:pPr>
              <w:jc w:val="center"/>
              <w:rPr>
                <w:sz w:val="18"/>
                <w:szCs w:val="18"/>
              </w:rPr>
            </w:pPr>
            <w:r>
              <w:rPr>
                <w:sz w:val="18"/>
                <w:szCs w:val="18"/>
              </w:rPr>
              <w:t>深井，取深层地下水，项目区地下水流下游</w:t>
            </w:r>
          </w:p>
        </w:tc>
        <w:tc>
          <w:tcPr>
            <w:tcW w:w="2004" w:type="dxa"/>
            <w:vAlign w:val="center"/>
          </w:tcPr>
          <w:p>
            <w:pPr>
              <w:jc w:val="center"/>
              <w:rPr>
                <w:sz w:val="18"/>
                <w:szCs w:val="18"/>
              </w:rPr>
            </w:pPr>
            <w:r>
              <w:rPr>
                <w:sz w:val="18"/>
                <w:szCs w:val="18"/>
              </w:rPr>
              <w:t>地表标高1520.12m，井深200m，深井抽水放蓄水池中，各家各户自行到水池取水</w:t>
            </w:r>
          </w:p>
        </w:tc>
        <w:tc>
          <w:tcPr>
            <w:tcW w:w="1170" w:type="dxa"/>
            <w:tcBorders>
              <w:right w:val="single" w:color="auto" w:sz="4" w:space="0"/>
            </w:tcBorders>
            <w:vAlign w:val="center"/>
          </w:tcPr>
          <w:p>
            <w:pPr>
              <w:jc w:val="center"/>
              <w:rPr>
                <w:sz w:val="18"/>
                <w:szCs w:val="18"/>
              </w:rPr>
            </w:pPr>
            <w:r>
              <w:rPr>
                <w:sz w:val="18"/>
                <w:szCs w:val="18"/>
              </w:rPr>
              <w:t>200米深井，马鞍山集中水源</w:t>
            </w:r>
          </w:p>
        </w:tc>
        <w:tc>
          <w:tcPr>
            <w:tcW w:w="1067" w:type="dxa"/>
            <w:vMerge w:val="continue"/>
            <w:tcBorders>
              <w:left w:val="single" w:color="auto" w:sz="4" w:space="0"/>
            </w:tcBorders>
            <w:vAlign w:val="center"/>
          </w:tcPr>
          <w:p>
            <w:pPr>
              <w:jc w:val="center"/>
              <w:rPr>
                <w:sz w:val="18"/>
                <w:szCs w:val="1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jc w:val="center"/>
              <w:rPr>
                <w:sz w:val="18"/>
                <w:szCs w:val="18"/>
              </w:rPr>
            </w:pPr>
            <w:r>
              <w:rPr>
                <w:sz w:val="18"/>
                <w:szCs w:val="18"/>
              </w:rPr>
              <w:t>GW</w:t>
            </w:r>
            <w:r>
              <w:rPr>
                <w:rFonts w:hint="eastAsia"/>
                <w:sz w:val="18"/>
                <w:szCs w:val="18"/>
              </w:rPr>
              <w:t>4</w:t>
            </w:r>
            <w:r>
              <w:rPr>
                <w:sz w:val="18"/>
                <w:szCs w:val="18"/>
              </w:rPr>
              <w:t>(布标民井)</w:t>
            </w:r>
          </w:p>
        </w:tc>
        <w:tc>
          <w:tcPr>
            <w:tcW w:w="1081" w:type="dxa"/>
            <w:vAlign w:val="center"/>
          </w:tcPr>
          <w:p>
            <w:pPr>
              <w:jc w:val="center"/>
              <w:rPr>
                <w:sz w:val="18"/>
                <w:szCs w:val="18"/>
              </w:rPr>
            </w:pPr>
            <w:r>
              <w:rPr>
                <w:sz w:val="18"/>
                <w:szCs w:val="18"/>
              </w:rPr>
              <w:t>104°21'46"</w:t>
            </w:r>
          </w:p>
        </w:tc>
        <w:tc>
          <w:tcPr>
            <w:tcW w:w="934" w:type="dxa"/>
            <w:vAlign w:val="center"/>
          </w:tcPr>
          <w:p>
            <w:pPr>
              <w:jc w:val="center"/>
              <w:rPr>
                <w:sz w:val="18"/>
                <w:szCs w:val="18"/>
              </w:rPr>
            </w:pPr>
            <w:r>
              <w:rPr>
                <w:sz w:val="18"/>
                <w:szCs w:val="18"/>
              </w:rPr>
              <w:t>23°40'16"</w:t>
            </w:r>
          </w:p>
        </w:tc>
        <w:tc>
          <w:tcPr>
            <w:tcW w:w="1399" w:type="dxa"/>
            <w:vAlign w:val="center"/>
          </w:tcPr>
          <w:p>
            <w:pPr>
              <w:jc w:val="center"/>
              <w:rPr>
                <w:sz w:val="18"/>
                <w:szCs w:val="18"/>
              </w:rPr>
            </w:pPr>
            <w:r>
              <w:rPr>
                <w:sz w:val="18"/>
                <w:szCs w:val="18"/>
              </w:rPr>
              <w:t>项目场地西南侧1.16 km，项目场地地下水流上游，无联系</w:t>
            </w:r>
          </w:p>
        </w:tc>
        <w:tc>
          <w:tcPr>
            <w:tcW w:w="2004" w:type="dxa"/>
            <w:vAlign w:val="center"/>
          </w:tcPr>
          <w:p>
            <w:pPr>
              <w:jc w:val="center"/>
              <w:rPr>
                <w:sz w:val="18"/>
                <w:szCs w:val="18"/>
              </w:rPr>
            </w:pPr>
            <w:r>
              <w:rPr>
                <w:sz w:val="18"/>
                <w:szCs w:val="18"/>
              </w:rPr>
              <w:t>地下水位1543.25m，井深40m，埋深约15m，为村民生活用水，村庄存在多数水井，集中供水龙潭已经基本停用，各家自己打井，主要取自西南侧寒武系歇场组岩溶含水层地下水</w:t>
            </w:r>
          </w:p>
        </w:tc>
        <w:tc>
          <w:tcPr>
            <w:tcW w:w="1170" w:type="dxa"/>
            <w:tcBorders>
              <w:right w:val="single" w:color="auto" w:sz="4" w:space="0"/>
            </w:tcBorders>
            <w:vAlign w:val="center"/>
          </w:tcPr>
          <w:p>
            <w:pPr>
              <w:jc w:val="center"/>
              <w:rPr>
                <w:sz w:val="18"/>
                <w:szCs w:val="18"/>
              </w:rPr>
            </w:pPr>
            <w:r>
              <w:rPr>
                <w:sz w:val="18"/>
                <w:szCs w:val="18"/>
              </w:rPr>
              <w:t>生活用水，该村还有部分水井具有同样功能</w:t>
            </w:r>
          </w:p>
        </w:tc>
        <w:tc>
          <w:tcPr>
            <w:tcW w:w="1067" w:type="dxa"/>
            <w:vMerge w:val="continue"/>
            <w:tcBorders>
              <w:left w:val="single" w:color="auto" w:sz="4" w:space="0"/>
            </w:tcBorders>
            <w:vAlign w:val="center"/>
          </w:tcPr>
          <w:p>
            <w:pPr>
              <w:jc w:val="center"/>
              <w:rPr>
                <w:sz w:val="18"/>
                <w:szCs w:val="1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jc w:val="center"/>
              <w:rPr>
                <w:sz w:val="18"/>
                <w:szCs w:val="18"/>
              </w:rPr>
            </w:pPr>
            <w:r>
              <w:rPr>
                <w:sz w:val="18"/>
                <w:szCs w:val="18"/>
              </w:rPr>
              <w:t>GW</w:t>
            </w:r>
            <w:r>
              <w:rPr>
                <w:rFonts w:hint="eastAsia"/>
                <w:sz w:val="18"/>
                <w:szCs w:val="18"/>
              </w:rPr>
              <w:t>5</w:t>
            </w:r>
            <w:r>
              <w:rPr>
                <w:sz w:val="18"/>
                <w:szCs w:val="18"/>
              </w:rPr>
              <w:t>(柏布榔民井)</w:t>
            </w:r>
          </w:p>
        </w:tc>
        <w:tc>
          <w:tcPr>
            <w:tcW w:w="1081" w:type="dxa"/>
            <w:vAlign w:val="center"/>
          </w:tcPr>
          <w:p>
            <w:pPr>
              <w:jc w:val="center"/>
              <w:rPr>
                <w:sz w:val="18"/>
                <w:szCs w:val="18"/>
              </w:rPr>
            </w:pPr>
            <w:r>
              <w:rPr>
                <w:sz w:val="18"/>
                <w:szCs w:val="18"/>
              </w:rPr>
              <w:t>104°22'38"</w:t>
            </w:r>
          </w:p>
        </w:tc>
        <w:tc>
          <w:tcPr>
            <w:tcW w:w="934" w:type="dxa"/>
            <w:vAlign w:val="center"/>
          </w:tcPr>
          <w:p>
            <w:pPr>
              <w:jc w:val="center"/>
              <w:rPr>
                <w:sz w:val="18"/>
                <w:szCs w:val="18"/>
              </w:rPr>
            </w:pPr>
            <w:r>
              <w:rPr>
                <w:sz w:val="18"/>
                <w:szCs w:val="18"/>
              </w:rPr>
              <w:t>23°39'57"</w:t>
            </w:r>
          </w:p>
        </w:tc>
        <w:tc>
          <w:tcPr>
            <w:tcW w:w="1399" w:type="dxa"/>
            <w:vAlign w:val="center"/>
          </w:tcPr>
          <w:p>
            <w:pPr>
              <w:jc w:val="center"/>
              <w:rPr>
                <w:sz w:val="18"/>
                <w:szCs w:val="18"/>
              </w:rPr>
            </w:pPr>
            <w:r>
              <w:rPr>
                <w:sz w:val="18"/>
                <w:szCs w:val="18"/>
              </w:rPr>
              <w:t>项目区南侧788m，项目场地南侧地下水流下游</w:t>
            </w:r>
          </w:p>
        </w:tc>
        <w:tc>
          <w:tcPr>
            <w:tcW w:w="2004" w:type="dxa"/>
            <w:vAlign w:val="center"/>
          </w:tcPr>
          <w:p>
            <w:pPr>
              <w:jc w:val="center"/>
              <w:rPr>
                <w:sz w:val="18"/>
                <w:szCs w:val="18"/>
              </w:rPr>
            </w:pPr>
            <w:r>
              <w:rPr>
                <w:sz w:val="18"/>
                <w:szCs w:val="18"/>
              </w:rPr>
              <w:t>地下水位标高1533.07m，柏布榔村民井，该村还存在类似多数井，生活用水，主要取自砚山组碎屑岩裂隙水含水层地下水，地下水平均埋深5-6m。</w:t>
            </w:r>
          </w:p>
        </w:tc>
        <w:tc>
          <w:tcPr>
            <w:tcW w:w="1170" w:type="dxa"/>
            <w:tcBorders>
              <w:right w:val="single" w:color="auto" w:sz="4" w:space="0"/>
            </w:tcBorders>
            <w:vAlign w:val="center"/>
          </w:tcPr>
          <w:p>
            <w:pPr>
              <w:jc w:val="center"/>
              <w:rPr>
                <w:sz w:val="18"/>
                <w:szCs w:val="18"/>
              </w:rPr>
            </w:pPr>
            <w:r>
              <w:rPr>
                <w:sz w:val="18"/>
                <w:szCs w:val="18"/>
              </w:rPr>
              <w:t>生活用水，该村还有部分水井具有同样功能</w:t>
            </w:r>
          </w:p>
        </w:tc>
        <w:tc>
          <w:tcPr>
            <w:tcW w:w="1067" w:type="dxa"/>
            <w:vMerge w:val="continue"/>
            <w:tcBorders>
              <w:left w:val="single" w:color="auto" w:sz="4" w:space="0"/>
            </w:tcBorders>
            <w:vAlign w:val="center"/>
          </w:tcPr>
          <w:p>
            <w:pPr>
              <w:jc w:val="center"/>
              <w:rPr>
                <w:sz w:val="18"/>
                <w:szCs w:val="18"/>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134" w:type="dxa"/>
            <w:vAlign w:val="center"/>
          </w:tcPr>
          <w:p>
            <w:pPr>
              <w:jc w:val="center"/>
              <w:rPr>
                <w:sz w:val="18"/>
                <w:szCs w:val="18"/>
              </w:rPr>
            </w:pPr>
            <w:r>
              <w:rPr>
                <w:sz w:val="18"/>
                <w:szCs w:val="18"/>
              </w:rPr>
              <w:t>GW</w:t>
            </w:r>
            <w:r>
              <w:rPr>
                <w:rFonts w:hint="eastAsia"/>
                <w:sz w:val="18"/>
                <w:szCs w:val="18"/>
              </w:rPr>
              <w:t>6</w:t>
            </w:r>
            <w:r>
              <w:rPr>
                <w:sz w:val="18"/>
                <w:szCs w:val="18"/>
              </w:rPr>
              <w:t>(听湖村龙潭)</w:t>
            </w:r>
          </w:p>
        </w:tc>
        <w:tc>
          <w:tcPr>
            <w:tcW w:w="1081" w:type="dxa"/>
            <w:vAlign w:val="center"/>
          </w:tcPr>
          <w:p>
            <w:pPr>
              <w:jc w:val="center"/>
              <w:rPr>
                <w:sz w:val="18"/>
                <w:szCs w:val="18"/>
              </w:rPr>
            </w:pPr>
            <w:r>
              <w:rPr>
                <w:sz w:val="18"/>
                <w:szCs w:val="18"/>
              </w:rPr>
              <w:t>104°23'31"</w:t>
            </w:r>
          </w:p>
        </w:tc>
        <w:tc>
          <w:tcPr>
            <w:tcW w:w="934" w:type="dxa"/>
            <w:vAlign w:val="center"/>
          </w:tcPr>
          <w:p>
            <w:pPr>
              <w:jc w:val="center"/>
              <w:rPr>
                <w:sz w:val="18"/>
                <w:szCs w:val="18"/>
              </w:rPr>
            </w:pPr>
            <w:r>
              <w:rPr>
                <w:sz w:val="18"/>
                <w:szCs w:val="18"/>
              </w:rPr>
              <w:t>23°40'13"</w:t>
            </w:r>
          </w:p>
        </w:tc>
        <w:tc>
          <w:tcPr>
            <w:tcW w:w="1399" w:type="dxa"/>
            <w:vAlign w:val="center"/>
          </w:tcPr>
          <w:p>
            <w:pPr>
              <w:jc w:val="center"/>
              <w:rPr>
                <w:sz w:val="18"/>
                <w:szCs w:val="18"/>
              </w:rPr>
            </w:pPr>
            <w:r>
              <w:rPr>
                <w:sz w:val="18"/>
                <w:szCs w:val="18"/>
              </w:rPr>
              <w:t>项目场地东南侧943m，项目场地东南方向地下水流下游</w:t>
            </w:r>
          </w:p>
        </w:tc>
        <w:tc>
          <w:tcPr>
            <w:tcW w:w="2004" w:type="dxa"/>
            <w:vAlign w:val="center"/>
          </w:tcPr>
          <w:p>
            <w:pPr>
              <w:jc w:val="center"/>
              <w:rPr>
                <w:sz w:val="18"/>
                <w:szCs w:val="18"/>
              </w:rPr>
            </w:pPr>
            <w:r>
              <w:rPr>
                <w:sz w:val="18"/>
                <w:szCs w:val="18"/>
              </w:rPr>
              <w:t>出露标高1532.30m，为项目场地东南侧水沟边出露泉点，听湖村通过管引作为该村自来水，据描述水流量稳定，多余泉水排入沟谷中</w:t>
            </w:r>
          </w:p>
        </w:tc>
        <w:tc>
          <w:tcPr>
            <w:tcW w:w="1170" w:type="dxa"/>
            <w:tcBorders>
              <w:right w:val="single" w:color="auto" w:sz="4" w:space="0"/>
            </w:tcBorders>
            <w:vAlign w:val="center"/>
          </w:tcPr>
          <w:p>
            <w:pPr>
              <w:jc w:val="center"/>
              <w:rPr>
                <w:sz w:val="18"/>
                <w:szCs w:val="18"/>
              </w:rPr>
            </w:pPr>
            <w:r>
              <w:rPr>
                <w:sz w:val="18"/>
                <w:szCs w:val="18"/>
              </w:rPr>
              <w:t>听湖村自来水来源</w:t>
            </w:r>
          </w:p>
        </w:tc>
        <w:tc>
          <w:tcPr>
            <w:tcW w:w="1067" w:type="dxa"/>
            <w:vMerge w:val="continue"/>
            <w:tcBorders>
              <w:left w:val="single" w:color="auto" w:sz="4" w:space="0"/>
            </w:tcBorders>
            <w:vAlign w:val="center"/>
          </w:tcPr>
          <w:p>
            <w:pPr>
              <w:jc w:val="center"/>
              <w:rPr>
                <w:sz w:val="18"/>
                <w:szCs w:val="18"/>
              </w:rPr>
            </w:pPr>
          </w:p>
        </w:tc>
      </w:tr>
    </w:tbl>
    <w:p>
      <w:pPr>
        <w:pStyle w:val="7"/>
        <w:ind w:firstLine="480"/>
      </w:pPr>
      <w:r>
        <w:rPr>
          <w:rFonts w:hint="eastAsia"/>
        </w:rPr>
        <w:t>从上述6个地下水现状监测点可以看出，从区域水文地质条件分析可以看出，除了布标村民井地下水位于拟建项目场地上游外，其余地下水现状监测井及开发利用泉井均位于项目场地下游，主要是由于拟建项目场地范围较大，且跨越了石炭系和二叠系的岩溶含水层和下第三系的砚山组碎屑岩裂隙含水层，由于项目场地南侧覆盖的砚山组碎屑岩裂隙含水层地下水主要沿着东南方向径流，最终汇入听湖，因此，柏布榔、听湖村及小听湖（搬迁）地下水均位于项目南侧地下水流下游，因此，今后因加强上述除了布标村民井之外的其余村庄地下水的监测工作，一旦发现特征污染物超标，应为上述地下水源采取水源替代措施，风险情况下拟建项目区对上述水源的影响将在后续地下水环境影响模拟预测分析章节中分析。</w:t>
      </w:r>
    </w:p>
    <w:p>
      <w:pPr>
        <w:pStyle w:val="8"/>
      </w:pPr>
      <w:r>
        <w:rPr>
          <w:rFonts w:hint="eastAsia"/>
        </w:rPr>
        <w:t>6.4.3区域地下水污染源调查</w:t>
      </w:r>
    </w:p>
    <w:p>
      <w:pPr>
        <w:pStyle w:val="7"/>
        <w:ind w:firstLine="480"/>
      </w:pPr>
      <w:r>
        <w:rPr>
          <w:rFonts w:hint="eastAsia"/>
        </w:rPr>
        <w:t>按照《环境影响评价技术导则—地下水环境》（HJ610—2016），地下水污染源调查主要包括工业污染源、生活污染源、农业污染源，其调查重点主要包括废水排放口、渗坑、渗井、污水池、排污渠、已被污染的河流、湖泊、水库和固体废物堆放场等。本项目地下水污染源主要为工业、农业、生活污染源。</w:t>
      </w:r>
    </w:p>
    <w:p>
      <w:pPr>
        <w:pStyle w:val="7"/>
        <w:ind w:firstLine="480"/>
      </w:pPr>
      <w:r>
        <w:rPr>
          <w:rFonts w:hint="eastAsia"/>
        </w:rPr>
        <w:t>（1）工业污染源</w:t>
      </w:r>
    </w:p>
    <w:p>
      <w:pPr>
        <w:pStyle w:val="7"/>
        <w:ind w:firstLine="480"/>
      </w:pPr>
      <w:r>
        <w:rPr>
          <w:rFonts w:hint="eastAsia"/>
        </w:rPr>
        <w:t>经本次水文地质调查，评价区范围内仅存在文山铝业有限公司红舍克赤泥库，其他均无工业及企业，因此，整体上评价区范围内工业污染源很少。</w:t>
      </w:r>
    </w:p>
    <w:p>
      <w:pPr>
        <w:pStyle w:val="7"/>
        <w:ind w:firstLine="480"/>
      </w:pPr>
      <w:r>
        <w:rPr>
          <w:rFonts w:hint="eastAsia"/>
        </w:rPr>
        <w:t>（2）农业污染源</w:t>
      </w:r>
    </w:p>
    <w:p>
      <w:pPr>
        <w:pStyle w:val="7"/>
        <w:ind w:firstLine="480"/>
      </w:pPr>
      <w:r>
        <w:rPr>
          <w:rFonts w:hint="eastAsia"/>
        </w:rPr>
        <w:t>项目评价区范围大部分属于喀斯特岩溶地貌山区，在山间平地主要种植玉米和水稻，主要是因农业施肥造成局部氨氮污染，但总体上影响有限。</w:t>
      </w:r>
    </w:p>
    <w:p>
      <w:pPr>
        <w:pStyle w:val="7"/>
        <w:ind w:firstLine="480"/>
      </w:pPr>
      <w:r>
        <w:rPr>
          <w:rFonts w:hint="eastAsia"/>
        </w:rPr>
        <w:t>（3）生活污染源</w:t>
      </w:r>
    </w:p>
    <w:p>
      <w:pPr>
        <w:pStyle w:val="7"/>
        <w:ind w:firstLine="480"/>
      </w:pPr>
      <w:r>
        <w:rPr>
          <w:rFonts w:hint="eastAsia"/>
        </w:rPr>
        <w:t>评价区生活污染源主要涉及到上小舍克村、碧云村、三家寨、处暑、布标、柏布榔、小听湖（搬迁）、听湖、马鞍山、法都克下寨、法都克大寨等居民居住点，尤其是生活垃圾的无序堆放及生活废水的随意排放造成下游地表水及地下水污染，本次地下水现状监测数据显示，部分浅井的硝酸盐氮浓度偏高可能与村民生活污染有。</w:t>
      </w:r>
    </w:p>
    <w:p>
      <w:pPr>
        <w:pStyle w:val="8"/>
      </w:pPr>
      <w:r>
        <w:rPr>
          <w:rFonts w:hint="eastAsia"/>
        </w:rPr>
        <w:t>6.4.4地下水环境影响分析</w:t>
      </w:r>
    </w:p>
    <w:p>
      <w:pPr>
        <w:pStyle w:val="9"/>
      </w:pPr>
      <w:r>
        <w:rPr>
          <w:rFonts w:hint="eastAsia"/>
        </w:rPr>
        <w:t>6.4.4.1项目地下水污染途径分析</w:t>
      </w:r>
    </w:p>
    <w:p>
      <w:pPr>
        <w:pStyle w:val="7"/>
        <w:ind w:firstLine="480"/>
      </w:pPr>
      <w:r>
        <w:rPr>
          <w:rFonts w:hint="eastAsia"/>
        </w:rPr>
        <w:t>本项目可能污染地下水的主要环节有铝灰暂存间防渗破损、污水管网、循环冷却水池及化粪池的渗漏。</w:t>
      </w:r>
    </w:p>
    <w:p>
      <w:pPr>
        <w:pStyle w:val="7"/>
        <w:ind w:firstLine="482"/>
        <w:rPr>
          <w:b/>
          <w:bCs/>
        </w:rPr>
      </w:pPr>
      <w:r>
        <w:rPr>
          <w:rFonts w:hint="eastAsia"/>
          <w:b/>
          <w:bCs/>
        </w:rPr>
        <w:t>1、非正常排放情况</w:t>
      </w:r>
    </w:p>
    <w:p>
      <w:pPr>
        <w:pStyle w:val="7"/>
        <w:ind w:firstLine="480"/>
      </w:pPr>
      <w:r>
        <w:rPr>
          <w:rFonts w:hint="eastAsia"/>
        </w:rPr>
        <w:t>根据工程概况和工程分析，项目运行期产生的废水主要有循环冷却水池产生的浊循环冷却水、生活污水、初期雨水等。</w:t>
      </w:r>
    </w:p>
    <w:p>
      <w:pPr>
        <w:pStyle w:val="7"/>
        <w:ind w:firstLine="480"/>
      </w:pPr>
      <w:r>
        <w:rPr>
          <w:rFonts w:hint="eastAsia"/>
        </w:rPr>
        <w:t>根据厂区废水、生活污水等的收集、暂存及处理工艺可知，对地下水环境存在潜在污染风险的区域主要为循环冷却水池、污水处理站、污废水输送管道等。</w:t>
      </w:r>
    </w:p>
    <w:p>
      <w:pPr>
        <w:pStyle w:val="7"/>
        <w:ind w:firstLine="480"/>
      </w:pPr>
      <w:r>
        <w:rPr>
          <w:rFonts w:hint="eastAsia"/>
        </w:rPr>
        <w:t>同时，本项目铝灰暂存间防渗层破损，铝灰与包气带地下水接触后，铝灰中的氟化物会对区域地下水造成污染。</w:t>
      </w:r>
    </w:p>
    <w:p>
      <w:pPr>
        <w:pStyle w:val="7"/>
        <w:ind w:firstLine="482"/>
        <w:rPr>
          <w:b/>
          <w:bCs/>
        </w:rPr>
      </w:pPr>
      <w:r>
        <w:rPr>
          <w:rFonts w:hint="eastAsia"/>
          <w:b/>
          <w:bCs/>
        </w:rPr>
        <w:t>2、地下水污染途径</w:t>
      </w:r>
    </w:p>
    <w:p>
      <w:pPr>
        <w:pStyle w:val="7"/>
        <w:ind w:firstLine="480"/>
      </w:pPr>
      <w:r>
        <w:rPr>
          <w:rFonts w:hint="eastAsia"/>
        </w:rPr>
        <w:t>污染物从污染源进入地下水所经过的路径称为地下水污染途径，地下水污染途径是多种多样的。根据工程分析，拟建项目可能对地下水造成污染的途径主要有：</w:t>
      </w:r>
    </w:p>
    <w:p>
      <w:pPr>
        <w:pStyle w:val="7"/>
        <w:ind w:firstLine="480"/>
      </w:pPr>
      <w:r>
        <w:rPr>
          <w:rFonts w:hint="eastAsia"/>
        </w:rPr>
        <w:t>①若循环冷却水池、污水处理站工艺池发生破裂，则暂存在里面的浊循环冷却水会发生渗漏，对地下水环境造成污染。</w:t>
      </w:r>
    </w:p>
    <w:p>
      <w:pPr>
        <w:pStyle w:val="7"/>
        <w:ind w:firstLine="480"/>
      </w:pPr>
      <w:r>
        <w:rPr>
          <w:rFonts w:hint="eastAsia"/>
        </w:rPr>
        <w:t>②若污废水输送管道发生破裂，则污废水会发生泄漏，对地下水环境造成污染。</w:t>
      </w:r>
    </w:p>
    <w:p>
      <w:pPr>
        <w:pStyle w:val="7"/>
        <w:ind w:firstLine="480"/>
      </w:pPr>
      <w:r>
        <w:rPr>
          <w:rFonts w:hint="eastAsia"/>
        </w:rPr>
        <w:t>③铝灰暂存间防渗层破损，会导致铝灰与包气带地下水接触后，铝灰中的氟化物会对区域地下水造成污染</w:t>
      </w:r>
    </w:p>
    <w:p>
      <w:pPr>
        <w:pStyle w:val="7"/>
        <w:ind w:firstLine="482"/>
        <w:rPr>
          <w:b/>
          <w:bCs/>
        </w:rPr>
      </w:pPr>
      <w:r>
        <w:rPr>
          <w:rFonts w:hint="eastAsia"/>
          <w:b/>
          <w:bCs/>
        </w:rPr>
        <w:t>3、主要评价因子</w:t>
      </w:r>
    </w:p>
    <w:p>
      <w:pPr>
        <w:pStyle w:val="7"/>
        <w:ind w:firstLine="480"/>
      </w:pPr>
      <w:r>
        <w:rPr>
          <w:rFonts w:hint="eastAsia"/>
        </w:rPr>
        <w:t>根据工程分析可知，循环冷却水池及污水处理站是厂区废水的集中暂存区域，存在造成地下水污染的可能性，是厂区地下水的主要污染源。若其防渗层发生破损或破裂，则暂存的浊循环冷却水等会发生渗漏，对地下水环境造成较大的污染。</w:t>
      </w:r>
    </w:p>
    <w:p>
      <w:pPr>
        <w:pStyle w:val="7"/>
        <w:ind w:firstLine="480"/>
      </w:pPr>
      <w:r>
        <w:rPr>
          <w:rFonts w:hint="eastAsia"/>
        </w:rPr>
        <w:t>根据工程分析，循环冷却水产生量较大，经循环使用一段时间后污染物浓度逐渐增高，是项目厂区地下水的主要污染源，根据监测报告分析循环冷却水的污染物主要为SS、COD、氟化物、石油类等（见前面章节4.4.1.2），根据污染物性质和浓度的不同，选取COD、硫化物、石油类作为主要的评价因子，其浓度取值分别为10mg/L、0.056mg/L、200mg/L。</w:t>
      </w:r>
    </w:p>
    <w:p>
      <w:pPr>
        <w:pStyle w:val="7"/>
        <w:ind w:firstLine="480"/>
      </w:pPr>
      <w:r>
        <w:rPr>
          <w:rFonts w:hint="eastAsia"/>
        </w:rPr>
        <w:t>根据铝灰溶出固体浸出毒性试验，类比的生产废水《南文山铝业有限公司铝灰资源化利用环保科技示范项目环境影响报告书》中氟化物的浓度为7.19mg/L。</w:t>
      </w:r>
    </w:p>
    <w:p>
      <w:pPr>
        <w:pStyle w:val="9"/>
      </w:pPr>
      <w:r>
        <w:rPr>
          <w:rFonts w:hint="eastAsia"/>
        </w:rPr>
        <w:t>6.4.4.2拟建项目对地下水的环境影响分析</w:t>
      </w:r>
    </w:p>
    <w:p>
      <w:pPr>
        <w:pStyle w:val="7"/>
        <w:ind w:firstLine="482"/>
        <w:rPr>
          <w:b/>
          <w:bCs/>
        </w:rPr>
      </w:pPr>
      <w:r>
        <w:rPr>
          <w:rFonts w:hint="eastAsia"/>
          <w:b/>
          <w:bCs/>
        </w:rPr>
        <w:t>1、正常运行状况下对地下水环境的影响分析</w:t>
      </w:r>
    </w:p>
    <w:p>
      <w:pPr>
        <w:pStyle w:val="7"/>
        <w:ind w:firstLine="480"/>
      </w:pPr>
      <w:r>
        <w:rPr>
          <w:rFonts w:hint="eastAsia"/>
        </w:rPr>
        <w:t>在循环冷却水池、污水处理站、危废暂存间、化粪池污废水输送管道等区域按照《环境影响评价技术导则-地下水环境》（HJ610-2016）中的防渗要求进行防渗设计，厂区采取防渗措施的情况下，项目正常运行过程中产生的污废水生渗漏的可能性较小。且初期雨水经收集处理后回用，不直接排放到周围环境中。因此，在建设期做好污染防渗措施，运行期加强维护和管理的情况下循环冷却水池浑循环冷却废水发生渗漏或泄漏穿过防渗层进入土壤并造成地下水污染的可能性较小，项目建设运营对地下水环境的影响是可控的。</w:t>
      </w:r>
    </w:p>
    <w:p>
      <w:pPr>
        <w:pStyle w:val="7"/>
        <w:ind w:firstLine="482"/>
        <w:rPr>
          <w:b/>
          <w:bCs/>
        </w:rPr>
      </w:pPr>
      <w:r>
        <w:rPr>
          <w:rFonts w:hint="eastAsia"/>
          <w:b/>
          <w:bCs/>
        </w:rPr>
        <w:t>2、非正常状况下对地下水环境的影响分析</w:t>
      </w:r>
    </w:p>
    <w:p>
      <w:pPr>
        <w:pStyle w:val="7"/>
        <w:ind w:firstLine="482"/>
        <w:rPr>
          <w:b/>
          <w:bCs/>
        </w:rPr>
      </w:pPr>
      <w:r>
        <w:rPr>
          <w:rFonts w:hint="eastAsia"/>
          <w:b/>
          <w:bCs/>
        </w:rPr>
        <w:t>（1）地下水数学模型</w:t>
      </w:r>
    </w:p>
    <w:p>
      <w:pPr>
        <w:pStyle w:val="7"/>
        <w:ind w:firstLine="480"/>
      </w:pPr>
      <w:r>
        <w:rPr>
          <w:rFonts w:hint="eastAsia"/>
        </w:rPr>
        <w:t>根据厂区平面布置情况，本项目循环冷却水池布置于厂区西侧，区域地质位于第三系砚山组，项目区地下水类型主要为岩溶水，富水性较弱。采用解析法预测项目的建设运营对地下水环境的影响，计算时不考虑水流的源汇项目，且对污染物在含水层中的吸附、挥发、生物化学反应等不作考虑，当作保守性污染物考虑，从而可简化地下水水流及水质模型。</w:t>
      </w:r>
    </w:p>
    <w:p>
      <w:pPr>
        <w:pStyle w:val="7"/>
        <w:ind w:firstLine="480"/>
      </w:pPr>
      <w:r>
        <w:rPr>
          <w:rFonts w:hint="eastAsia"/>
        </w:rPr>
        <w:t>根据厂区污染源分布情况和污染物性质，主要考循环冷却水池的防渗层出现破损、铝灰暂存间防渗层破损等非正常情况时生产废水渗漏对地下水环境可能造成的影响。因此将污染源视为连续稳定释放的点源，对非正常情况下的污染物进行正向推算，分别计算50天、100天、1年、1000天后的污染物的超标扩散距离和最大迁移距离。</w:t>
      </w:r>
    </w:p>
    <w:p>
      <w:pPr>
        <w:pStyle w:val="7"/>
        <w:ind w:firstLine="480"/>
      </w:pPr>
      <w:r>
        <w:rPr>
          <w:rFonts w:hint="eastAsia"/>
        </w:rPr>
        <w:t>拟建项目对地下水环境的影响预测分析采用《环境影响评价技术导则-地下水环境》（HJ610-2016）推荐的一维稳定流动一维水动力弥散问题中的计算公式进行估算，概化条件为一维半无限长多孔介质柱体，一端为定浓度边界，且不考虑水流的源汇项目，对污染物在含水层中的吸附、挥发、生物化学反应等不作考虑，当作保守性污染物考虑，其一维连续污染物运移预测方程为：</w:t>
      </w:r>
    </w:p>
    <w:p>
      <w:pPr>
        <w:spacing w:line="360" w:lineRule="auto"/>
        <w:jc w:val="center"/>
      </w:pPr>
      <w:r>
        <w:rPr>
          <w:lang w:bidi="ar"/>
        </w:rPr>
        <w:object>
          <v:shape id="_x0000_i1042" o:spt="75" type="#_x0000_t75" style="height:36.3pt;width:172.8pt;" o:ole="t" filled="f" o:preferrelative="t" stroked="f" coordsize="21600,21600">
            <v:path/>
            <v:fill on="f" focussize="0,0"/>
            <v:stroke on="f" joinstyle="miter"/>
            <v:imagedata r:id="rId83" o:title=""/>
            <o:lock v:ext="edit" aspectratio="t"/>
            <w10:wrap type="none"/>
            <w10:anchorlock/>
          </v:shape>
          <o:OLEObject Type="Embed" ProgID="Equation.DSMT4" ShapeID="_x0000_i1042" DrawAspect="Content" ObjectID="_1468075742" r:id="rId82">
            <o:LockedField>false</o:LockedField>
          </o:OLEObject>
        </w:object>
      </w:r>
    </w:p>
    <w:p>
      <w:pPr>
        <w:spacing w:line="360" w:lineRule="auto"/>
        <w:jc w:val="center"/>
      </w:pPr>
      <w:r>
        <w:rPr>
          <w:lang w:bidi="ar"/>
        </w:rPr>
        <w:object>
          <v:shape id="_x0000_i1043" o:spt="75" type="#_x0000_t75" style="height:14.4pt;width:50.1pt;" o:ole="t" filled="f" o:preferrelative="t" stroked="f" coordsize="21600,21600">
            <v:path/>
            <v:fill on="f" focussize="0,0"/>
            <v:stroke on="f" joinstyle="miter"/>
            <v:imagedata r:id="rId85" o:title=""/>
            <o:lock v:ext="edit" aspectratio="t"/>
            <w10:wrap type="none"/>
            <w10:anchorlock/>
          </v:shape>
          <o:OLEObject Type="Embed" ProgID="Equation.DSMT4" ShapeID="_x0000_i1043" DrawAspect="Content" ObjectID="_1468075743" r:id="rId84">
            <o:LockedField>false</o:LockedField>
          </o:OLEObject>
        </w:object>
      </w:r>
      <w:r>
        <w:rPr>
          <w:lang w:bidi="ar"/>
        </w:rPr>
        <w:t>，</w:t>
      </w:r>
      <w:r>
        <w:rPr>
          <w:lang w:bidi="ar"/>
        </w:rPr>
        <w:object>
          <v:shape id="_x0000_i1044" o:spt="75" type="#_x0000_t75" style="height:14.4pt;width:57.6pt;" o:ole="t" filled="f" o:preferrelative="t" stroked="f" coordsize="21600,21600">
            <v:path/>
            <v:fill on="f" focussize="0,0"/>
            <v:stroke on="f" joinstyle="miter"/>
            <v:imagedata r:id="rId87" o:title=""/>
            <o:lock v:ext="edit" aspectratio="t"/>
            <w10:wrap type="none"/>
            <w10:anchorlock/>
          </v:shape>
          <o:OLEObject Type="Embed" ProgID="Equation.DSMT4" ShapeID="_x0000_i1044" DrawAspect="Content" ObjectID="_1468075744" r:id="rId86">
            <o:LockedField>false</o:LockedField>
          </o:OLEObject>
        </w:object>
      </w:r>
    </w:p>
    <w:p>
      <w:pPr>
        <w:pStyle w:val="7"/>
        <w:ind w:firstLine="480"/>
      </w:pPr>
      <w:r>
        <w:rPr>
          <w:lang w:bidi="ar"/>
        </w:rPr>
        <w:t>式中：x为预测点距污染源强的距离(m)；t为预测时间(d)；C为t时刻x处的污染物浓度(mg/L)；C</w:t>
      </w:r>
      <w:r>
        <w:rPr>
          <w:vertAlign w:val="subscript"/>
          <w:lang w:bidi="ar"/>
        </w:rPr>
        <w:t>0</w:t>
      </w:r>
      <w:r>
        <w:rPr>
          <w:lang w:bidi="ar"/>
        </w:rPr>
        <w:t>为地下水污染源强浓度(mg/L)；u为水流速度(m/d)；D</w:t>
      </w:r>
      <w:r>
        <w:rPr>
          <w:vertAlign w:val="subscript"/>
          <w:lang w:bidi="ar"/>
        </w:rPr>
        <w:t>L</w:t>
      </w:r>
      <w:r>
        <w:rPr>
          <w:lang w:bidi="ar"/>
        </w:rPr>
        <w:t>为纵向弥散系数(m</w:t>
      </w:r>
      <w:r>
        <w:rPr>
          <w:vertAlign w:val="superscript"/>
          <w:lang w:bidi="ar"/>
        </w:rPr>
        <w:t>2</w:t>
      </w:r>
      <w:r>
        <w:rPr>
          <w:lang w:bidi="ar"/>
        </w:rPr>
        <w:t>/d)；erfc( )为余误差函数；K为渗透系数(m/d)；I为水力坡度；a</w:t>
      </w:r>
      <w:r>
        <w:rPr>
          <w:vertAlign w:val="subscript"/>
          <w:lang w:bidi="ar"/>
        </w:rPr>
        <w:t>L</w:t>
      </w:r>
      <w:r>
        <w:rPr>
          <w:lang w:bidi="ar"/>
        </w:rPr>
        <w:t>为纵向弥散度(m)。</w:t>
      </w:r>
    </w:p>
    <w:p>
      <w:pPr>
        <w:pStyle w:val="7"/>
        <w:ind w:firstLine="482"/>
        <w:rPr>
          <w:b/>
          <w:bCs/>
        </w:rPr>
      </w:pPr>
      <w:r>
        <w:rPr>
          <w:rFonts w:hint="eastAsia"/>
          <w:b/>
          <w:bCs/>
        </w:rPr>
        <w:t>（2）水文地质参数取值</w:t>
      </w:r>
    </w:p>
    <w:p>
      <w:pPr>
        <w:pStyle w:val="7"/>
        <w:ind w:firstLine="480"/>
      </w:pPr>
      <w:r>
        <w:rPr>
          <w:rFonts w:hint="eastAsia"/>
        </w:rPr>
        <w:t>①渗透系数</w:t>
      </w:r>
    </w:p>
    <w:p>
      <w:pPr>
        <w:pStyle w:val="7"/>
        <w:ind w:firstLine="480"/>
      </w:pPr>
      <w:r>
        <w:rPr>
          <w:rFonts w:hint="eastAsia"/>
        </w:rPr>
        <w:t>根据区域水文地质，项目区含水层的渗透系数在0.118～0.161m/d之间，本次评价计算时取为0.161m/d。</w:t>
      </w:r>
    </w:p>
    <w:p>
      <w:pPr>
        <w:pStyle w:val="7"/>
        <w:ind w:firstLine="480"/>
      </w:pPr>
      <w:r>
        <w:rPr>
          <w:rFonts w:hint="eastAsia"/>
        </w:rPr>
        <w:t>②水力坡度及水流速度</w:t>
      </w:r>
    </w:p>
    <w:p>
      <w:pPr>
        <w:pStyle w:val="7"/>
        <w:ind w:firstLine="480"/>
      </w:pPr>
      <w:r>
        <w:rPr>
          <w:rFonts w:hint="eastAsia"/>
        </w:rPr>
        <w:t>厂区循环冷却水池浊循环冷却废水发生渗漏后主要由东北向西南径流，计算时地下水水力坡度近似取为地形坡降，按照区域地形坡降，其水力坡度近似取为0.1。</w:t>
      </w:r>
    </w:p>
    <w:p>
      <w:pPr>
        <w:pStyle w:val="7"/>
        <w:ind w:firstLine="480"/>
      </w:pPr>
      <w:r>
        <w:rPr>
          <w:rFonts w:hint="eastAsia"/>
        </w:rPr>
        <w:t>根据渗透系数和水力坡度，可计算出项目区地下水流速u约为0.016m/d。</w:t>
      </w:r>
    </w:p>
    <w:p>
      <w:pPr>
        <w:pStyle w:val="7"/>
        <w:ind w:firstLine="480"/>
      </w:pPr>
      <w:r>
        <w:rPr>
          <w:rFonts w:hint="eastAsia" w:ascii="宋体" w:hAnsi="宋体" w:cs="宋体"/>
          <w:lang w:bidi="ar"/>
        </w:rPr>
        <w:t>③</w:t>
      </w:r>
      <w:r>
        <w:rPr>
          <w:lang w:bidi="ar"/>
        </w:rPr>
        <w:t>弥散度及弥散系数</w:t>
      </w:r>
    </w:p>
    <w:p>
      <w:pPr>
        <w:pStyle w:val="7"/>
        <w:ind w:firstLine="480"/>
        <w:rPr>
          <w:spacing w:val="4"/>
        </w:rPr>
      </w:pPr>
      <w:r>
        <w:rPr>
          <w:kern w:val="0"/>
        </w:rPr>
        <w:t>D. S. Makuch（2005）综合了其他人的研究成果，对不同岩性和不同尺度条件下介质的</w:t>
      </w:r>
      <w:r>
        <w:t>弥散度大小进行了</w:t>
      </w:r>
      <w:r>
        <w:rPr>
          <w:kern w:val="0"/>
        </w:rPr>
        <w:t>统计，获得了污染物在不同岩性中迁移的</w:t>
      </w:r>
      <w:r>
        <w:t>纵向弥散度，并存在</w:t>
      </w:r>
      <w:r>
        <w:rPr>
          <w:spacing w:val="4"/>
        </w:rPr>
        <w:t>尺度效应现象，</w:t>
      </w:r>
      <w:r>
        <w:rPr>
          <w:spacing w:val="4"/>
          <w:lang w:bidi="ar"/>
        </w:rPr>
        <w:t>根据纵向弥散度及地下水流速，可计算出纵向弥散系数D</w:t>
      </w:r>
      <w:r>
        <w:rPr>
          <w:spacing w:val="4"/>
          <w:vertAlign w:val="subscript"/>
          <w:lang w:bidi="ar"/>
        </w:rPr>
        <w:t>L</w:t>
      </w:r>
      <w:r>
        <w:rPr>
          <w:spacing w:val="4"/>
          <w:lang w:bidi="ar"/>
        </w:rPr>
        <w:t>为0.8m</w:t>
      </w:r>
      <w:r>
        <w:rPr>
          <w:spacing w:val="4"/>
          <w:vertAlign w:val="superscript"/>
          <w:lang w:bidi="ar"/>
        </w:rPr>
        <w:t>2</w:t>
      </w:r>
      <w:r>
        <w:rPr>
          <w:spacing w:val="4"/>
          <w:lang w:bidi="ar"/>
        </w:rPr>
        <w:t>/d。</w:t>
      </w:r>
    </w:p>
    <w:p>
      <w:pPr>
        <w:pStyle w:val="7"/>
        <w:ind w:firstLine="480"/>
      </w:pPr>
      <w:r>
        <w:rPr>
          <w:rFonts w:hint="eastAsia" w:ascii="宋体" w:hAnsi="宋体" w:cs="宋体"/>
          <w:lang w:bidi="ar"/>
        </w:rPr>
        <w:t>④</w:t>
      </w:r>
      <w:r>
        <w:rPr>
          <w:lang w:bidi="ar"/>
        </w:rPr>
        <w:t>计算时参数取值统计</w:t>
      </w:r>
    </w:p>
    <w:p>
      <w:pPr>
        <w:pStyle w:val="7"/>
        <w:ind w:firstLine="480"/>
      </w:pPr>
      <w:r>
        <w:t>计算时渗透系数、水力坡度、水流速度、纵向弥散度、纵向弥散系数及污染源强统计见表</w:t>
      </w:r>
      <w:r>
        <w:rPr>
          <w:rFonts w:hint="eastAsia"/>
        </w:rPr>
        <w:t>6.4-</w:t>
      </w:r>
      <w:r>
        <w:rPr>
          <w:rFonts w:hint="eastAsia"/>
          <w:lang w:val="en-US" w:eastAsia="zh-CN"/>
        </w:rPr>
        <w:t>3</w:t>
      </w:r>
      <w:r>
        <w:t>。</w:t>
      </w:r>
    </w:p>
    <w:p>
      <w:pPr>
        <w:pStyle w:val="31"/>
      </w:pPr>
      <w:r>
        <w:t>表</w:t>
      </w:r>
      <w:r>
        <w:rPr>
          <w:rFonts w:hint="eastAsia"/>
        </w:rPr>
        <w:t>6.4-</w:t>
      </w:r>
      <w:r>
        <w:rPr>
          <w:rFonts w:hint="eastAsia"/>
          <w:lang w:val="en-US" w:eastAsia="zh-CN"/>
        </w:rPr>
        <w:t>3</w:t>
      </w:r>
      <w:r>
        <w:t xml:space="preserve">  计算参数一览表</w:t>
      </w:r>
    </w:p>
    <w:tbl>
      <w:tblPr>
        <w:tblStyle w:val="27"/>
        <w:tblW w:w="496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08"/>
        <w:gridCol w:w="681"/>
        <w:gridCol w:w="954"/>
        <w:gridCol w:w="1093"/>
        <w:gridCol w:w="1468"/>
        <w:gridCol w:w="787"/>
        <w:gridCol w:w="787"/>
        <w:gridCol w:w="787"/>
        <w:gridCol w:w="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7" w:hRule="atLeast"/>
        </w:trPr>
        <w:tc>
          <w:tcPr>
            <w:tcW w:w="908" w:type="dxa"/>
            <w:vMerge w:val="restart"/>
            <w:tcMar>
              <w:top w:w="10" w:type="dxa"/>
              <w:left w:w="10" w:type="dxa"/>
              <w:right w:w="10" w:type="dxa"/>
            </w:tcMar>
            <w:vAlign w:val="center"/>
          </w:tcPr>
          <w:p>
            <w:pPr>
              <w:pStyle w:val="33"/>
            </w:pPr>
            <w:r>
              <w:t>渗透系数K(m/d)</w:t>
            </w:r>
          </w:p>
        </w:tc>
        <w:tc>
          <w:tcPr>
            <w:tcW w:w="681" w:type="dxa"/>
            <w:vMerge w:val="restart"/>
            <w:tcMar>
              <w:top w:w="10" w:type="dxa"/>
              <w:left w:w="10" w:type="dxa"/>
              <w:right w:w="10" w:type="dxa"/>
            </w:tcMar>
            <w:vAlign w:val="center"/>
          </w:tcPr>
          <w:p>
            <w:pPr>
              <w:pStyle w:val="33"/>
            </w:pPr>
            <w:r>
              <w:t>水力坡度I</w:t>
            </w:r>
          </w:p>
        </w:tc>
        <w:tc>
          <w:tcPr>
            <w:tcW w:w="955" w:type="dxa"/>
            <w:vMerge w:val="restart"/>
            <w:vAlign w:val="center"/>
          </w:tcPr>
          <w:p>
            <w:pPr>
              <w:pStyle w:val="33"/>
            </w:pPr>
            <w:r>
              <w:t>水流速度u(m/d)</w:t>
            </w:r>
          </w:p>
        </w:tc>
        <w:tc>
          <w:tcPr>
            <w:tcW w:w="1094" w:type="dxa"/>
            <w:vMerge w:val="restart"/>
            <w:tcMar>
              <w:top w:w="10" w:type="dxa"/>
              <w:left w:w="10" w:type="dxa"/>
              <w:right w:w="10" w:type="dxa"/>
            </w:tcMar>
            <w:vAlign w:val="center"/>
          </w:tcPr>
          <w:p>
            <w:pPr>
              <w:pStyle w:val="33"/>
            </w:pPr>
            <w:r>
              <w:t>纵向弥</w:t>
            </w:r>
          </w:p>
          <w:p>
            <w:pPr>
              <w:pStyle w:val="33"/>
            </w:pPr>
            <w:r>
              <w:t>散度aL(m)</w:t>
            </w:r>
          </w:p>
        </w:tc>
        <w:tc>
          <w:tcPr>
            <w:tcW w:w="1469" w:type="dxa"/>
            <w:vMerge w:val="restart"/>
            <w:vAlign w:val="center"/>
          </w:tcPr>
          <w:p>
            <w:pPr>
              <w:pStyle w:val="33"/>
            </w:pPr>
            <w:r>
              <w:t>纵向弥散</w:t>
            </w:r>
          </w:p>
          <w:p>
            <w:pPr>
              <w:pStyle w:val="33"/>
            </w:pPr>
            <w:r>
              <w:t>系数DL(m</w:t>
            </w:r>
            <w:r>
              <w:rPr>
                <w:vertAlign w:val="superscript"/>
              </w:rPr>
              <w:t>2</w:t>
            </w:r>
            <w:r>
              <w:t>/d)</w:t>
            </w:r>
          </w:p>
        </w:tc>
        <w:tc>
          <w:tcPr>
            <w:tcW w:w="3154" w:type="dxa"/>
            <w:gridSpan w:val="4"/>
            <w:vAlign w:val="center"/>
          </w:tcPr>
          <w:p>
            <w:pPr>
              <w:pStyle w:val="33"/>
            </w:pPr>
            <w:r>
              <w:t>污染源强C</w:t>
            </w:r>
            <w:r>
              <w:rPr>
                <w:vertAlign w:val="subscript"/>
              </w:rPr>
              <w:t>0</w:t>
            </w:r>
            <w: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1" w:hRule="atLeast"/>
        </w:trPr>
        <w:tc>
          <w:tcPr>
            <w:tcW w:w="908" w:type="dxa"/>
            <w:vMerge w:val="continue"/>
            <w:tcMar>
              <w:top w:w="10" w:type="dxa"/>
              <w:left w:w="10" w:type="dxa"/>
              <w:right w:w="10" w:type="dxa"/>
            </w:tcMar>
            <w:vAlign w:val="center"/>
          </w:tcPr>
          <w:p>
            <w:pPr>
              <w:pStyle w:val="33"/>
            </w:pPr>
          </w:p>
        </w:tc>
        <w:tc>
          <w:tcPr>
            <w:tcW w:w="681" w:type="dxa"/>
            <w:vMerge w:val="continue"/>
            <w:tcMar>
              <w:top w:w="10" w:type="dxa"/>
              <w:left w:w="10" w:type="dxa"/>
              <w:right w:w="10" w:type="dxa"/>
            </w:tcMar>
            <w:vAlign w:val="center"/>
          </w:tcPr>
          <w:p>
            <w:pPr>
              <w:pStyle w:val="33"/>
            </w:pPr>
          </w:p>
        </w:tc>
        <w:tc>
          <w:tcPr>
            <w:tcW w:w="955" w:type="dxa"/>
            <w:vMerge w:val="continue"/>
            <w:vAlign w:val="center"/>
          </w:tcPr>
          <w:p>
            <w:pPr>
              <w:pStyle w:val="33"/>
            </w:pPr>
          </w:p>
        </w:tc>
        <w:tc>
          <w:tcPr>
            <w:tcW w:w="1094" w:type="dxa"/>
            <w:vMerge w:val="continue"/>
            <w:tcMar>
              <w:top w:w="10" w:type="dxa"/>
              <w:left w:w="10" w:type="dxa"/>
              <w:right w:w="10" w:type="dxa"/>
            </w:tcMar>
            <w:vAlign w:val="center"/>
          </w:tcPr>
          <w:p>
            <w:pPr>
              <w:pStyle w:val="33"/>
            </w:pPr>
          </w:p>
        </w:tc>
        <w:tc>
          <w:tcPr>
            <w:tcW w:w="1469" w:type="dxa"/>
            <w:vMerge w:val="continue"/>
            <w:vAlign w:val="center"/>
          </w:tcPr>
          <w:p>
            <w:pPr>
              <w:pStyle w:val="33"/>
            </w:pPr>
          </w:p>
        </w:tc>
        <w:tc>
          <w:tcPr>
            <w:tcW w:w="788" w:type="dxa"/>
            <w:vAlign w:val="center"/>
          </w:tcPr>
          <w:p>
            <w:pPr>
              <w:pStyle w:val="33"/>
            </w:pPr>
            <w:r>
              <w:rPr>
                <w:rFonts w:hint="eastAsia"/>
              </w:rPr>
              <w:t>C</w:t>
            </w:r>
            <w:r>
              <w:t>OD</w:t>
            </w:r>
          </w:p>
        </w:tc>
        <w:tc>
          <w:tcPr>
            <w:tcW w:w="788" w:type="dxa"/>
            <w:vAlign w:val="center"/>
          </w:tcPr>
          <w:p>
            <w:pPr>
              <w:pStyle w:val="33"/>
            </w:pPr>
            <w:r>
              <w:rPr>
                <w:rFonts w:hint="eastAsia"/>
              </w:rPr>
              <w:t>硫化物</w:t>
            </w:r>
          </w:p>
        </w:tc>
        <w:tc>
          <w:tcPr>
            <w:tcW w:w="788" w:type="dxa"/>
            <w:vAlign w:val="center"/>
          </w:tcPr>
          <w:p>
            <w:pPr>
              <w:pStyle w:val="33"/>
            </w:pPr>
            <w:r>
              <w:rPr>
                <w:rFonts w:hint="eastAsia"/>
              </w:rPr>
              <w:t>石油类</w:t>
            </w:r>
          </w:p>
        </w:tc>
        <w:tc>
          <w:tcPr>
            <w:tcW w:w="790" w:type="dxa"/>
            <w:vAlign w:val="center"/>
          </w:tcPr>
          <w:p>
            <w:pPr>
              <w:pStyle w:val="33"/>
            </w:pPr>
            <w:r>
              <w:rPr>
                <w:rFonts w:hint="eastAsia"/>
              </w:rPr>
              <w:t>氟化物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 w:hRule="atLeast"/>
        </w:trPr>
        <w:tc>
          <w:tcPr>
            <w:tcW w:w="908" w:type="dxa"/>
            <w:vAlign w:val="center"/>
          </w:tcPr>
          <w:p>
            <w:pPr>
              <w:pStyle w:val="33"/>
            </w:pPr>
            <w:r>
              <w:t>0.161</w:t>
            </w:r>
          </w:p>
        </w:tc>
        <w:tc>
          <w:tcPr>
            <w:tcW w:w="681" w:type="dxa"/>
            <w:vAlign w:val="center"/>
          </w:tcPr>
          <w:p>
            <w:pPr>
              <w:pStyle w:val="33"/>
            </w:pPr>
            <w:r>
              <w:t>0.1</w:t>
            </w:r>
          </w:p>
        </w:tc>
        <w:tc>
          <w:tcPr>
            <w:tcW w:w="955" w:type="dxa"/>
            <w:vAlign w:val="center"/>
          </w:tcPr>
          <w:p>
            <w:pPr>
              <w:pStyle w:val="33"/>
            </w:pPr>
            <w:r>
              <w:t>0.016</w:t>
            </w:r>
          </w:p>
        </w:tc>
        <w:tc>
          <w:tcPr>
            <w:tcW w:w="1094" w:type="dxa"/>
            <w:tcMar>
              <w:top w:w="10" w:type="dxa"/>
              <w:left w:w="10" w:type="dxa"/>
              <w:right w:w="10" w:type="dxa"/>
            </w:tcMar>
            <w:vAlign w:val="center"/>
          </w:tcPr>
          <w:p>
            <w:pPr>
              <w:pStyle w:val="33"/>
            </w:pPr>
            <w:r>
              <w:t>50</w:t>
            </w:r>
          </w:p>
        </w:tc>
        <w:tc>
          <w:tcPr>
            <w:tcW w:w="1469" w:type="dxa"/>
            <w:tcMar>
              <w:top w:w="10" w:type="dxa"/>
              <w:left w:w="10" w:type="dxa"/>
              <w:right w:w="10" w:type="dxa"/>
            </w:tcMar>
            <w:vAlign w:val="center"/>
          </w:tcPr>
          <w:p>
            <w:pPr>
              <w:pStyle w:val="33"/>
            </w:pPr>
            <w:r>
              <w:t>0.8</w:t>
            </w:r>
          </w:p>
        </w:tc>
        <w:tc>
          <w:tcPr>
            <w:tcW w:w="788" w:type="dxa"/>
            <w:vAlign w:val="center"/>
          </w:tcPr>
          <w:p>
            <w:pPr>
              <w:pStyle w:val="33"/>
            </w:pPr>
            <w:r>
              <w:t>10</w:t>
            </w:r>
          </w:p>
        </w:tc>
        <w:tc>
          <w:tcPr>
            <w:tcW w:w="788" w:type="dxa"/>
            <w:vAlign w:val="center"/>
          </w:tcPr>
          <w:p>
            <w:pPr>
              <w:pStyle w:val="33"/>
            </w:pPr>
            <w:r>
              <w:t>0.056</w:t>
            </w:r>
          </w:p>
        </w:tc>
        <w:tc>
          <w:tcPr>
            <w:tcW w:w="788" w:type="dxa"/>
            <w:vAlign w:val="center"/>
          </w:tcPr>
          <w:p>
            <w:pPr>
              <w:pStyle w:val="33"/>
            </w:pPr>
            <w:r>
              <w:rPr>
                <w:rFonts w:hint="eastAsia"/>
              </w:rPr>
              <w:t>200</w:t>
            </w:r>
          </w:p>
        </w:tc>
        <w:tc>
          <w:tcPr>
            <w:tcW w:w="790" w:type="dxa"/>
            <w:vAlign w:val="center"/>
          </w:tcPr>
          <w:p>
            <w:pPr>
              <w:pStyle w:val="33"/>
            </w:pPr>
            <w:r>
              <w:rPr>
                <w:rFonts w:hint="eastAsia"/>
              </w:rPr>
              <w:t>7.19</w:t>
            </w:r>
          </w:p>
        </w:tc>
      </w:tr>
    </w:tbl>
    <w:p>
      <w:pPr>
        <w:pStyle w:val="7"/>
        <w:ind w:firstLine="482"/>
        <w:rPr>
          <w:b/>
          <w:bCs/>
        </w:rPr>
      </w:pPr>
      <w:r>
        <w:rPr>
          <w:rFonts w:hint="eastAsia"/>
          <w:b/>
          <w:bCs/>
        </w:rPr>
        <w:t>（3）污染物运移预测结果分析</w:t>
      </w:r>
    </w:p>
    <w:p>
      <w:pPr>
        <w:pStyle w:val="7"/>
        <w:ind w:firstLine="480"/>
      </w:pPr>
      <w:r>
        <w:rPr>
          <w:rFonts w:hint="eastAsia"/>
        </w:rPr>
        <w:t>在循环冷却水池等的防渗层出现破损或破裂、铝灰暂存间防渗层破损，浊循环冷却水发生渗漏、铝灰与包气带地下水接触的非正常状况下，污废水持续排出、以及铝灰与包气带地下水接触50天、100天、1年、1000天后，COD、硫化物、石油类、氟化物在地下水环境中的最大迁移扩散距离估算结果见</w:t>
      </w:r>
      <w:r>
        <w:rPr>
          <w:lang w:bidi="ar"/>
        </w:rPr>
        <w:t>表</w:t>
      </w:r>
      <w:r>
        <w:rPr>
          <w:rFonts w:hint="eastAsia"/>
          <w:lang w:bidi="ar"/>
        </w:rPr>
        <w:t>7.4-3~7.4-6</w:t>
      </w:r>
      <w:r>
        <w:rPr>
          <w:rFonts w:hint="eastAsia"/>
        </w:rPr>
        <w:t>，为厂区建设设计、运行管理和非正常状况下的地下水污染风险管控提供一定的指导作用。</w:t>
      </w:r>
    </w:p>
    <w:p>
      <w:pPr>
        <w:pStyle w:val="31"/>
      </w:pPr>
      <w:r>
        <w:t>表</w:t>
      </w:r>
      <w:r>
        <w:rPr>
          <w:rFonts w:hint="eastAsia"/>
        </w:rPr>
        <w:t>6.4-</w:t>
      </w:r>
      <w:r>
        <w:rPr>
          <w:rFonts w:hint="eastAsia"/>
          <w:lang w:val="en-US" w:eastAsia="zh-CN"/>
        </w:rPr>
        <w:t>4</w:t>
      </w:r>
      <w:r>
        <w:t xml:space="preserve">  地下水中</w:t>
      </w:r>
      <w:r>
        <w:rPr>
          <w:rFonts w:hint="eastAsia"/>
        </w:rPr>
        <w:t>C</w:t>
      </w:r>
      <w:r>
        <w:t>OD浓度变化预测结果表（单位</w:t>
      </w:r>
      <w:r>
        <w:rPr>
          <w:rFonts w:hint="eastAsia"/>
          <w:lang w:eastAsia="zh-CN"/>
        </w:rPr>
        <w:t>：</w:t>
      </w:r>
      <w:r>
        <w:t>mg/L）</w:t>
      </w:r>
    </w:p>
    <w:tbl>
      <w:tblPr>
        <w:tblStyle w:val="27"/>
        <w:tblW w:w="4923"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7"/>
        <w:gridCol w:w="1707"/>
        <w:gridCol w:w="1376"/>
        <w:gridCol w:w="1514"/>
        <w:gridCol w:w="192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trPr>
        <w:tc>
          <w:tcPr>
            <w:tcW w:w="1113" w:type="pct"/>
            <w:tcBorders>
              <w:top w:val="single" w:color="auto" w:sz="4" w:space="0"/>
              <w:left w:val="single" w:color="auto" w:sz="4" w:space="0"/>
              <w:bottom w:val="single" w:color="auto" w:sz="4" w:space="0"/>
              <w:right w:val="single" w:color="auto" w:sz="4" w:space="0"/>
              <w:tl2br w:val="single" w:color="auto" w:sz="2"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时间</w:t>
            </w:r>
          </w:p>
          <w:p>
            <w:pPr>
              <w:pStyle w:val="49"/>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距离(m)</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0天</w:t>
            </w:r>
          </w:p>
        </w:tc>
        <w:tc>
          <w:tcPr>
            <w:tcW w:w="820"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100天</w:t>
            </w:r>
          </w:p>
        </w:tc>
        <w:tc>
          <w:tcPr>
            <w:tcW w:w="90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365天</w:t>
            </w:r>
          </w:p>
        </w:tc>
        <w:tc>
          <w:tcPr>
            <w:tcW w:w="1148"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1000天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8" w:hRule="atLeast"/>
        </w:trPr>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6.04</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7</w:t>
            </w:r>
            <w:r>
              <w:rPr>
                <w:bCs/>
                <w:szCs w:val="21"/>
              </w:rPr>
              <w:t>.26</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8</w:t>
            </w:r>
            <w:r>
              <w:rPr>
                <w:bCs/>
                <w:szCs w:val="21"/>
              </w:rPr>
              <w:t>.75</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9</w:t>
            </w:r>
            <w:r>
              <w:rPr>
                <w:bCs/>
                <w:szCs w:val="21"/>
              </w:rPr>
              <w:t>.39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.90</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4.72</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7</w:t>
            </w:r>
            <w:r>
              <w:rPr>
                <w:bCs/>
                <w:szCs w:val="21"/>
              </w:rPr>
              <w:t>.44</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8.74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.08</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.72</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w:t>
            </w:r>
            <w:r>
              <w:rPr>
                <w:bCs/>
                <w:szCs w:val="21"/>
              </w:rPr>
              <w:t>.14</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8</w:t>
            </w:r>
            <w:r>
              <w:rPr>
                <w:bCs/>
                <w:szCs w:val="21"/>
              </w:rPr>
              <w:t>.05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2</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.31</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.38</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w:t>
            </w:r>
            <w:r>
              <w:rPr>
                <w:bCs/>
                <w:szCs w:val="21"/>
              </w:rPr>
              <w:t>.91</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7</w:t>
            </w:r>
            <w:r>
              <w:rPr>
                <w:bCs/>
                <w:szCs w:val="21"/>
              </w:rPr>
              <w:t>.34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3</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0</w:t>
            </w:r>
            <w:r>
              <w:rPr>
                <w:rFonts w:ascii="Times New Roman" w:hAnsi="Times New Roman" w:cs="Times New Roman"/>
                <w:bCs/>
                <w:sz w:val="21"/>
                <w:szCs w:val="21"/>
              </w:rPr>
              <w:t>.01</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.23</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.84</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w:t>
            </w:r>
            <w:r>
              <w:rPr>
                <w:bCs/>
                <w:szCs w:val="21"/>
              </w:rPr>
              <w:t>.9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4</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.02</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.43</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w:t>
            </w:r>
            <w:r>
              <w:rPr>
                <w:bCs/>
                <w:szCs w:val="21"/>
              </w:rPr>
              <w:t>.53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.62</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3</w:t>
            </w:r>
            <w:r>
              <w:rPr>
                <w:bCs/>
                <w:szCs w:val="21"/>
              </w:rPr>
              <w:t>.32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.38</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.78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备注</w:t>
            </w:r>
          </w:p>
        </w:tc>
        <w:tc>
          <w:tcPr>
            <w:tcW w:w="3887" w:type="pct"/>
            <w:gridSpan w:val="4"/>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C</w:t>
            </w:r>
            <w:r>
              <w:rPr>
                <w:rFonts w:ascii="Times New Roman" w:hAnsi="Times New Roman" w:cs="Times New Roman"/>
                <w:bCs/>
                <w:sz w:val="21"/>
                <w:szCs w:val="21"/>
              </w:rPr>
              <w:t>OD采用地下水质量标准中的Ⅲ类标准值，其值为3.0mg/L</w:t>
            </w:r>
          </w:p>
        </w:tc>
      </w:tr>
    </w:tbl>
    <w:p>
      <w:pPr>
        <w:ind w:firstLine="422"/>
        <w:jc w:val="center"/>
        <w:rPr>
          <w:b/>
          <w:szCs w:val="21"/>
          <w:lang w:bidi="ar"/>
        </w:rPr>
      </w:pPr>
    </w:p>
    <w:p>
      <w:pPr>
        <w:pStyle w:val="31"/>
      </w:pPr>
      <w:r>
        <w:t>表</w:t>
      </w:r>
      <w:r>
        <w:rPr>
          <w:rFonts w:hint="eastAsia"/>
        </w:rPr>
        <w:t>6.4-</w:t>
      </w:r>
      <w:r>
        <w:rPr>
          <w:rFonts w:hint="eastAsia"/>
          <w:lang w:val="en-US" w:eastAsia="zh-CN"/>
        </w:rPr>
        <w:t>5</w:t>
      </w:r>
      <w:r>
        <w:t xml:space="preserve"> 地下水中</w:t>
      </w:r>
      <w:r>
        <w:rPr>
          <w:rFonts w:hint="eastAsia"/>
        </w:rPr>
        <w:t>硫化物</w:t>
      </w:r>
      <w:r>
        <w:t>浓度变化预测结果表（单位</w:t>
      </w:r>
      <w:r>
        <w:rPr>
          <w:rFonts w:hint="eastAsia"/>
          <w:lang w:eastAsia="zh-CN"/>
        </w:rPr>
        <w:t>：</w:t>
      </w:r>
      <w:r>
        <w:t>mg/L）</w:t>
      </w:r>
    </w:p>
    <w:tbl>
      <w:tblPr>
        <w:tblStyle w:val="27"/>
        <w:tblW w:w="4923"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7"/>
        <w:gridCol w:w="1707"/>
        <w:gridCol w:w="1376"/>
        <w:gridCol w:w="1514"/>
        <w:gridCol w:w="192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trPr>
        <w:tc>
          <w:tcPr>
            <w:tcW w:w="1113" w:type="pct"/>
            <w:tcBorders>
              <w:top w:val="single" w:color="auto" w:sz="4" w:space="0"/>
              <w:left w:val="single" w:color="auto" w:sz="4" w:space="0"/>
              <w:bottom w:val="single" w:color="auto" w:sz="4" w:space="0"/>
              <w:right w:val="single" w:color="auto" w:sz="4" w:space="0"/>
              <w:tl2br w:val="single" w:color="auto" w:sz="2"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时间</w:t>
            </w:r>
          </w:p>
          <w:p>
            <w:pPr>
              <w:pStyle w:val="49"/>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距离(m)</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0天</w:t>
            </w:r>
          </w:p>
        </w:tc>
        <w:tc>
          <w:tcPr>
            <w:tcW w:w="820"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100天</w:t>
            </w:r>
          </w:p>
        </w:tc>
        <w:tc>
          <w:tcPr>
            <w:tcW w:w="90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365天</w:t>
            </w:r>
          </w:p>
        </w:tc>
        <w:tc>
          <w:tcPr>
            <w:tcW w:w="1148"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1000天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8" w:hRule="atLeast"/>
        </w:trPr>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.033</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.041</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.049</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.052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.016</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.026</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.041</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.048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.006</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.015</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.034</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.045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2</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.001</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.007</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.027</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.041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3</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.001</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.015</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.033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4</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.008</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备注</w:t>
            </w:r>
          </w:p>
        </w:tc>
        <w:tc>
          <w:tcPr>
            <w:tcW w:w="3887" w:type="pct"/>
            <w:gridSpan w:val="4"/>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硫化物</w:t>
            </w:r>
            <w:r>
              <w:rPr>
                <w:rFonts w:ascii="Times New Roman" w:hAnsi="Times New Roman" w:cs="Times New Roman"/>
                <w:bCs/>
                <w:sz w:val="21"/>
                <w:szCs w:val="21"/>
              </w:rPr>
              <w:t>采用地下水质量标准中的Ⅲ类标准值，其值为0.02mg/L</w:t>
            </w:r>
          </w:p>
        </w:tc>
      </w:tr>
    </w:tbl>
    <w:p>
      <w:pPr>
        <w:pStyle w:val="31"/>
      </w:pPr>
      <w:r>
        <w:t>表</w:t>
      </w:r>
      <w:r>
        <w:rPr>
          <w:rFonts w:hint="eastAsia"/>
        </w:rPr>
        <w:t>6.4-</w:t>
      </w:r>
      <w:r>
        <w:rPr>
          <w:rFonts w:hint="eastAsia"/>
          <w:lang w:val="en-US" w:eastAsia="zh-CN"/>
        </w:rPr>
        <w:t>6</w:t>
      </w:r>
      <w:r>
        <w:rPr>
          <w:rFonts w:hint="eastAsia"/>
        </w:rPr>
        <w:t xml:space="preserve">  </w:t>
      </w:r>
      <w:r>
        <w:t>地下水中</w:t>
      </w:r>
      <w:r>
        <w:rPr>
          <w:rFonts w:hint="eastAsia"/>
        </w:rPr>
        <w:t>石油类</w:t>
      </w:r>
      <w:r>
        <w:t>浓度变化预测结果表（单位</w:t>
      </w:r>
      <w:r>
        <w:rPr>
          <w:rFonts w:hint="eastAsia"/>
          <w:lang w:eastAsia="zh-CN"/>
        </w:rPr>
        <w:t>：</w:t>
      </w:r>
      <w:r>
        <w:t>mg/L）</w:t>
      </w:r>
    </w:p>
    <w:tbl>
      <w:tblPr>
        <w:tblStyle w:val="27"/>
        <w:tblW w:w="4923"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6"/>
        <w:gridCol w:w="1707"/>
        <w:gridCol w:w="1375"/>
        <w:gridCol w:w="1514"/>
        <w:gridCol w:w="1929"/>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trPr>
        <w:tc>
          <w:tcPr>
            <w:tcW w:w="1112" w:type="pct"/>
            <w:tcBorders>
              <w:top w:val="single" w:color="auto" w:sz="4" w:space="0"/>
              <w:left w:val="single" w:color="auto" w:sz="4" w:space="0"/>
              <w:bottom w:val="single" w:color="auto" w:sz="4" w:space="0"/>
              <w:right w:val="single" w:color="auto" w:sz="4" w:space="0"/>
              <w:tl2br w:val="single" w:color="auto" w:sz="2"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时间</w:t>
            </w:r>
          </w:p>
          <w:p>
            <w:pPr>
              <w:pStyle w:val="49"/>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距离(m)</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0天</w:t>
            </w:r>
          </w:p>
        </w:tc>
        <w:tc>
          <w:tcPr>
            <w:tcW w:w="819"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100天</w:t>
            </w:r>
          </w:p>
        </w:tc>
        <w:tc>
          <w:tcPr>
            <w:tcW w:w="90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365天</w:t>
            </w:r>
          </w:p>
        </w:tc>
        <w:tc>
          <w:tcPr>
            <w:tcW w:w="1148"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1000天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8" w:hRule="atLeast"/>
        </w:trPr>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120.97</w:t>
            </w:r>
          </w:p>
        </w:tc>
        <w:tc>
          <w:tcPr>
            <w:tcW w:w="819"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145.32</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175.02</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187.93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58.12</w:t>
            </w:r>
          </w:p>
        </w:tc>
        <w:tc>
          <w:tcPr>
            <w:tcW w:w="819"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94.52</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148.89</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174.91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21.67</w:t>
            </w: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54.51</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122.91</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161.16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2</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6.17</w:t>
            </w: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27.66</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98.3</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146.95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3</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0.21</w:t>
            </w: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4.75</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56.9</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118.21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4</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0.002</w:t>
            </w: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0.46</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28.62</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90.8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0.025</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12.43</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66.43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60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4.64</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46.20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70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1.48</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30.50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80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0.4</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19.08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90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0.09</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11.30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100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0.018</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6.33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120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1.68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140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0.35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162</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19"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0.048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备注</w:t>
            </w:r>
          </w:p>
        </w:tc>
        <w:tc>
          <w:tcPr>
            <w:tcW w:w="3887" w:type="pct"/>
            <w:gridSpan w:val="4"/>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石油类标准限值参照《地表水环境质量标准》（GB3838-2002）中的Ⅲ类标准值，其值为0.05mg/L</w:t>
            </w:r>
          </w:p>
        </w:tc>
      </w:tr>
    </w:tbl>
    <w:p>
      <w:pPr>
        <w:pStyle w:val="31"/>
      </w:pPr>
      <w:r>
        <w:t>表</w:t>
      </w:r>
      <w:r>
        <w:rPr>
          <w:rFonts w:hint="eastAsia"/>
        </w:rPr>
        <w:t>6.4-</w:t>
      </w:r>
      <w:r>
        <w:rPr>
          <w:rFonts w:hint="eastAsia"/>
          <w:lang w:val="en-US" w:eastAsia="zh-CN"/>
        </w:rPr>
        <w:t>7</w:t>
      </w:r>
      <w:r>
        <w:rPr>
          <w:rFonts w:hint="eastAsia"/>
        </w:rPr>
        <w:t xml:space="preserve">  </w:t>
      </w:r>
      <w:r>
        <w:t>地下水中</w:t>
      </w:r>
      <w:r>
        <w:rPr>
          <w:rFonts w:hint="eastAsia"/>
        </w:rPr>
        <w:t>氟化物</w:t>
      </w:r>
      <w:r>
        <w:t>浓度变化预测结果表（单位</w:t>
      </w:r>
      <w:r>
        <w:rPr>
          <w:rFonts w:hint="eastAsia"/>
          <w:lang w:eastAsia="zh-CN"/>
        </w:rPr>
        <w:t>：</w:t>
      </w:r>
      <w:r>
        <w:t>mg/L）</w:t>
      </w:r>
    </w:p>
    <w:tbl>
      <w:tblPr>
        <w:tblStyle w:val="27"/>
        <w:tblW w:w="4923"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7"/>
        <w:gridCol w:w="1707"/>
        <w:gridCol w:w="1376"/>
        <w:gridCol w:w="1514"/>
        <w:gridCol w:w="192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2" w:hRule="atLeast"/>
        </w:trPr>
        <w:tc>
          <w:tcPr>
            <w:tcW w:w="1113" w:type="pct"/>
            <w:tcBorders>
              <w:top w:val="single" w:color="auto" w:sz="4" w:space="0"/>
              <w:left w:val="single" w:color="auto" w:sz="4" w:space="0"/>
              <w:bottom w:val="single" w:color="auto" w:sz="4" w:space="0"/>
              <w:right w:val="single" w:color="auto" w:sz="4" w:space="0"/>
              <w:tl2br w:val="single" w:color="auto" w:sz="2"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时间</w:t>
            </w:r>
          </w:p>
          <w:p>
            <w:pPr>
              <w:pStyle w:val="49"/>
              <w:spacing w:line="240" w:lineRule="auto"/>
              <w:ind w:firstLine="0" w:firstLineChars="0"/>
              <w:rPr>
                <w:rFonts w:ascii="Times New Roman" w:hAnsi="Times New Roman" w:cs="Times New Roman"/>
                <w:bCs/>
                <w:sz w:val="21"/>
                <w:szCs w:val="21"/>
              </w:rPr>
            </w:pPr>
            <w:r>
              <w:rPr>
                <w:rFonts w:ascii="Times New Roman" w:hAnsi="Times New Roman" w:cs="Times New Roman"/>
                <w:bCs/>
                <w:sz w:val="21"/>
                <w:szCs w:val="21"/>
              </w:rPr>
              <w:t>距离(m)</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0天</w:t>
            </w:r>
          </w:p>
        </w:tc>
        <w:tc>
          <w:tcPr>
            <w:tcW w:w="820"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100天</w:t>
            </w:r>
          </w:p>
        </w:tc>
        <w:tc>
          <w:tcPr>
            <w:tcW w:w="902"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420"/>
              <w:rPr>
                <w:rFonts w:ascii="Times New Roman" w:hAnsi="Times New Roman" w:cs="Times New Roman"/>
                <w:bCs/>
                <w:sz w:val="21"/>
                <w:szCs w:val="21"/>
              </w:rPr>
            </w:pPr>
            <w:r>
              <w:rPr>
                <w:rFonts w:ascii="Times New Roman" w:hAnsi="Times New Roman" w:cs="Times New Roman"/>
                <w:bCs/>
                <w:sz w:val="21"/>
                <w:szCs w:val="21"/>
              </w:rPr>
              <w:t>365天</w:t>
            </w:r>
          </w:p>
        </w:tc>
        <w:tc>
          <w:tcPr>
            <w:tcW w:w="1148"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1000天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8" w:hRule="atLeast"/>
        </w:trPr>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4.348</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w:t>
            </w:r>
            <w:r>
              <w:rPr>
                <w:bCs/>
                <w:szCs w:val="21"/>
              </w:rPr>
              <w:t>.224</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w:t>
            </w:r>
            <w:r>
              <w:rPr>
                <w:bCs/>
                <w:szCs w:val="21"/>
              </w:rPr>
              <w:t>.292</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w:t>
            </w:r>
            <w:r>
              <w:rPr>
                <w:bCs/>
                <w:szCs w:val="21"/>
              </w:rPr>
              <w:t>.756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.089</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3</w:t>
            </w:r>
            <w:r>
              <w:rPr>
                <w:bCs/>
                <w:szCs w:val="21"/>
              </w:rPr>
              <w:t>.398</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w:t>
            </w:r>
            <w:r>
              <w:rPr>
                <w:bCs/>
                <w:szCs w:val="21"/>
              </w:rPr>
              <w:t>.352</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6</w:t>
            </w:r>
            <w:r>
              <w:rPr>
                <w:bCs/>
                <w:szCs w:val="21"/>
              </w:rPr>
              <w:t>.288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1</w:t>
            </w:r>
            <w:r>
              <w:rPr>
                <w:rFonts w:ascii="Times New Roman" w:hAnsi="Times New Roman" w:cs="Times New Roman"/>
                <w:bCs/>
                <w:sz w:val="21"/>
                <w:szCs w:val="21"/>
              </w:rPr>
              <w:t>5</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.779</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.959</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w:t>
            </w:r>
            <w:r>
              <w:rPr>
                <w:bCs/>
                <w:szCs w:val="21"/>
              </w:rPr>
              <w:t>.418</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w:t>
            </w:r>
            <w:r>
              <w:rPr>
                <w:bCs/>
                <w:szCs w:val="21"/>
              </w:rPr>
              <w:t>.793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2</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.221</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.994</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3</w:t>
            </w:r>
            <w:r>
              <w:rPr>
                <w:bCs/>
                <w:szCs w:val="21"/>
              </w:rPr>
              <w:t>.533</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5</w:t>
            </w:r>
            <w:r>
              <w:rPr>
                <w:bCs/>
                <w:szCs w:val="21"/>
              </w:rPr>
              <w:t>.282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3</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0</w:t>
            </w:r>
            <w:r>
              <w:rPr>
                <w:rFonts w:ascii="Times New Roman" w:hAnsi="Times New Roman" w:cs="Times New Roman"/>
                <w:bCs/>
                <w:sz w:val="21"/>
                <w:szCs w:val="21"/>
              </w:rPr>
              <w:t>.007</w:t>
            </w: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bCs/>
                <w:szCs w:val="21"/>
              </w:rPr>
              <w:t>0.170</w:t>
            </w:r>
            <w:r>
              <w:rPr>
                <w:rFonts w:hint="eastAsia"/>
                <w:bCs/>
                <w:szCs w:val="21"/>
              </w:rPr>
              <w:t>.</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.045</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4</w:t>
            </w:r>
            <w:r>
              <w:rPr>
                <w:bCs/>
                <w:szCs w:val="21"/>
              </w:rPr>
              <w:t>.249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4</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.016</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.028</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3</w:t>
            </w:r>
            <w:r>
              <w:rPr>
                <w:bCs/>
                <w:szCs w:val="21"/>
              </w:rPr>
              <w:t>.264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5</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.001</w:t>
            </w: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.446</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2</w:t>
            </w:r>
            <w:r>
              <w:rPr>
                <w:bCs/>
                <w:szCs w:val="21"/>
              </w:rPr>
              <w:t>.388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6</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.166</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.660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7</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.053</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1</w:t>
            </w:r>
            <w:r>
              <w:rPr>
                <w:bCs/>
                <w:szCs w:val="21"/>
              </w:rPr>
              <w:t>.096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8</w:t>
            </w:r>
            <w:r>
              <w:rPr>
                <w:rFonts w:ascii="Times New Roman" w:hAnsi="Times New Roman" w:cs="Times New Roman"/>
                <w:bCs/>
                <w:sz w:val="21"/>
                <w:szCs w:val="21"/>
              </w:rPr>
              <w:t>0</w:t>
            </w:r>
          </w:p>
        </w:tc>
        <w:tc>
          <w:tcPr>
            <w:tcW w:w="1017"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p>
        </w:tc>
        <w:tc>
          <w:tcPr>
            <w:tcW w:w="820"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p>
        </w:tc>
        <w:tc>
          <w:tcPr>
            <w:tcW w:w="902"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.003</w:t>
            </w:r>
          </w:p>
        </w:tc>
        <w:tc>
          <w:tcPr>
            <w:tcW w:w="1148" w:type="pct"/>
            <w:tcBorders>
              <w:top w:val="single" w:color="auto" w:sz="4" w:space="0"/>
              <w:left w:val="single" w:color="auto" w:sz="4" w:space="0"/>
              <w:bottom w:val="single" w:color="auto" w:sz="4" w:space="0"/>
              <w:right w:val="single" w:color="auto" w:sz="4" w:space="0"/>
            </w:tcBorders>
            <w:vAlign w:val="center"/>
          </w:tcPr>
          <w:p>
            <w:pPr>
              <w:jc w:val="center"/>
              <w:rPr>
                <w:bCs/>
                <w:szCs w:val="21"/>
              </w:rPr>
            </w:pPr>
            <w:r>
              <w:rPr>
                <w:rFonts w:hint="eastAsia"/>
                <w:bCs/>
                <w:szCs w:val="21"/>
              </w:rPr>
              <w:t>0</w:t>
            </w:r>
            <w:r>
              <w:rPr>
                <w:bCs/>
                <w:szCs w:val="21"/>
              </w:rPr>
              <w:t>.685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113" w:type="pct"/>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备注</w:t>
            </w:r>
          </w:p>
        </w:tc>
        <w:tc>
          <w:tcPr>
            <w:tcW w:w="3887" w:type="pct"/>
            <w:gridSpan w:val="4"/>
            <w:tcBorders>
              <w:top w:val="single" w:color="auto" w:sz="4" w:space="0"/>
              <w:left w:val="single" w:color="auto" w:sz="4" w:space="0"/>
              <w:bottom w:val="single" w:color="auto" w:sz="4" w:space="0"/>
              <w:right w:val="single" w:color="auto" w:sz="4" w:space="0"/>
            </w:tcBorders>
            <w:vAlign w:val="center"/>
          </w:tcPr>
          <w:p>
            <w:pPr>
              <w:pStyle w:val="49"/>
              <w:spacing w:line="240" w:lineRule="auto"/>
              <w:ind w:firstLine="0" w:firstLineChars="0"/>
              <w:jc w:val="center"/>
              <w:rPr>
                <w:rFonts w:ascii="Times New Roman" w:hAnsi="Times New Roman" w:cs="Times New Roman"/>
                <w:bCs/>
                <w:sz w:val="21"/>
                <w:szCs w:val="21"/>
              </w:rPr>
            </w:pPr>
            <w:r>
              <w:rPr>
                <w:rFonts w:hint="eastAsia" w:ascii="Times New Roman" w:hAnsi="Times New Roman" w:cs="Times New Roman"/>
                <w:bCs/>
                <w:sz w:val="21"/>
                <w:szCs w:val="21"/>
              </w:rPr>
              <w:t>氟化物</w:t>
            </w:r>
            <w:r>
              <w:rPr>
                <w:rFonts w:ascii="Times New Roman" w:hAnsi="Times New Roman" w:cs="Times New Roman"/>
                <w:bCs/>
                <w:sz w:val="21"/>
                <w:szCs w:val="21"/>
              </w:rPr>
              <w:t>采用地下水质量标准中的Ⅲ类标准值，其值为1.0mg/L</w:t>
            </w:r>
          </w:p>
        </w:tc>
      </w:tr>
    </w:tbl>
    <w:p>
      <w:pPr>
        <w:pStyle w:val="7"/>
        <w:ind w:firstLine="480"/>
        <w:rPr>
          <w:lang w:bidi="ar"/>
        </w:rPr>
      </w:pPr>
      <w:r>
        <w:rPr>
          <w:lang w:bidi="ar"/>
        </w:rPr>
        <w:t>从表</w:t>
      </w:r>
      <w:r>
        <w:rPr>
          <w:rFonts w:hint="eastAsia"/>
          <w:lang w:val="en-US" w:eastAsia="zh-CN" w:bidi="ar"/>
        </w:rPr>
        <w:t>6.4-4</w:t>
      </w:r>
      <w:r>
        <w:rPr>
          <w:rFonts w:hint="eastAsia"/>
          <w:lang w:bidi="ar"/>
        </w:rPr>
        <w:t>~</w:t>
      </w:r>
      <w:r>
        <w:rPr>
          <w:rFonts w:hint="eastAsia"/>
          <w:lang w:val="en-US" w:eastAsia="zh-CN" w:bidi="ar"/>
        </w:rPr>
        <w:t>6.4-7</w:t>
      </w:r>
      <w:r>
        <w:rPr>
          <w:lang w:bidi="ar"/>
        </w:rPr>
        <w:t>中可看出，在</w:t>
      </w:r>
      <w:r>
        <w:rPr>
          <w:rFonts w:hint="eastAsia"/>
          <w:lang w:bidi="ar"/>
        </w:rPr>
        <w:t>循环冷却水</w:t>
      </w:r>
      <w:r>
        <w:rPr>
          <w:lang w:bidi="ar"/>
        </w:rPr>
        <w:t>池等的防渗层出现破损或破裂，</w:t>
      </w:r>
      <w:r>
        <w:rPr>
          <w:rFonts w:hint="eastAsia"/>
          <w:lang w:bidi="ar"/>
        </w:rPr>
        <w:t>浊循环冷却水</w:t>
      </w:r>
      <w:r>
        <w:rPr>
          <w:lang w:bidi="ar"/>
        </w:rPr>
        <w:t>发生渗漏的非正常状况下会污染地下水，随着时间的增加，废水通过池底发生渗漏的量会逐渐增加，渗漏进入含水层中的污染物的迁移扩散距离越来越大。1000天后，</w:t>
      </w:r>
      <w:r>
        <w:rPr>
          <w:rFonts w:hint="eastAsia"/>
          <w:lang w:bidi="ar"/>
        </w:rPr>
        <w:t>C</w:t>
      </w:r>
      <w:r>
        <w:rPr>
          <w:lang w:bidi="ar"/>
        </w:rPr>
        <w:t>OD</w:t>
      </w:r>
      <w:r>
        <w:rPr>
          <w:rFonts w:hint="eastAsia"/>
          <w:lang w:bidi="ar"/>
        </w:rPr>
        <w:t>、</w:t>
      </w:r>
      <w:r>
        <w:rPr>
          <w:lang w:bidi="ar"/>
        </w:rPr>
        <w:t>硫化物</w:t>
      </w:r>
      <w:r>
        <w:rPr>
          <w:rFonts w:hint="eastAsia"/>
          <w:lang w:bidi="ar"/>
        </w:rPr>
        <w:t>、石油类、</w:t>
      </w:r>
      <w:r>
        <w:rPr>
          <w:lang w:bidi="ar"/>
        </w:rPr>
        <w:t>氟化物在地下水环境中的最大迁移扩散距离</w:t>
      </w:r>
      <w:r>
        <w:rPr>
          <w:rFonts w:hint="eastAsia"/>
          <w:lang w:bidi="ar"/>
        </w:rPr>
        <w:t>（超标范围）</w:t>
      </w:r>
      <w:r>
        <w:rPr>
          <w:lang w:bidi="ar"/>
        </w:rPr>
        <w:t>分别约为55m</w:t>
      </w:r>
      <w:r>
        <w:rPr>
          <w:rFonts w:hint="eastAsia"/>
          <w:lang w:bidi="ar"/>
        </w:rPr>
        <w:t>、4</w:t>
      </w:r>
      <w:r>
        <w:rPr>
          <w:lang w:bidi="ar"/>
        </w:rPr>
        <w:t>0m</w:t>
      </w:r>
      <w:r>
        <w:rPr>
          <w:rFonts w:hint="eastAsia"/>
          <w:lang w:bidi="ar"/>
        </w:rPr>
        <w:t>、162m、8</w:t>
      </w:r>
      <w:r>
        <w:rPr>
          <w:lang w:bidi="ar"/>
        </w:rPr>
        <w:t>0m</w:t>
      </w:r>
      <w:r>
        <w:rPr>
          <w:rFonts w:hint="eastAsia"/>
          <w:lang w:bidi="ar"/>
        </w:rPr>
        <w:t>，</w:t>
      </w:r>
      <w:r>
        <w:rPr>
          <w:lang w:bidi="ar"/>
        </w:rPr>
        <w:t>且渗漏进入含水层中的污染物在短时间内难以自净恢复，随着时间的增加，污染物在含水层中的迁移扩散距离还会增大，会对项目区及其下游的地下水环境造成不同程度的污染。</w:t>
      </w:r>
    </w:p>
    <w:p>
      <w:pPr>
        <w:pStyle w:val="7"/>
        <w:ind w:firstLine="480"/>
      </w:pPr>
      <w:r>
        <w:t>因此，在项目建设过程中须按防渗要求做好生产车间、</w:t>
      </w:r>
      <w:r>
        <w:rPr>
          <w:rFonts w:hint="eastAsia"/>
        </w:rPr>
        <w:t>循环冷却水</w:t>
      </w:r>
      <w:r>
        <w:t>池、消防事故池、危废暂存间、化粪池</w:t>
      </w:r>
      <w:r>
        <w:rPr>
          <w:rFonts w:hint="eastAsia"/>
        </w:rPr>
        <w:t>、</w:t>
      </w:r>
      <w:r>
        <w:t>污废水输送管道等区域的防渗、防腐措施，运行期须定期检查防渗层及管道的破损情况，若发现有破损部位须及时进行修补。项目运行期间，需加强管理和监督检查，杜绝非正常情况的发生，避免污染物进入土壤及地下水含水层中。</w:t>
      </w:r>
    </w:p>
    <w:p>
      <w:pPr>
        <w:pStyle w:val="8"/>
      </w:pPr>
      <w:r>
        <w:rPr>
          <w:rFonts w:hint="eastAsia"/>
        </w:rPr>
        <w:t>6.4.5地下水污染防治措施</w:t>
      </w:r>
    </w:p>
    <w:p>
      <w:pPr>
        <w:pStyle w:val="7"/>
        <w:ind w:firstLine="480"/>
      </w:pPr>
      <w:r>
        <w:rPr>
          <w:rFonts w:hint="eastAsia"/>
        </w:rPr>
        <w:t>项目运行期污废水的有效收集、无渗漏输送，固体废物的有效收集、暂存和无害化处置，以及原材料库、生产车间、氯气站、天然气站、危废暂存间、化粪池、隔油池、初期雨水收集池等区域渗漏成为污废水和固废治理的重要环节，地下水污染防控措施如下：</w:t>
      </w:r>
    </w:p>
    <w:p>
      <w:pPr>
        <w:pStyle w:val="7"/>
        <w:ind w:firstLine="482"/>
        <w:rPr>
          <w:b/>
          <w:bCs/>
        </w:rPr>
      </w:pPr>
      <w:r>
        <w:rPr>
          <w:rFonts w:hint="eastAsia"/>
          <w:b/>
          <w:bCs/>
        </w:rPr>
        <w:t>（1）清污分流</w:t>
      </w:r>
    </w:p>
    <w:p>
      <w:pPr>
        <w:pStyle w:val="7"/>
        <w:ind w:firstLine="480"/>
      </w:pPr>
      <w:r>
        <w:rPr>
          <w:rFonts w:hint="eastAsia"/>
        </w:rPr>
        <w:t>要按清污分流分质处理的原则，建成三大排水系统，即生产废水、生活污水、雨水要有组织地分别排入对应的系统管网和处理系统处理。</w:t>
      </w:r>
    </w:p>
    <w:p>
      <w:pPr>
        <w:pStyle w:val="7"/>
        <w:ind w:firstLine="482"/>
        <w:rPr>
          <w:b/>
          <w:bCs/>
        </w:rPr>
      </w:pPr>
      <w:r>
        <w:rPr>
          <w:rFonts w:hint="eastAsia"/>
          <w:b/>
          <w:bCs/>
        </w:rPr>
        <w:t>（2）厂区污染防渗措施及要求</w:t>
      </w:r>
    </w:p>
    <w:p>
      <w:pPr>
        <w:pStyle w:val="7"/>
        <w:ind w:firstLine="480"/>
      </w:pPr>
      <w:r>
        <w:rPr>
          <w:rFonts w:hint="eastAsia"/>
        </w:rPr>
        <w:t>依据厂区可能发生渗漏的区域的污染物性质和生产单元的构筑方式，结合厂区地质和水文地质条件，对厂区采取分区防渗措施。根据《环境影响评价技术导则-地下水环境》（HJ610-2016）厂区可划分为重点防渗区、一般防渗区和简单防渗区。</w:t>
      </w:r>
    </w:p>
    <w:p>
      <w:pPr>
        <w:pStyle w:val="7"/>
        <w:ind w:firstLine="480"/>
      </w:pPr>
      <w:r>
        <w:rPr>
          <w:rFonts w:hint="eastAsia"/>
        </w:rPr>
        <w:t>氯气站、污水处理站、循环水池、初期雨水收集池、</w:t>
      </w:r>
      <w:r>
        <w:rPr>
          <w:rFonts w:hint="eastAsia" w:ascii="宋体" w:hAnsi="宋体"/>
        </w:rPr>
        <w:t>化粪池、隔油池、</w:t>
      </w:r>
      <w:r>
        <w:rPr>
          <w:rFonts w:hint="eastAsia"/>
        </w:rPr>
        <w:t>危废暂存间、铝灰分离车间等区域划分为重点防渗区；原材料库、加工车间、货场、成品仓库、综合站房等区域划分为一般防渗区；办公室、技术中心、食堂和活动室、职工倒班房、配电室、厂区道路等区域划分为简单防渗区。</w:t>
      </w:r>
    </w:p>
    <w:p>
      <w:pPr>
        <w:pStyle w:val="7"/>
        <w:ind w:firstLine="480"/>
      </w:pPr>
      <w:r>
        <w:rPr>
          <w:rFonts w:hint="eastAsia"/>
        </w:rPr>
        <w:t>①对于重点防渗区，按照《环境影响评价技术导则-地下水环境》（HJ610-2016）中重点防渗区的防渗要求进行防渗设计，防渗层的防渗性能应等效于厚度≥6m，渗透系数≤1.0×10</w:t>
      </w:r>
      <w:r>
        <w:rPr>
          <w:rFonts w:hint="eastAsia"/>
          <w:vertAlign w:val="superscript"/>
        </w:rPr>
        <w:t>-7</w:t>
      </w:r>
      <w:r>
        <w:rPr>
          <w:rFonts w:hint="eastAsia"/>
        </w:rPr>
        <w:t>cm/s的黏土层的防渗性能。</w:t>
      </w:r>
    </w:p>
    <w:p>
      <w:pPr>
        <w:pStyle w:val="7"/>
        <w:ind w:firstLine="480"/>
      </w:pPr>
      <w:r>
        <w:rPr>
          <w:rFonts w:hint="eastAsia"/>
        </w:rPr>
        <w:t>②对于一般防渗区，按照《环境影响评价技术导则-地下水环境》（HJ610-2016）中一般防渗区的防渗要求进行防渗设计，防渗层的防渗性能应等效于厚度≥1.5m，渗透系数≤1.0×10</w:t>
      </w:r>
      <w:r>
        <w:rPr>
          <w:rFonts w:hint="eastAsia"/>
          <w:vertAlign w:val="superscript"/>
        </w:rPr>
        <w:t>-7</w:t>
      </w:r>
      <w:r>
        <w:rPr>
          <w:rFonts w:hint="eastAsia"/>
        </w:rPr>
        <w:t>cm/s的黏土层的防渗性能。</w:t>
      </w:r>
    </w:p>
    <w:p>
      <w:pPr>
        <w:pStyle w:val="7"/>
        <w:ind w:firstLine="480"/>
      </w:pPr>
      <w:r>
        <w:rPr>
          <w:rFonts w:hint="eastAsia"/>
        </w:rPr>
        <w:t>③对于简单防渗区，不采取专门针对地下水污染的防治措施，地面可采用混凝土硬化。</w:t>
      </w:r>
    </w:p>
    <w:p>
      <w:pPr>
        <w:pStyle w:val="7"/>
        <w:ind w:firstLine="480"/>
        <w:rPr>
          <w:rFonts w:hint="eastAsia"/>
        </w:rPr>
      </w:pPr>
      <w:r>
        <w:rPr>
          <w:rFonts w:hint="eastAsia"/>
        </w:rPr>
        <w:t>项目厂区污染防渗分区、防渗标准及要求见表6.4-</w:t>
      </w:r>
      <w:r>
        <w:rPr>
          <w:rFonts w:hint="eastAsia"/>
          <w:lang w:val="en-US" w:eastAsia="zh-CN"/>
        </w:rPr>
        <w:t>8</w:t>
      </w:r>
      <w:r>
        <w:rPr>
          <w:rFonts w:hint="eastAsia"/>
        </w:rPr>
        <w:t>。项目厂区污染防渗分区图见附图10。</w:t>
      </w:r>
    </w:p>
    <w:p>
      <w:pPr>
        <w:pStyle w:val="31"/>
      </w:pPr>
      <w:r>
        <w:rPr>
          <w:rFonts w:hint="eastAsia"/>
        </w:rPr>
        <w:t>表6.4-</w:t>
      </w:r>
      <w:r>
        <w:rPr>
          <w:rFonts w:hint="eastAsia"/>
          <w:lang w:val="en-US" w:eastAsia="zh-CN"/>
        </w:rPr>
        <w:t>8</w:t>
      </w:r>
      <w:r>
        <w:rPr>
          <w:rFonts w:hint="eastAsia"/>
        </w:rPr>
        <w:t xml:space="preserve">  项目厂区污染防渗分区、防渗标准及要求一览表</w:t>
      </w:r>
    </w:p>
    <w:tbl>
      <w:tblPr>
        <w:tblStyle w:val="27"/>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78"/>
        <w:gridCol w:w="3329"/>
        <w:gridCol w:w="371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80" w:hRule="atLeast"/>
          <w:tblHeader/>
        </w:trPr>
        <w:tc>
          <w:tcPr>
            <w:tcW w:w="867" w:type="pct"/>
            <w:vAlign w:val="center"/>
          </w:tcPr>
          <w:p>
            <w:pPr>
              <w:pStyle w:val="33"/>
            </w:pPr>
            <w:r>
              <w:t>污染防渗区类别</w:t>
            </w:r>
          </w:p>
        </w:tc>
        <w:tc>
          <w:tcPr>
            <w:tcW w:w="1953" w:type="pct"/>
            <w:vAlign w:val="center"/>
          </w:tcPr>
          <w:p>
            <w:pPr>
              <w:pStyle w:val="33"/>
            </w:pPr>
            <w:r>
              <w:t>防渗区名称</w:t>
            </w:r>
          </w:p>
        </w:tc>
        <w:tc>
          <w:tcPr>
            <w:tcW w:w="2179" w:type="pct"/>
            <w:vAlign w:val="center"/>
          </w:tcPr>
          <w:p>
            <w:pPr>
              <w:pStyle w:val="33"/>
            </w:pPr>
            <w:r>
              <w:t>防渗标准及要求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26" w:hRule="atLeast"/>
          <w:tblHeader/>
        </w:trPr>
        <w:tc>
          <w:tcPr>
            <w:tcW w:w="867" w:type="pct"/>
            <w:vMerge w:val="restart"/>
            <w:vAlign w:val="center"/>
          </w:tcPr>
          <w:p>
            <w:pPr>
              <w:pStyle w:val="33"/>
            </w:pPr>
            <w:r>
              <w:t>重点防渗区</w:t>
            </w:r>
          </w:p>
        </w:tc>
        <w:tc>
          <w:tcPr>
            <w:tcW w:w="1953" w:type="pct"/>
            <w:vAlign w:val="center"/>
          </w:tcPr>
          <w:p>
            <w:pPr>
              <w:pStyle w:val="33"/>
            </w:pPr>
            <w:r>
              <w:rPr>
                <w:rFonts w:hint="eastAsia"/>
              </w:rPr>
              <w:t>氯气站、污水处理站、循环水池、</w:t>
            </w:r>
            <w:r>
              <w:rPr>
                <w:rStyle w:val="51"/>
                <w:rFonts w:hint="eastAsia"/>
              </w:rPr>
              <w:t>化粪池、隔油池</w:t>
            </w:r>
            <w:r>
              <w:rPr>
                <w:rFonts w:hint="eastAsia" w:ascii="宋体" w:hAnsi="宋体"/>
                <w:sz w:val="24"/>
              </w:rPr>
              <w:t>、</w:t>
            </w:r>
            <w:r>
              <w:rPr>
                <w:rFonts w:hint="eastAsia"/>
              </w:rPr>
              <w:t>初期雨水收集池、消防事故水池、铝灰分离车间</w:t>
            </w:r>
          </w:p>
        </w:tc>
        <w:tc>
          <w:tcPr>
            <w:tcW w:w="2179" w:type="pct"/>
            <w:vAlign w:val="center"/>
          </w:tcPr>
          <w:p>
            <w:pPr>
              <w:pStyle w:val="33"/>
            </w:pPr>
            <w:r>
              <w:t>等效黏土防渗层厚度Mb≥6m，渗透系数K≤1.0×10</w:t>
            </w:r>
            <w:r>
              <w:rPr>
                <w:vertAlign w:val="superscript"/>
              </w:rPr>
              <w:t>-7</w:t>
            </w:r>
            <w:r>
              <w:t>cm/s；或参照</w:t>
            </w:r>
            <w:r>
              <w:rPr>
                <w:rFonts w:hint="eastAsia"/>
              </w:rPr>
              <w:t>GB18598执行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26" w:hRule="atLeast"/>
          <w:tblHeader/>
        </w:trPr>
        <w:tc>
          <w:tcPr>
            <w:tcW w:w="867" w:type="pct"/>
            <w:vMerge w:val="continue"/>
            <w:vAlign w:val="center"/>
          </w:tcPr>
          <w:p>
            <w:pPr>
              <w:pStyle w:val="33"/>
            </w:pPr>
          </w:p>
        </w:tc>
        <w:tc>
          <w:tcPr>
            <w:tcW w:w="1953" w:type="pct"/>
            <w:vAlign w:val="center"/>
          </w:tcPr>
          <w:p>
            <w:pPr>
              <w:pStyle w:val="33"/>
            </w:pPr>
            <w:r>
              <w:rPr>
                <w:rFonts w:hint="eastAsia"/>
              </w:rPr>
              <w:t>危废暂存间</w:t>
            </w:r>
          </w:p>
        </w:tc>
        <w:tc>
          <w:tcPr>
            <w:tcW w:w="2179" w:type="pct"/>
            <w:vAlign w:val="center"/>
          </w:tcPr>
          <w:p>
            <w:pPr>
              <w:pStyle w:val="33"/>
            </w:pPr>
            <w:r>
              <w:rPr>
                <w:rFonts w:hint="eastAsia"/>
              </w:rPr>
              <w:t>防渗层为至少1m厚粘土层（渗透系数≤1.0×10</w:t>
            </w:r>
            <w:r>
              <w:rPr>
                <w:rFonts w:hint="eastAsia"/>
                <w:vertAlign w:val="superscript"/>
              </w:rPr>
              <w:t>-7</w:t>
            </w:r>
            <w:r>
              <w:rPr>
                <w:rFonts w:hint="eastAsia"/>
              </w:rPr>
              <w:t>cm/s），或2mm厚高密度聚乙烯，或至少2mm厚的其它人工材料（渗透系数≤10</w:t>
            </w:r>
            <w:r>
              <w:rPr>
                <w:rFonts w:hint="eastAsia"/>
                <w:vertAlign w:val="superscript"/>
              </w:rPr>
              <w:t>-10</w:t>
            </w:r>
            <w:r>
              <w:rPr>
                <w:rFonts w:hint="eastAsia"/>
              </w:rPr>
              <w:t>cm/s）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7" w:type="pct"/>
            <w:vMerge w:val="restart"/>
            <w:vAlign w:val="center"/>
          </w:tcPr>
          <w:p>
            <w:pPr>
              <w:pStyle w:val="33"/>
            </w:pPr>
            <w:r>
              <w:t>一般防渗区</w:t>
            </w:r>
          </w:p>
        </w:tc>
        <w:tc>
          <w:tcPr>
            <w:tcW w:w="1953" w:type="pct"/>
            <w:vAlign w:val="center"/>
          </w:tcPr>
          <w:p>
            <w:pPr>
              <w:pStyle w:val="33"/>
            </w:pPr>
            <w:r>
              <w:rPr>
                <w:rFonts w:hint="eastAsia"/>
              </w:rPr>
              <w:t>原材料库、加工车间、货场、成品仓库、综合站房</w:t>
            </w:r>
          </w:p>
        </w:tc>
        <w:tc>
          <w:tcPr>
            <w:tcW w:w="2179" w:type="pct"/>
            <w:vAlign w:val="center"/>
          </w:tcPr>
          <w:p>
            <w:pPr>
              <w:pStyle w:val="33"/>
            </w:pPr>
            <w:r>
              <w:t>等效黏土防渗层厚度Mb≥1.5m，渗透系数K≤1.0×10</w:t>
            </w:r>
            <w:r>
              <w:rPr>
                <w:vertAlign w:val="superscript"/>
              </w:rPr>
              <w:t>-7</w:t>
            </w:r>
            <w:r>
              <w:t>cm/s；或参照</w:t>
            </w:r>
            <w:r>
              <w:rPr>
                <w:rFonts w:hint="eastAsia"/>
              </w:rPr>
              <w:t>GB16889执行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7" w:type="pct"/>
            <w:vMerge w:val="continue"/>
            <w:vAlign w:val="center"/>
          </w:tcPr>
          <w:p>
            <w:pPr>
              <w:pStyle w:val="33"/>
            </w:pPr>
          </w:p>
        </w:tc>
        <w:tc>
          <w:tcPr>
            <w:tcW w:w="1953" w:type="pct"/>
            <w:vAlign w:val="center"/>
          </w:tcPr>
          <w:p>
            <w:pPr>
              <w:pStyle w:val="33"/>
            </w:pPr>
            <w:r>
              <w:rPr>
                <w:rFonts w:hint="eastAsia"/>
              </w:rPr>
              <w:t>一般固废暂存间</w:t>
            </w:r>
          </w:p>
        </w:tc>
        <w:tc>
          <w:tcPr>
            <w:tcW w:w="2179" w:type="pct"/>
            <w:vAlign w:val="center"/>
          </w:tcPr>
          <w:p>
            <w:pPr>
              <w:pStyle w:val="33"/>
            </w:pPr>
            <w:r>
              <w:t>参照</w:t>
            </w:r>
            <w:r>
              <w:rPr>
                <w:rFonts w:hint="eastAsia"/>
              </w:rPr>
              <w:t>GB18599-2020执行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7" w:type="pct"/>
            <w:vAlign w:val="center"/>
          </w:tcPr>
          <w:p>
            <w:pPr>
              <w:pStyle w:val="33"/>
            </w:pPr>
            <w:r>
              <w:t>简单防渗区</w:t>
            </w:r>
          </w:p>
        </w:tc>
        <w:tc>
          <w:tcPr>
            <w:tcW w:w="1953" w:type="pct"/>
            <w:vAlign w:val="center"/>
          </w:tcPr>
          <w:p>
            <w:pPr>
              <w:pStyle w:val="33"/>
            </w:pPr>
            <w:r>
              <w:rPr>
                <w:rFonts w:hint="eastAsia"/>
              </w:rPr>
              <w:t>配电室、厂区道路</w:t>
            </w:r>
          </w:p>
        </w:tc>
        <w:tc>
          <w:tcPr>
            <w:tcW w:w="2179" w:type="pct"/>
            <w:vAlign w:val="center"/>
          </w:tcPr>
          <w:p>
            <w:pPr>
              <w:pStyle w:val="33"/>
            </w:pPr>
            <w:r>
              <w:t>地面采用混凝土硬化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7" w:type="pct"/>
            <w:vAlign w:val="center"/>
          </w:tcPr>
          <w:p>
            <w:pPr>
              <w:pStyle w:val="33"/>
            </w:pPr>
            <w:r>
              <w:t>备注</w:t>
            </w:r>
          </w:p>
        </w:tc>
        <w:tc>
          <w:tcPr>
            <w:tcW w:w="4132" w:type="pct"/>
            <w:gridSpan w:val="2"/>
            <w:vAlign w:val="center"/>
          </w:tcPr>
          <w:p>
            <w:pPr>
              <w:pStyle w:val="33"/>
            </w:pPr>
            <w:r>
              <w:t>厂区具体防渗措施可根据防渗材料、厚度等进行防渗设计和施工，但须达到环评提出的防渗标准及要求。</w:t>
            </w:r>
          </w:p>
        </w:tc>
      </w:tr>
    </w:tbl>
    <w:p>
      <w:pPr>
        <w:pStyle w:val="7"/>
        <w:ind w:firstLine="482"/>
        <w:rPr>
          <w:b/>
          <w:bCs/>
        </w:rPr>
      </w:pPr>
      <w:r>
        <w:rPr>
          <w:rFonts w:hint="eastAsia"/>
          <w:b/>
          <w:bCs/>
        </w:rPr>
        <w:t>（3）降低地下水受污染风险的措施</w:t>
      </w:r>
    </w:p>
    <w:p>
      <w:pPr>
        <w:pStyle w:val="7"/>
        <w:ind w:firstLine="480"/>
      </w:pPr>
      <w:r>
        <w:rPr>
          <w:rFonts w:hint="eastAsia"/>
        </w:rPr>
        <w:t>为降低地下水受污染的风险，在污水处理站、天然气站、氯气站、危废暂存间、事故水池、原材料库、加工车间、货场、成品仓库、综合站房等区域做好防渗措施的基础上，还应加强污废水、固废的收集管理，采取分类贮存、架空贮存等措施，降低地下水受污染风险的措施主要有：</w:t>
      </w:r>
    </w:p>
    <w:p>
      <w:pPr>
        <w:pStyle w:val="7"/>
        <w:ind w:firstLine="480"/>
      </w:pPr>
      <w:r>
        <w:rPr>
          <w:rFonts w:hint="eastAsia"/>
        </w:rPr>
        <w:t>①运行过程中，加强污废水、固废的收集管理，采取分类贮存措施，严禁一般固废与危险废物混合贮存；</w:t>
      </w:r>
    </w:p>
    <w:p>
      <w:pPr>
        <w:pStyle w:val="7"/>
        <w:ind w:firstLine="480"/>
      </w:pPr>
      <w:r>
        <w:rPr>
          <w:rFonts w:hint="eastAsia"/>
        </w:rPr>
        <w:t>②各车间、储存仓库的屋顶须做好密封，定期检查，对破损部位及时进行修补，避免降雨对车间地面、堆存物品的淋漓；</w:t>
      </w:r>
    </w:p>
    <w:p>
      <w:pPr>
        <w:pStyle w:val="7"/>
        <w:ind w:firstLine="480"/>
      </w:pPr>
      <w:r>
        <w:rPr>
          <w:rFonts w:hint="eastAsia"/>
        </w:rPr>
        <w:t>③定期（1次/月）对车间、储存仓库地面进行冲洗，严禁污废水或固废长时间停留；</w:t>
      </w:r>
    </w:p>
    <w:p>
      <w:pPr>
        <w:pStyle w:val="7"/>
        <w:ind w:firstLine="480"/>
      </w:pPr>
      <w:r>
        <w:rPr>
          <w:rFonts w:hint="eastAsia"/>
        </w:rPr>
        <w:t>④定期清掏和清洗污水处理站中各池子、化粪池，并检查其底部和侧壁的破损情况，并拍照、保存和记录；其清掏和清洗频率应不低于1次/3年。</w:t>
      </w:r>
    </w:p>
    <w:p>
      <w:pPr>
        <w:pStyle w:val="7"/>
        <w:ind w:firstLine="482"/>
        <w:rPr>
          <w:b/>
          <w:bCs/>
        </w:rPr>
      </w:pPr>
      <w:r>
        <w:rPr>
          <w:rFonts w:hint="eastAsia"/>
          <w:b/>
          <w:bCs/>
        </w:rPr>
        <w:t>（4）地下水污染监控措施</w:t>
      </w:r>
    </w:p>
    <w:p>
      <w:pPr>
        <w:pStyle w:val="7"/>
        <w:ind w:firstLine="480"/>
      </w:pPr>
      <w:r>
        <w:rPr>
          <w:rFonts w:hint="eastAsia"/>
        </w:rPr>
        <w:t>建立项目区的地下水环境监控体系，包括建立污废水渗漏检测、地下水监控制度和环境管理体系、制定监测计划、配备必要的检测仪器和设备，以便及时发现问题，及时采取措施。</w:t>
      </w:r>
    </w:p>
    <w:p>
      <w:pPr>
        <w:pStyle w:val="7"/>
        <w:ind w:firstLine="480"/>
      </w:pPr>
      <w:r>
        <w:rPr>
          <w:rFonts w:hint="eastAsia"/>
        </w:rPr>
        <w:t>本项目厂区所在区域地下水部分往南侧听湖及南东侧径流排泄进入听湖水库，部分向北东方向径流排泄进入公革河。为监控地下水环境受污染情况，本项目将依托现有的水井作为本项目地下跟踪监控井，其中位于地下水侧方向的监测井为：GW5(碧云村民井)，地下水下游的监测井为：GW1(小听湖民井)、GW6(布标民井)、GW7(柏布榔民井)。各跟踪监测井每年监测两次（丰、枯水期各1次），监测因子为：pH、总硬度、溶解性总固体、硫酸盐、氯化物、挥发性酚类、阴离子表面活性剂、耗氧量、氨氮、硫化物、亚硝酸盐、硝酸盐、氰化物、氟化物。</w:t>
      </w:r>
    </w:p>
    <w:p>
      <w:pPr>
        <w:pStyle w:val="7"/>
        <w:ind w:firstLine="482"/>
        <w:rPr>
          <w:b/>
          <w:bCs/>
        </w:rPr>
      </w:pPr>
      <w:r>
        <w:rPr>
          <w:rFonts w:hint="eastAsia"/>
          <w:b/>
          <w:bCs/>
        </w:rPr>
        <w:t>（5）应急处理措施</w:t>
      </w:r>
    </w:p>
    <w:p>
      <w:pPr>
        <w:pStyle w:val="7"/>
        <w:ind w:firstLine="480"/>
      </w:pPr>
      <w:r>
        <w:rPr>
          <w:rFonts w:hint="eastAsia"/>
        </w:rPr>
        <w:t>①应急预案</w:t>
      </w:r>
    </w:p>
    <w:p>
      <w:pPr>
        <w:pStyle w:val="7"/>
        <w:ind w:firstLine="480"/>
      </w:pPr>
      <w:r>
        <w:rPr>
          <w:rFonts w:hint="eastAsia"/>
        </w:rPr>
        <w:t>企业应按国家、地方及行业相关规范要求，制定地下水污染应急预案，并在发现污废水或固废泄漏时立刻启动应急预案，采取应急措施阻止污染物泄漏和扩散，降低地下水受污染程度。地下水污染应急预案应包括以下要点：如污废水或固废泄漏时，应立即向公司环保部门及行政管理部门报告，调查并确认污染源位置；采取有效措施及时阻断确认的污染源，防止污染物继续渗漏到地下，导致土壤和地下水受污染范围扩大；对泄漏至地面的污染物及时进行清理；制定定期对污水处理站中各池子、化粪池等池子进行清掏和清洗，检查底部及侧壁防渗层破损情况等的计划和实施方案。</w:t>
      </w:r>
    </w:p>
    <w:p>
      <w:pPr>
        <w:pStyle w:val="7"/>
        <w:ind w:firstLine="480"/>
      </w:pPr>
      <w:r>
        <w:rPr>
          <w:rFonts w:hint="eastAsia"/>
        </w:rPr>
        <w:t>②应急措施</w:t>
      </w:r>
    </w:p>
    <w:p>
      <w:pPr>
        <w:pStyle w:val="7"/>
        <w:ind w:firstLine="480"/>
      </w:pPr>
      <w:r>
        <w:rPr>
          <w:rFonts w:hint="eastAsia"/>
        </w:rPr>
        <w:t>（a）厂区地面的防渗层或污废水输送管道等出现破损或破裂时，应及时对其进行修补，避免污废水发生渗漏。</w:t>
      </w:r>
    </w:p>
    <w:p>
      <w:pPr>
        <w:pStyle w:val="7"/>
        <w:ind w:firstLine="480"/>
      </w:pPr>
      <w:r>
        <w:rPr>
          <w:rFonts w:hint="eastAsia"/>
        </w:rPr>
        <w:t>（b）初期雨水收集池、隔油池、化粪池等若发生渗漏时，应及时对破损部位进行修补，杜绝形成持续的污染源。</w:t>
      </w:r>
    </w:p>
    <w:p>
      <w:pPr>
        <w:pStyle w:val="7"/>
        <w:ind w:firstLine="480"/>
      </w:pPr>
      <w:r>
        <w:rPr>
          <w:rFonts w:hint="eastAsia"/>
        </w:rPr>
        <w:t>（c）厂区内的各车间、储存仓库等应避免雨淋，屋顶或地面防渗层若出现破损须及时进行修补。</w:t>
      </w:r>
    </w:p>
    <w:p>
      <w:pPr>
        <w:pStyle w:val="7"/>
        <w:ind w:firstLine="480"/>
      </w:pPr>
      <w:r>
        <w:rPr>
          <w:rFonts w:hint="eastAsia"/>
        </w:rPr>
        <w:t>（d）对厂区内泄漏至地面的污染物，须及时进行清理并妥善处置。</w:t>
      </w:r>
    </w:p>
    <w:p>
      <w:pPr>
        <w:pStyle w:val="8"/>
      </w:pPr>
      <w:r>
        <w:rPr>
          <w:rFonts w:hint="eastAsia"/>
        </w:rPr>
        <w:t>6.4.6地下水环境影响评价结论</w:t>
      </w:r>
    </w:p>
    <w:p>
      <w:pPr>
        <w:pStyle w:val="7"/>
        <w:ind w:firstLine="480"/>
      </w:pPr>
      <w:r>
        <w:rPr>
          <w:rFonts w:hint="eastAsia"/>
        </w:rPr>
        <w:t>根据《环境影响评价技术导则地下水环境》（HJ610-2016）要求，在对项目进行水文地质调查、水文地质勘察、地下水环境现状监测、影像分析的基础上得出以下结论：</w:t>
      </w:r>
    </w:p>
    <w:p>
      <w:pPr>
        <w:pStyle w:val="7"/>
        <w:ind w:firstLine="480"/>
      </w:pPr>
      <w:r>
        <w:rPr>
          <w:rFonts w:hint="eastAsia"/>
        </w:rPr>
        <w:t>（1）项目场区地下水类型主要为松散岩类孔隙水，含水层岩性主要为第四系砂砾石和含砾粘土，主要接受大气降雨的垂直入渗补给。项目区处于地下水的补给径流区，地下水总体上由西北向东南径流。</w:t>
      </w:r>
    </w:p>
    <w:p>
      <w:pPr>
        <w:pStyle w:val="7"/>
        <w:ind w:firstLine="480"/>
      </w:pPr>
      <w:r>
        <w:rPr>
          <w:rFonts w:hint="eastAsia"/>
        </w:rPr>
        <w:t>（2）项目运行过程中对地下水环境存在潜在污染风险的区域主要有原材料库、生产车间、氯气站、循环水池、危废暂存间、污水处理站、货场、成品仓库、综合站房等。</w:t>
      </w:r>
    </w:p>
    <w:p>
      <w:pPr>
        <w:pStyle w:val="7"/>
        <w:ind w:firstLine="480"/>
      </w:pPr>
      <w:r>
        <w:rPr>
          <w:rFonts w:hint="eastAsia"/>
        </w:rPr>
        <w:t>（3）拟建项目为铝制品加工项目，项目的主体生产设施和装置基本置于地面上，属于相对污废水渗漏或泄漏易于发现和易处理的区域，且在原材料库、生产车间、污水处理站、循环水池、初期雨水收集池、氯气站、危废暂存间、货场、成品仓库、综合站房等区域建设过程中做好污染防渗措施，运行期加强维护和管理的情况下，污废水、固废等发生渗漏或泄漏的可能性较小，项目的建设运营对地下水环境的影响是可控的。</w:t>
      </w:r>
    </w:p>
    <w:p>
      <w:pPr>
        <w:pStyle w:val="7"/>
        <w:ind w:firstLine="480"/>
      </w:pPr>
      <w:r>
        <w:rPr>
          <w:rFonts w:hint="eastAsia"/>
        </w:rPr>
        <w:t>（4）厂区采取分区防渗措施，对氯气站、污水处理站、循环水池、初期雨水收集池、危废暂存间、铝灰分离车间等区域划分为重点防渗区；原材料库、加工车间、货场、成品仓库、综合站房等区域划分为一般防渗区；办公室、技术中心、配电室、厂区道路等区域划分为简单防渗区。</w:t>
      </w:r>
    </w:p>
    <w:p>
      <w:pPr>
        <w:pStyle w:val="7"/>
        <w:ind w:firstLine="480"/>
      </w:pPr>
      <w:r>
        <w:rPr>
          <w:rFonts w:hint="eastAsia"/>
        </w:rPr>
        <w:t>总体来说，拟建项目为铝制品加工项目，项目的主体生产设施和装置基本置于地面上，属于相对污废水渗漏或泄漏易于发现和易处理的区域，在建设过程中做好厂区的污染防渗措施，运行期加强维护和管理的情况下，污废水、固废等发生渗漏或泄漏的可能性较小，项目的建设运营对地下水环境的影响是可控的，对地下水环境的影响从环保上来说是可接受的。</w:t>
      </w:r>
    </w:p>
    <w:p>
      <w:pPr>
        <w:pStyle w:val="5"/>
      </w:pPr>
      <w:bookmarkStart w:id="138" w:name="_Toc12032"/>
      <w:r>
        <w:rPr>
          <w:rFonts w:hint="eastAsia"/>
        </w:rPr>
        <w:t>6.5运行期声环境质量影响评价</w:t>
      </w:r>
      <w:bookmarkEnd w:id="138"/>
    </w:p>
    <w:p>
      <w:pPr>
        <w:pStyle w:val="8"/>
      </w:pPr>
      <w:r>
        <w:rPr>
          <w:rFonts w:hint="eastAsia"/>
        </w:rPr>
        <w:t>6.5.1噪声环境影响评价方法</w:t>
      </w:r>
    </w:p>
    <w:p>
      <w:pPr>
        <w:pStyle w:val="7"/>
        <w:ind w:firstLine="480"/>
      </w:pPr>
      <w:r>
        <w:rPr>
          <w:rFonts w:hint="eastAsia"/>
        </w:rPr>
        <w:t>采用将环境噪声现状监测值及本工程建成运行后噪声贡献值叠加得到的预测值直接与相应的噪声标准进行对比的方法，确定噪声是否超标以及对厂界周围环境的影响程度。评价方法依据《环境影响评价技术导则·声环境》(HJ2.4－2021)中的有关规定执行。</w:t>
      </w:r>
    </w:p>
    <w:p>
      <w:pPr>
        <w:pStyle w:val="8"/>
      </w:pPr>
      <w:r>
        <w:rPr>
          <w:rFonts w:hint="eastAsia"/>
        </w:rPr>
        <w:t>6.5.2工程噪声源特性分析</w:t>
      </w:r>
    </w:p>
    <w:p>
      <w:pPr>
        <w:pStyle w:val="7"/>
        <w:ind w:firstLine="480"/>
      </w:pPr>
      <w:r>
        <w:rPr>
          <w:rFonts w:hint="eastAsia"/>
        </w:rPr>
        <w:t>噪声源主要来源于机械设备。针对不同性质的噪声设计采取相应的控制措施，对风机设置减振基础，除尘风机出口加装消声器；空压机进气口设置消声器，空压站内设隔音值班室，在噪声较大且间断的工作区域，采取操作者佩戴耳罩、耳塞进行个人防护的措施；对噪声源采取隔声降噪措施，选择低噪声的设备，控制厂界噪声满足《工业企业厂界环境噪声排放标准》中3类标准值。虽然本项目分一、二期工程进行建设，为了了解本项目运营期间对周围环境的最大影响，本次采用一、二期工程的叠加污染源进行预测和分析。本项目主要噪声源及采取的相应治理降噪措施列于表6.5-1。</w:t>
      </w:r>
    </w:p>
    <w:p>
      <w:pPr>
        <w:pStyle w:val="31"/>
      </w:pPr>
      <w:r>
        <w:rPr>
          <w:rFonts w:hint="eastAsia"/>
        </w:rPr>
        <w:t>表6.5-1  主要噪声源及治理情况一览表</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902"/>
        <w:gridCol w:w="1270"/>
        <w:gridCol w:w="924"/>
        <w:gridCol w:w="1002"/>
        <w:gridCol w:w="736"/>
        <w:gridCol w:w="1955"/>
        <w:gridCol w:w="1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序号</w:t>
            </w:r>
          </w:p>
        </w:tc>
        <w:tc>
          <w:tcPr>
            <w:tcW w:w="529" w:type="pct"/>
            <w:vAlign w:val="center"/>
          </w:tcPr>
          <w:p>
            <w:pPr>
              <w:pStyle w:val="33"/>
            </w:pPr>
            <w:r>
              <w:rPr>
                <w:rFonts w:hint="eastAsia"/>
              </w:rPr>
              <w:t>项目分期</w:t>
            </w:r>
          </w:p>
        </w:tc>
        <w:tc>
          <w:tcPr>
            <w:tcW w:w="745" w:type="pct"/>
            <w:vAlign w:val="center"/>
          </w:tcPr>
          <w:p>
            <w:pPr>
              <w:pStyle w:val="33"/>
            </w:pPr>
            <w:r>
              <w:rPr>
                <w:rFonts w:hint="eastAsia"/>
              </w:rPr>
              <w:t>噪声源</w:t>
            </w:r>
          </w:p>
        </w:tc>
        <w:tc>
          <w:tcPr>
            <w:tcW w:w="542" w:type="pct"/>
            <w:vAlign w:val="center"/>
          </w:tcPr>
          <w:p>
            <w:pPr>
              <w:pStyle w:val="33"/>
            </w:pPr>
            <w:r>
              <w:rPr>
                <w:rFonts w:hint="eastAsia"/>
              </w:rPr>
              <w:t>声级dB（A）</w:t>
            </w:r>
          </w:p>
        </w:tc>
        <w:tc>
          <w:tcPr>
            <w:tcW w:w="588" w:type="pct"/>
            <w:vAlign w:val="center"/>
          </w:tcPr>
          <w:p>
            <w:pPr>
              <w:pStyle w:val="33"/>
            </w:pPr>
            <w:r>
              <w:rPr>
                <w:rFonts w:hint="eastAsia"/>
              </w:rPr>
              <w:t>设备台数</w:t>
            </w:r>
          </w:p>
        </w:tc>
        <w:tc>
          <w:tcPr>
            <w:tcW w:w="432" w:type="pct"/>
            <w:vAlign w:val="center"/>
          </w:tcPr>
          <w:p>
            <w:pPr>
              <w:pStyle w:val="33"/>
            </w:pPr>
            <w:r>
              <w:rPr>
                <w:rFonts w:hint="eastAsia"/>
              </w:rPr>
              <w:t>排放规律</w:t>
            </w:r>
          </w:p>
        </w:tc>
        <w:tc>
          <w:tcPr>
            <w:tcW w:w="1147" w:type="pct"/>
            <w:vAlign w:val="center"/>
          </w:tcPr>
          <w:p>
            <w:pPr>
              <w:pStyle w:val="33"/>
            </w:pPr>
            <w:r>
              <w:rPr>
                <w:rFonts w:hint="eastAsia"/>
              </w:rPr>
              <w:t>控制措施</w:t>
            </w:r>
          </w:p>
        </w:tc>
        <w:tc>
          <w:tcPr>
            <w:tcW w:w="690" w:type="pct"/>
            <w:vAlign w:val="center"/>
          </w:tcPr>
          <w:p>
            <w:pPr>
              <w:pStyle w:val="33"/>
            </w:pPr>
            <w:r>
              <w:rPr>
                <w:rFonts w:hint="eastAsia"/>
              </w:rPr>
              <w:t>治理后声级dB（A）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1</w:t>
            </w:r>
          </w:p>
        </w:tc>
        <w:tc>
          <w:tcPr>
            <w:tcW w:w="529" w:type="pct"/>
            <w:vMerge w:val="restart"/>
            <w:vAlign w:val="center"/>
          </w:tcPr>
          <w:p>
            <w:pPr>
              <w:pStyle w:val="33"/>
            </w:pPr>
            <w:r>
              <w:rPr>
                <w:rFonts w:hint="eastAsia"/>
              </w:rPr>
              <w:t>一期工程</w:t>
            </w:r>
          </w:p>
        </w:tc>
        <w:tc>
          <w:tcPr>
            <w:tcW w:w="745" w:type="pct"/>
            <w:vAlign w:val="center"/>
          </w:tcPr>
          <w:p>
            <w:pPr>
              <w:pStyle w:val="33"/>
            </w:pPr>
            <w:r>
              <w:rPr>
                <w:rFonts w:hint="eastAsia"/>
              </w:rPr>
              <w:t>锯切机</w:t>
            </w:r>
          </w:p>
        </w:tc>
        <w:tc>
          <w:tcPr>
            <w:tcW w:w="542" w:type="pct"/>
            <w:vAlign w:val="center"/>
          </w:tcPr>
          <w:p>
            <w:pPr>
              <w:pStyle w:val="33"/>
            </w:pPr>
            <w:r>
              <w:rPr>
                <w:rFonts w:hint="eastAsia"/>
              </w:rPr>
              <w:t>95</w:t>
            </w:r>
          </w:p>
        </w:tc>
        <w:tc>
          <w:tcPr>
            <w:tcW w:w="588" w:type="pct"/>
            <w:vAlign w:val="center"/>
          </w:tcPr>
          <w:p>
            <w:pPr>
              <w:pStyle w:val="33"/>
            </w:pPr>
            <w:r>
              <w:rPr>
                <w:rFonts w:hint="eastAsia"/>
              </w:rPr>
              <w:t>3</w:t>
            </w:r>
          </w:p>
        </w:tc>
        <w:tc>
          <w:tcPr>
            <w:tcW w:w="432" w:type="pct"/>
            <w:vAlign w:val="center"/>
          </w:tcPr>
          <w:p>
            <w:pPr>
              <w:pStyle w:val="33"/>
            </w:pPr>
            <w:r>
              <w:rPr>
                <w:rFonts w:hint="eastAsia"/>
              </w:rPr>
              <w:t>间断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2</w:t>
            </w:r>
          </w:p>
        </w:tc>
        <w:tc>
          <w:tcPr>
            <w:tcW w:w="529" w:type="pct"/>
            <w:vMerge w:val="continue"/>
            <w:vAlign w:val="center"/>
          </w:tcPr>
          <w:p>
            <w:pPr>
              <w:pStyle w:val="33"/>
            </w:pPr>
          </w:p>
        </w:tc>
        <w:tc>
          <w:tcPr>
            <w:tcW w:w="745" w:type="pct"/>
            <w:vAlign w:val="center"/>
          </w:tcPr>
          <w:p>
            <w:pPr>
              <w:pStyle w:val="33"/>
            </w:pPr>
            <w:r>
              <w:rPr>
                <w:rFonts w:hint="eastAsia"/>
              </w:rPr>
              <w:t>铝灰分离机</w:t>
            </w:r>
          </w:p>
        </w:tc>
        <w:tc>
          <w:tcPr>
            <w:tcW w:w="542" w:type="pct"/>
            <w:vAlign w:val="center"/>
          </w:tcPr>
          <w:p>
            <w:pPr>
              <w:pStyle w:val="33"/>
            </w:pPr>
            <w:r>
              <w:rPr>
                <w:rFonts w:hint="eastAsia"/>
              </w:rPr>
              <w:t>90</w:t>
            </w:r>
          </w:p>
        </w:tc>
        <w:tc>
          <w:tcPr>
            <w:tcW w:w="588" w:type="pct"/>
            <w:vAlign w:val="center"/>
          </w:tcPr>
          <w:p>
            <w:pPr>
              <w:pStyle w:val="33"/>
            </w:pPr>
            <w:r>
              <w:rPr>
                <w:rFonts w:hint="eastAsia"/>
              </w:rPr>
              <w:t>2</w:t>
            </w:r>
          </w:p>
        </w:tc>
        <w:tc>
          <w:tcPr>
            <w:tcW w:w="432" w:type="pct"/>
            <w:vAlign w:val="center"/>
          </w:tcPr>
          <w:p>
            <w:pPr>
              <w:pStyle w:val="33"/>
            </w:pPr>
            <w:r>
              <w:rPr>
                <w:rFonts w:hint="eastAsia"/>
              </w:rPr>
              <w:t>连续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3</w:t>
            </w:r>
          </w:p>
        </w:tc>
        <w:tc>
          <w:tcPr>
            <w:tcW w:w="529" w:type="pct"/>
            <w:vMerge w:val="continue"/>
            <w:vAlign w:val="center"/>
          </w:tcPr>
          <w:p>
            <w:pPr>
              <w:pStyle w:val="33"/>
            </w:pPr>
          </w:p>
        </w:tc>
        <w:tc>
          <w:tcPr>
            <w:tcW w:w="745" w:type="pct"/>
            <w:vAlign w:val="center"/>
          </w:tcPr>
          <w:p>
            <w:pPr>
              <w:pStyle w:val="33"/>
            </w:pPr>
            <w:r>
              <w:rPr>
                <w:rFonts w:hint="eastAsia"/>
              </w:rPr>
              <w:t>冷却塔</w:t>
            </w:r>
          </w:p>
        </w:tc>
        <w:tc>
          <w:tcPr>
            <w:tcW w:w="542" w:type="pct"/>
            <w:vAlign w:val="center"/>
          </w:tcPr>
          <w:p>
            <w:pPr>
              <w:pStyle w:val="33"/>
            </w:pPr>
            <w:r>
              <w:rPr>
                <w:rFonts w:hint="eastAsia"/>
              </w:rPr>
              <w:t>75</w:t>
            </w:r>
          </w:p>
        </w:tc>
        <w:tc>
          <w:tcPr>
            <w:tcW w:w="588" w:type="pct"/>
            <w:vAlign w:val="center"/>
          </w:tcPr>
          <w:p>
            <w:pPr>
              <w:pStyle w:val="33"/>
            </w:pPr>
            <w:r>
              <w:rPr>
                <w:rFonts w:hint="eastAsia"/>
              </w:rPr>
              <w:t>4</w:t>
            </w:r>
          </w:p>
        </w:tc>
        <w:tc>
          <w:tcPr>
            <w:tcW w:w="432" w:type="pct"/>
            <w:vAlign w:val="center"/>
          </w:tcPr>
          <w:p>
            <w:pPr>
              <w:pStyle w:val="33"/>
            </w:pPr>
            <w:r>
              <w:rPr>
                <w:rFonts w:hint="eastAsia"/>
              </w:rPr>
              <w:t>连续</w:t>
            </w:r>
          </w:p>
        </w:tc>
        <w:tc>
          <w:tcPr>
            <w:tcW w:w="1147" w:type="pct"/>
            <w:vAlign w:val="center"/>
          </w:tcPr>
          <w:p>
            <w:pPr>
              <w:pStyle w:val="33"/>
            </w:pPr>
            <w:r>
              <w:rPr>
                <w:rFonts w:hint="eastAsia"/>
              </w:rPr>
              <w:t>减震</w:t>
            </w:r>
          </w:p>
        </w:tc>
        <w:tc>
          <w:tcPr>
            <w:tcW w:w="690" w:type="pct"/>
            <w:vAlign w:val="center"/>
          </w:tcPr>
          <w:p>
            <w:pPr>
              <w:pStyle w:val="33"/>
            </w:pPr>
            <w:r>
              <w:rPr>
                <w:rFonts w:hint="eastAsia"/>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4</w:t>
            </w:r>
          </w:p>
        </w:tc>
        <w:tc>
          <w:tcPr>
            <w:tcW w:w="529" w:type="pct"/>
            <w:vMerge w:val="continue"/>
            <w:vAlign w:val="center"/>
          </w:tcPr>
          <w:p>
            <w:pPr>
              <w:pStyle w:val="33"/>
            </w:pPr>
          </w:p>
        </w:tc>
        <w:tc>
          <w:tcPr>
            <w:tcW w:w="745" w:type="pct"/>
            <w:vAlign w:val="center"/>
          </w:tcPr>
          <w:p>
            <w:pPr>
              <w:pStyle w:val="33"/>
            </w:pPr>
            <w:r>
              <w:rPr>
                <w:rFonts w:hint="eastAsia"/>
              </w:rPr>
              <w:t>风机</w:t>
            </w:r>
          </w:p>
        </w:tc>
        <w:tc>
          <w:tcPr>
            <w:tcW w:w="542" w:type="pct"/>
            <w:vAlign w:val="center"/>
          </w:tcPr>
          <w:p>
            <w:pPr>
              <w:pStyle w:val="33"/>
            </w:pPr>
            <w:r>
              <w:rPr>
                <w:rFonts w:hint="eastAsia"/>
              </w:rPr>
              <w:t>90</w:t>
            </w:r>
          </w:p>
        </w:tc>
        <w:tc>
          <w:tcPr>
            <w:tcW w:w="588" w:type="pct"/>
            <w:vAlign w:val="center"/>
          </w:tcPr>
          <w:p>
            <w:pPr>
              <w:pStyle w:val="33"/>
            </w:pPr>
            <w:r>
              <w:rPr>
                <w:rFonts w:hint="eastAsia"/>
              </w:rPr>
              <w:t>2</w:t>
            </w:r>
          </w:p>
        </w:tc>
        <w:tc>
          <w:tcPr>
            <w:tcW w:w="432" w:type="pct"/>
            <w:vAlign w:val="center"/>
          </w:tcPr>
          <w:p>
            <w:pPr>
              <w:pStyle w:val="33"/>
            </w:pPr>
            <w:r>
              <w:rPr>
                <w:rFonts w:hint="eastAsia"/>
              </w:rPr>
              <w:t>连续</w:t>
            </w:r>
          </w:p>
        </w:tc>
        <w:tc>
          <w:tcPr>
            <w:tcW w:w="1147" w:type="pct"/>
            <w:vAlign w:val="center"/>
          </w:tcPr>
          <w:p>
            <w:pPr>
              <w:pStyle w:val="33"/>
            </w:pPr>
            <w:r>
              <w:rPr>
                <w:rFonts w:hint="eastAsia"/>
              </w:rPr>
              <w:t>隔声、消声、减震</w:t>
            </w:r>
          </w:p>
        </w:tc>
        <w:tc>
          <w:tcPr>
            <w:tcW w:w="690" w:type="pct"/>
            <w:vAlign w:val="center"/>
          </w:tcPr>
          <w:p>
            <w:pPr>
              <w:pStyle w:val="33"/>
            </w:pPr>
            <w:r>
              <w:rPr>
                <w:rFonts w:hint="eastAsi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5</w:t>
            </w:r>
          </w:p>
        </w:tc>
        <w:tc>
          <w:tcPr>
            <w:tcW w:w="529" w:type="pct"/>
            <w:vMerge w:val="continue"/>
            <w:vAlign w:val="center"/>
          </w:tcPr>
          <w:p>
            <w:pPr>
              <w:pStyle w:val="33"/>
            </w:pPr>
          </w:p>
        </w:tc>
        <w:tc>
          <w:tcPr>
            <w:tcW w:w="745" w:type="pct"/>
            <w:vAlign w:val="center"/>
          </w:tcPr>
          <w:p>
            <w:pPr>
              <w:pStyle w:val="33"/>
            </w:pPr>
            <w:r>
              <w:rPr>
                <w:rFonts w:hint="eastAsia"/>
              </w:rPr>
              <w:t>循环水泵</w:t>
            </w:r>
          </w:p>
        </w:tc>
        <w:tc>
          <w:tcPr>
            <w:tcW w:w="542" w:type="pct"/>
            <w:vAlign w:val="center"/>
          </w:tcPr>
          <w:p>
            <w:pPr>
              <w:pStyle w:val="33"/>
            </w:pPr>
            <w:r>
              <w:rPr>
                <w:rFonts w:hint="eastAsia"/>
              </w:rPr>
              <w:t>85</w:t>
            </w:r>
          </w:p>
        </w:tc>
        <w:tc>
          <w:tcPr>
            <w:tcW w:w="588" w:type="pct"/>
            <w:vAlign w:val="center"/>
          </w:tcPr>
          <w:p>
            <w:pPr>
              <w:pStyle w:val="33"/>
            </w:pPr>
            <w:r>
              <w:rPr>
                <w:rFonts w:hint="eastAsia"/>
              </w:rPr>
              <w:t>3</w:t>
            </w:r>
          </w:p>
        </w:tc>
        <w:tc>
          <w:tcPr>
            <w:tcW w:w="432" w:type="pct"/>
            <w:vAlign w:val="center"/>
          </w:tcPr>
          <w:p>
            <w:pPr>
              <w:pStyle w:val="33"/>
            </w:pPr>
            <w:r>
              <w:rPr>
                <w:rFonts w:hint="eastAsia"/>
              </w:rPr>
              <w:t>连续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6</w:t>
            </w:r>
          </w:p>
        </w:tc>
        <w:tc>
          <w:tcPr>
            <w:tcW w:w="529" w:type="pct"/>
            <w:vMerge w:val="continue"/>
            <w:vAlign w:val="center"/>
          </w:tcPr>
          <w:p>
            <w:pPr>
              <w:pStyle w:val="33"/>
            </w:pPr>
          </w:p>
        </w:tc>
        <w:tc>
          <w:tcPr>
            <w:tcW w:w="745" w:type="pct"/>
            <w:vAlign w:val="center"/>
          </w:tcPr>
          <w:p>
            <w:pPr>
              <w:pStyle w:val="33"/>
            </w:pPr>
            <w:r>
              <w:rPr>
                <w:rFonts w:hint="eastAsia"/>
              </w:rPr>
              <w:t>空压机</w:t>
            </w:r>
          </w:p>
        </w:tc>
        <w:tc>
          <w:tcPr>
            <w:tcW w:w="542" w:type="pct"/>
            <w:vAlign w:val="center"/>
          </w:tcPr>
          <w:p>
            <w:pPr>
              <w:pStyle w:val="33"/>
            </w:pPr>
            <w:r>
              <w:rPr>
                <w:rFonts w:hint="eastAsia"/>
              </w:rPr>
              <w:t>95</w:t>
            </w:r>
          </w:p>
        </w:tc>
        <w:tc>
          <w:tcPr>
            <w:tcW w:w="588" w:type="pct"/>
            <w:vAlign w:val="center"/>
          </w:tcPr>
          <w:p>
            <w:pPr>
              <w:pStyle w:val="33"/>
            </w:pPr>
            <w:r>
              <w:rPr>
                <w:rFonts w:hint="eastAsia"/>
              </w:rPr>
              <w:t>1</w:t>
            </w:r>
          </w:p>
        </w:tc>
        <w:tc>
          <w:tcPr>
            <w:tcW w:w="432" w:type="pct"/>
            <w:vAlign w:val="center"/>
          </w:tcPr>
          <w:p>
            <w:pPr>
              <w:pStyle w:val="33"/>
            </w:pPr>
            <w:r>
              <w:rPr>
                <w:rFonts w:hint="eastAsia"/>
              </w:rPr>
              <w:t>连续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7</w:t>
            </w:r>
          </w:p>
        </w:tc>
        <w:tc>
          <w:tcPr>
            <w:tcW w:w="529" w:type="pct"/>
            <w:vMerge w:val="restart"/>
            <w:vAlign w:val="center"/>
          </w:tcPr>
          <w:p>
            <w:pPr>
              <w:pStyle w:val="33"/>
            </w:pPr>
            <w:r>
              <w:rPr>
                <w:rFonts w:hint="eastAsia"/>
              </w:rPr>
              <w:t>二期工程</w:t>
            </w:r>
          </w:p>
        </w:tc>
        <w:tc>
          <w:tcPr>
            <w:tcW w:w="745" w:type="pct"/>
            <w:vAlign w:val="center"/>
          </w:tcPr>
          <w:p>
            <w:pPr>
              <w:pStyle w:val="33"/>
            </w:pPr>
            <w:r>
              <w:rPr>
                <w:rFonts w:hint="eastAsia"/>
              </w:rPr>
              <w:t>磨床</w:t>
            </w:r>
          </w:p>
        </w:tc>
        <w:tc>
          <w:tcPr>
            <w:tcW w:w="542" w:type="pct"/>
            <w:vAlign w:val="center"/>
          </w:tcPr>
          <w:p>
            <w:pPr>
              <w:pStyle w:val="33"/>
            </w:pPr>
            <w:r>
              <w:rPr>
                <w:rFonts w:hint="eastAsia"/>
              </w:rPr>
              <w:t>95</w:t>
            </w:r>
          </w:p>
        </w:tc>
        <w:tc>
          <w:tcPr>
            <w:tcW w:w="588" w:type="pct"/>
            <w:vAlign w:val="center"/>
          </w:tcPr>
          <w:p>
            <w:pPr>
              <w:pStyle w:val="33"/>
            </w:pPr>
            <w:r>
              <w:rPr>
                <w:rFonts w:hint="eastAsia"/>
              </w:rPr>
              <w:t>1</w:t>
            </w:r>
          </w:p>
        </w:tc>
        <w:tc>
          <w:tcPr>
            <w:tcW w:w="432" w:type="pct"/>
            <w:vAlign w:val="center"/>
          </w:tcPr>
          <w:p>
            <w:pPr>
              <w:pStyle w:val="33"/>
            </w:pPr>
            <w:r>
              <w:rPr>
                <w:rFonts w:hint="eastAsia"/>
              </w:rPr>
              <w:t>间断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8</w:t>
            </w:r>
          </w:p>
        </w:tc>
        <w:tc>
          <w:tcPr>
            <w:tcW w:w="529" w:type="pct"/>
            <w:vMerge w:val="continue"/>
            <w:vAlign w:val="center"/>
          </w:tcPr>
          <w:p>
            <w:pPr>
              <w:pStyle w:val="33"/>
            </w:pPr>
          </w:p>
        </w:tc>
        <w:tc>
          <w:tcPr>
            <w:tcW w:w="745" w:type="pct"/>
            <w:vAlign w:val="center"/>
          </w:tcPr>
          <w:p>
            <w:pPr>
              <w:pStyle w:val="33"/>
            </w:pPr>
            <w:r>
              <w:rPr>
                <w:rFonts w:hint="eastAsia"/>
              </w:rPr>
              <w:t>车床</w:t>
            </w:r>
          </w:p>
        </w:tc>
        <w:tc>
          <w:tcPr>
            <w:tcW w:w="542" w:type="pct"/>
            <w:vAlign w:val="center"/>
          </w:tcPr>
          <w:p>
            <w:pPr>
              <w:pStyle w:val="33"/>
            </w:pPr>
            <w:r>
              <w:rPr>
                <w:rFonts w:hint="eastAsia"/>
              </w:rPr>
              <w:t>95</w:t>
            </w:r>
          </w:p>
        </w:tc>
        <w:tc>
          <w:tcPr>
            <w:tcW w:w="588" w:type="pct"/>
            <w:vAlign w:val="center"/>
          </w:tcPr>
          <w:p>
            <w:pPr>
              <w:pStyle w:val="33"/>
            </w:pPr>
            <w:r>
              <w:rPr>
                <w:rFonts w:hint="eastAsia"/>
              </w:rPr>
              <w:t>1</w:t>
            </w:r>
          </w:p>
        </w:tc>
        <w:tc>
          <w:tcPr>
            <w:tcW w:w="432" w:type="pct"/>
            <w:vAlign w:val="center"/>
          </w:tcPr>
          <w:p>
            <w:pPr>
              <w:pStyle w:val="33"/>
            </w:pPr>
            <w:r>
              <w:rPr>
                <w:rFonts w:hint="eastAsia"/>
              </w:rPr>
              <w:t>间断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9</w:t>
            </w:r>
          </w:p>
        </w:tc>
        <w:tc>
          <w:tcPr>
            <w:tcW w:w="529" w:type="pct"/>
            <w:vMerge w:val="continue"/>
            <w:vAlign w:val="center"/>
          </w:tcPr>
          <w:p>
            <w:pPr>
              <w:pStyle w:val="33"/>
            </w:pPr>
          </w:p>
        </w:tc>
        <w:tc>
          <w:tcPr>
            <w:tcW w:w="745" w:type="pct"/>
            <w:vAlign w:val="center"/>
          </w:tcPr>
          <w:p>
            <w:pPr>
              <w:pStyle w:val="33"/>
            </w:pPr>
            <w:r>
              <w:rPr>
                <w:rFonts w:hint="eastAsia"/>
              </w:rPr>
              <w:t>铝灰分离机</w:t>
            </w:r>
          </w:p>
        </w:tc>
        <w:tc>
          <w:tcPr>
            <w:tcW w:w="542" w:type="pct"/>
            <w:vAlign w:val="center"/>
          </w:tcPr>
          <w:p>
            <w:pPr>
              <w:pStyle w:val="33"/>
            </w:pPr>
            <w:r>
              <w:rPr>
                <w:rFonts w:hint="eastAsia"/>
              </w:rPr>
              <w:t>90</w:t>
            </w:r>
          </w:p>
        </w:tc>
        <w:tc>
          <w:tcPr>
            <w:tcW w:w="588" w:type="pct"/>
            <w:vAlign w:val="center"/>
          </w:tcPr>
          <w:p>
            <w:pPr>
              <w:pStyle w:val="33"/>
            </w:pPr>
            <w:r>
              <w:rPr>
                <w:rFonts w:hint="eastAsia"/>
              </w:rPr>
              <w:t>2</w:t>
            </w:r>
          </w:p>
        </w:tc>
        <w:tc>
          <w:tcPr>
            <w:tcW w:w="432" w:type="pct"/>
            <w:vAlign w:val="center"/>
          </w:tcPr>
          <w:p>
            <w:pPr>
              <w:pStyle w:val="33"/>
            </w:pPr>
            <w:r>
              <w:rPr>
                <w:rFonts w:hint="eastAsia"/>
              </w:rPr>
              <w:t>连续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10</w:t>
            </w:r>
          </w:p>
        </w:tc>
        <w:tc>
          <w:tcPr>
            <w:tcW w:w="529" w:type="pct"/>
            <w:vMerge w:val="continue"/>
            <w:vAlign w:val="center"/>
          </w:tcPr>
          <w:p>
            <w:pPr>
              <w:pStyle w:val="33"/>
            </w:pPr>
          </w:p>
        </w:tc>
        <w:tc>
          <w:tcPr>
            <w:tcW w:w="745" w:type="pct"/>
            <w:vAlign w:val="center"/>
          </w:tcPr>
          <w:p>
            <w:pPr>
              <w:pStyle w:val="33"/>
            </w:pPr>
            <w:r>
              <w:rPr>
                <w:rFonts w:hint="eastAsia"/>
              </w:rPr>
              <w:t>冷却塔</w:t>
            </w:r>
          </w:p>
        </w:tc>
        <w:tc>
          <w:tcPr>
            <w:tcW w:w="542" w:type="pct"/>
            <w:vAlign w:val="center"/>
          </w:tcPr>
          <w:p>
            <w:pPr>
              <w:pStyle w:val="33"/>
            </w:pPr>
            <w:r>
              <w:rPr>
                <w:rFonts w:hint="eastAsia"/>
              </w:rPr>
              <w:t>75</w:t>
            </w:r>
          </w:p>
        </w:tc>
        <w:tc>
          <w:tcPr>
            <w:tcW w:w="588" w:type="pct"/>
            <w:vAlign w:val="center"/>
          </w:tcPr>
          <w:p>
            <w:pPr>
              <w:pStyle w:val="33"/>
            </w:pPr>
            <w:r>
              <w:rPr>
                <w:rFonts w:hint="eastAsia"/>
              </w:rPr>
              <w:t>1</w:t>
            </w:r>
          </w:p>
        </w:tc>
        <w:tc>
          <w:tcPr>
            <w:tcW w:w="432" w:type="pct"/>
            <w:vAlign w:val="center"/>
          </w:tcPr>
          <w:p>
            <w:pPr>
              <w:pStyle w:val="33"/>
            </w:pPr>
            <w:r>
              <w:rPr>
                <w:rFonts w:hint="eastAsia"/>
              </w:rPr>
              <w:t>连续</w:t>
            </w:r>
          </w:p>
        </w:tc>
        <w:tc>
          <w:tcPr>
            <w:tcW w:w="1147" w:type="pct"/>
            <w:vAlign w:val="center"/>
          </w:tcPr>
          <w:p>
            <w:pPr>
              <w:pStyle w:val="33"/>
            </w:pPr>
            <w:r>
              <w:rPr>
                <w:rFonts w:hint="eastAsia"/>
              </w:rPr>
              <w:t>减震</w:t>
            </w:r>
          </w:p>
        </w:tc>
        <w:tc>
          <w:tcPr>
            <w:tcW w:w="690" w:type="pct"/>
            <w:vAlign w:val="center"/>
          </w:tcPr>
          <w:p>
            <w:pPr>
              <w:pStyle w:val="33"/>
            </w:pPr>
            <w:r>
              <w:rPr>
                <w:rFonts w:hint="eastAsia"/>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vAlign w:val="center"/>
          </w:tcPr>
          <w:p>
            <w:pPr>
              <w:pStyle w:val="33"/>
            </w:pPr>
            <w:r>
              <w:rPr>
                <w:rFonts w:hint="eastAsia"/>
              </w:rPr>
              <w:t>11</w:t>
            </w:r>
          </w:p>
        </w:tc>
        <w:tc>
          <w:tcPr>
            <w:tcW w:w="529" w:type="pct"/>
            <w:vMerge w:val="continue"/>
            <w:vAlign w:val="center"/>
          </w:tcPr>
          <w:p>
            <w:pPr>
              <w:pStyle w:val="33"/>
            </w:pPr>
          </w:p>
        </w:tc>
        <w:tc>
          <w:tcPr>
            <w:tcW w:w="745" w:type="pct"/>
            <w:vAlign w:val="center"/>
          </w:tcPr>
          <w:p>
            <w:pPr>
              <w:pStyle w:val="33"/>
            </w:pPr>
            <w:r>
              <w:rPr>
                <w:rFonts w:hint="eastAsia"/>
              </w:rPr>
              <w:t>风机</w:t>
            </w:r>
          </w:p>
        </w:tc>
        <w:tc>
          <w:tcPr>
            <w:tcW w:w="542" w:type="pct"/>
            <w:vAlign w:val="center"/>
          </w:tcPr>
          <w:p>
            <w:pPr>
              <w:pStyle w:val="33"/>
            </w:pPr>
            <w:r>
              <w:rPr>
                <w:rFonts w:hint="eastAsia"/>
              </w:rPr>
              <w:t>90</w:t>
            </w:r>
          </w:p>
        </w:tc>
        <w:tc>
          <w:tcPr>
            <w:tcW w:w="588" w:type="pct"/>
            <w:vAlign w:val="center"/>
          </w:tcPr>
          <w:p>
            <w:pPr>
              <w:pStyle w:val="33"/>
            </w:pPr>
            <w:r>
              <w:rPr>
                <w:rFonts w:hint="eastAsia"/>
              </w:rPr>
              <w:t>2</w:t>
            </w:r>
          </w:p>
        </w:tc>
        <w:tc>
          <w:tcPr>
            <w:tcW w:w="432" w:type="pct"/>
            <w:vAlign w:val="center"/>
          </w:tcPr>
          <w:p>
            <w:pPr>
              <w:pStyle w:val="33"/>
            </w:pPr>
            <w:r>
              <w:rPr>
                <w:rFonts w:hint="eastAsia"/>
              </w:rPr>
              <w:t>连续</w:t>
            </w:r>
          </w:p>
        </w:tc>
        <w:tc>
          <w:tcPr>
            <w:tcW w:w="1147" w:type="pct"/>
            <w:vAlign w:val="center"/>
          </w:tcPr>
          <w:p>
            <w:pPr>
              <w:pStyle w:val="33"/>
            </w:pPr>
            <w:r>
              <w:rPr>
                <w:rFonts w:hint="eastAsia"/>
              </w:rPr>
              <w:t>隔声、消声、减震</w:t>
            </w:r>
          </w:p>
        </w:tc>
        <w:tc>
          <w:tcPr>
            <w:tcW w:w="690" w:type="pct"/>
            <w:vAlign w:val="center"/>
          </w:tcPr>
          <w:p>
            <w:pPr>
              <w:pStyle w:val="33"/>
            </w:pPr>
            <w:r>
              <w:rPr>
                <w:rFonts w:hint="eastAsi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4" w:type="pct"/>
          </w:tcPr>
          <w:p>
            <w:pPr>
              <w:pStyle w:val="33"/>
            </w:pPr>
            <w:r>
              <w:rPr>
                <w:rFonts w:hint="eastAsia"/>
              </w:rPr>
              <w:t>12</w:t>
            </w:r>
          </w:p>
        </w:tc>
        <w:tc>
          <w:tcPr>
            <w:tcW w:w="529" w:type="pct"/>
            <w:vMerge w:val="continue"/>
          </w:tcPr>
          <w:p>
            <w:pPr>
              <w:pStyle w:val="33"/>
            </w:pPr>
          </w:p>
        </w:tc>
        <w:tc>
          <w:tcPr>
            <w:tcW w:w="745" w:type="pct"/>
            <w:vAlign w:val="center"/>
          </w:tcPr>
          <w:p>
            <w:pPr>
              <w:pStyle w:val="33"/>
            </w:pPr>
            <w:r>
              <w:rPr>
                <w:rFonts w:hint="eastAsia"/>
              </w:rPr>
              <w:t>循环水泵</w:t>
            </w:r>
          </w:p>
        </w:tc>
        <w:tc>
          <w:tcPr>
            <w:tcW w:w="542" w:type="pct"/>
            <w:vAlign w:val="center"/>
          </w:tcPr>
          <w:p>
            <w:pPr>
              <w:pStyle w:val="33"/>
            </w:pPr>
            <w:r>
              <w:rPr>
                <w:rFonts w:hint="eastAsia"/>
              </w:rPr>
              <w:t>85</w:t>
            </w:r>
          </w:p>
        </w:tc>
        <w:tc>
          <w:tcPr>
            <w:tcW w:w="588" w:type="pct"/>
            <w:vAlign w:val="center"/>
          </w:tcPr>
          <w:p>
            <w:pPr>
              <w:pStyle w:val="33"/>
            </w:pPr>
            <w:r>
              <w:rPr>
                <w:rFonts w:hint="eastAsia"/>
              </w:rPr>
              <w:t>1</w:t>
            </w:r>
          </w:p>
        </w:tc>
        <w:tc>
          <w:tcPr>
            <w:tcW w:w="432" w:type="pct"/>
            <w:vAlign w:val="center"/>
          </w:tcPr>
          <w:p>
            <w:pPr>
              <w:pStyle w:val="33"/>
            </w:pPr>
            <w:r>
              <w:rPr>
                <w:rFonts w:hint="eastAsia"/>
              </w:rPr>
              <w:t>连续</w:t>
            </w:r>
          </w:p>
        </w:tc>
        <w:tc>
          <w:tcPr>
            <w:tcW w:w="1147" w:type="pct"/>
            <w:vAlign w:val="center"/>
          </w:tcPr>
          <w:p>
            <w:pPr>
              <w:pStyle w:val="33"/>
            </w:pPr>
            <w:r>
              <w:rPr>
                <w:rFonts w:hint="eastAsia"/>
              </w:rPr>
              <w:t>隔声、减震</w:t>
            </w:r>
          </w:p>
        </w:tc>
        <w:tc>
          <w:tcPr>
            <w:tcW w:w="690" w:type="pct"/>
            <w:vAlign w:val="center"/>
          </w:tcPr>
          <w:p>
            <w:pPr>
              <w:pStyle w:val="33"/>
            </w:pPr>
            <w:r>
              <w:rPr>
                <w:rFonts w:hint="eastAsia"/>
              </w:rPr>
              <w:t>65</w:t>
            </w:r>
          </w:p>
        </w:tc>
      </w:tr>
    </w:tbl>
    <w:p>
      <w:pPr>
        <w:pStyle w:val="7"/>
        <w:ind w:firstLine="480"/>
      </w:pPr>
      <w:r>
        <w:t>将项目各种噪声源均简化为点声源，经采取</w:t>
      </w:r>
      <w:r>
        <w:rPr>
          <w:rFonts w:hint="eastAsia"/>
        </w:rPr>
        <w:t>降噪</w:t>
      </w:r>
      <w:r>
        <w:t>治理措施后</w:t>
      </w:r>
      <w:r>
        <w:rPr>
          <w:rFonts w:hint="eastAsia"/>
        </w:rPr>
        <w:t>。各噪声源与厂界的距离见表6.5</w:t>
      </w:r>
      <w:r>
        <w:t>-2</w:t>
      </w:r>
      <w:r>
        <w:rPr>
          <w:rFonts w:hint="eastAsia"/>
        </w:rPr>
        <w:t>。预测点为厂界东、南、西、北共4个预测点。</w:t>
      </w:r>
    </w:p>
    <w:p>
      <w:pPr>
        <w:pStyle w:val="31"/>
      </w:pPr>
      <w:r>
        <w:t>表</w:t>
      </w:r>
      <w:r>
        <w:rPr>
          <w:rFonts w:hint="eastAsia"/>
        </w:rPr>
        <w:t>6.5-2</w:t>
      </w:r>
      <w:r>
        <w:t xml:space="preserve">  </w:t>
      </w:r>
      <w:r>
        <w:rPr>
          <w:rFonts w:hint="eastAsia"/>
        </w:rPr>
        <w:t>项目各厂房</w:t>
      </w:r>
      <w:r>
        <w:t>噪声源强</w:t>
      </w:r>
      <w:r>
        <w:rPr>
          <w:rFonts w:hint="eastAsia"/>
        </w:rPr>
        <w:t>与预测点距离    单位：m</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0"/>
        <w:gridCol w:w="2763"/>
        <w:gridCol w:w="1116"/>
        <w:gridCol w:w="1116"/>
        <w:gridCol w:w="1116"/>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757" w:type="pct"/>
            <w:vMerge w:val="restart"/>
            <w:tcBorders>
              <w:right w:val="single" w:color="auto" w:sz="6" w:space="0"/>
            </w:tcBorders>
            <w:noWrap/>
            <w:vAlign w:val="center"/>
          </w:tcPr>
          <w:p>
            <w:pPr>
              <w:pStyle w:val="32"/>
            </w:pPr>
            <w:r>
              <w:rPr>
                <w:rFonts w:hint="eastAsia"/>
              </w:rPr>
              <w:t>阶段</w:t>
            </w:r>
          </w:p>
        </w:tc>
        <w:tc>
          <w:tcPr>
            <w:tcW w:w="1621" w:type="pct"/>
            <w:vMerge w:val="restart"/>
            <w:noWrap/>
            <w:vAlign w:val="center"/>
          </w:tcPr>
          <w:p>
            <w:pPr>
              <w:pStyle w:val="32"/>
            </w:pPr>
            <w:r>
              <w:rPr>
                <w:rFonts w:hint="eastAsia"/>
              </w:rPr>
              <w:t>噪声源名称</w:t>
            </w:r>
          </w:p>
        </w:tc>
        <w:tc>
          <w:tcPr>
            <w:tcW w:w="2621" w:type="pct"/>
            <w:gridSpan w:val="4"/>
            <w:vAlign w:val="center"/>
          </w:tcPr>
          <w:p>
            <w:pPr>
              <w:pStyle w:val="32"/>
            </w:pPr>
            <w:r>
              <w:rPr>
                <w:rFonts w:hint="eastAsia"/>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7" w:type="pct"/>
            <w:vMerge w:val="continue"/>
            <w:tcBorders>
              <w:right w:val="single" w:color="auto" w:sz="6" w:space="0"/>
            </w:tcBorders>
            <w:noWrap/>
            <w:vAlign w:val="center"/>
          </w:tcPr>
          <w:p>
            <w:pPr>
              <w:pStyle w:val="32"/>
            </w:pPr>
          </w:p>
        </w:tc>
        <w:tc>
          <w:tcPr>
            <w:tcW w:w="1621" w:type="pct"/>
            <w:vMerge w:val="continue"/>
            <w:noWrap/>
            <w:vAlign w:val="center"/>
          </w:tcPr>
          <w:p>
            <w:pPr>
              <w:pStyle w:val="32"/>
            </w:pPr>
          </w:p>
        </w:tc>
        <w:tc>
          <w:tcPr>
            <w:tcW w:w="655" w:type="pct"/>
            <w:vAlign w:val="center"/>
          </w:tcPr>
          <w:p>
            <w:pPr>
              <w:pStyle w:val="32"/>
            </w:pPr>
            <w:r>
              <w:rPr>
                <w:rFonts w:hint="eastAsia"/>
              </w:rPr>
              <w:t>东</w:t>
            </w:r>
          </w:p>
        </w:tc>
        <w:tc>
          <w:tcPr>
            <w:tcW w:w="655" w:type="pct"/>
            <w:vAlign w:val="center"/>
          </w:tcPr>
          <w:p>
            <w:pPr>
              <w:pStyle w:val="32"/>
            </w:pPr>
            <w:r>
              <w:rPr>
                <w:rFonts w:hint="eastAsia"/>
              </w:rPr>
              <w:t>南</w:t>
            </w:r>
          </w:p>
        </w:tc>
        <w:tc>
          <w:tcPr>
            <w:tcW w:w="655" w:type="pct"/>
            <w:vAlign w:val="center"/>
          </w:tcPr>
          <w:p>
            <w:pPr>
              <w:pStyle w:val="32"/>
            </w:pPr>
            <w:r>
              <w:rPr>
                <w:rFonts w:hint="eastAsia"/>
              </w:rPr>
              <w:t>西</w:t>
            </w:r>
          </w:p>
        </w:tc>
        <w:tc>
          <w:tcPr>
            <w:tcW w:w="656" w:type="pct"/>
            <w:vAlign w:val="center"/>
          </w:tcPr>
          <w:p>
            <w:pPr>
              <w:pStyle w:val="32"/>
            </w:pPr>
            <w:r>
              <w:rPr>
                <w:rFonts w:hint="eastAsia"/>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restart"/>
            <w:tcBorders>
              <w:right w:val="single" w:color="auto" w:sz="6" w:space="0"/>
            </w:tcBorders>
            <w:noWrap/>
            <w:vAlign w:val="center"/>
          </w:tcPr>
          <w:p>
            <w:pPr>
              <w:pStyle w:val="32"/>
            </w:pPr>
            <w:r>
              <w:rPr>
                <w:rFonts w:hint="eastAsia"/>
              </w:rPr>
              <w:t>一期工程</w:t>
            </w:r>
          </w:p>
        </w:tc>
        <w:tc>
          <w:tcPr>
            <w:tcW w:w="1621" w:type="pct"/>
            <w:noWrap/>
            <w:vAlign w:val="center"/>
          </w:tcPr>
          <w:p>
            <w:pPr>
              <w:pStyle w:val="32"/>
            </w:pPr>
            <w:r>
              <w:rPr>
                <w:rFonts w:hint="eastAsia"/>
              </w:rPr>
              <w:t>锯切机</w:t>
            </w:r>
          </w:p>
        </w:tc>
        <w:tc>
          <w:tcPr>
            <w:tcW w:w="655" w:type="pct"/>
            <w:vAlign w:val="center"/>
          </w:tcPr>
          <w:p>
            <w:pPr>
              <w:pStyle w:val="32"/>
            </w:pPr>
            <w:r>
              <w:rPr>
                <w:rFonts w:hint="eastAsia"/>
              </w:rPr>
              <w:t>256</w:t>
            </w:r>
          </w:p>
        </w:tc>
        <w:tc>
          <w:tcPr>
            <w:tcW w:w="655" w:type="pct"/>
            <w:vAlign w:val="center"/>
          </w:tcPr>
          <w:p>
            <w:pPr>
              <w:pStyle w:val="32"/>
            </w:pPr>
            <w:r>
              <w:rPr>
                <w:rFonts w:hint="eastAsia"/>
              </w:rPr>
              <w:t>180</w:t>
            </w:r>
          </w:p>
        </w:tc>
        <w:tc>
          <w:tcPr>
            <w:tcW w:w="655" w:type="pct"/>
            <w:vAlign w:val="center"/>
          </w:tcPr>
          <w:p>
            <w:pPr>
              <w:pStyle w:val="32"/>
            </w:pPr>
            <w:r>
              <w:rPr>
                <w:rFonts w:hint="eastAsia"/>
              </w:rPr>
              <w:t>150</w:t>
            </w:r>
          </w:p>
        </w:tc>
        <w:tc>
          <w:tcPr>
            <w:tcW w:w="656" w:type="pct"/>
            <w:vAlign w:val="center"/>
          </w:tcPr>
          <w:p>
            <w:pPr>
              <w:pStyle w:val="32"/>
            </w:pPr>
            <w:r>
              <w:rPr>
                <w:rFonts w:hint="eastAsia"/>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铝灰分离机</w:t>
            </w:r>
          </w:p>
        </w:tc>
        <w:tc>
          <w:tcPr>
            <w:tcW w:w="655" w:type="pct"/>
            <w:vAlign w:val="center"/>
          </w:tcPr>
          <w:p>
            <w:pPr>
              <w:pStyle w:val="32"/>
            </w:pPr>
            <w:r>
              <w:rPr>
                <w:rFonts w:hint="eastAsia"/>
              </w:rPr>
              <w:t>319</w:t>
            </w:r>
          </w:p>
        </w:tc>
        <w:tc>
          <w:tcPr>
            <w:tcW w:w="655" w:type="pct"/>
            <w:vAlign w:val="center"/>
          </w:tcPr>
          <w:p>
            <w:pPr>
              <w:pStyle w:val="32"/>
            </w:pPr>
            <w:r>
              <w:rPr>
                <w:rFonts w:hint="eastAsia"/>
              </w:rPr>
              <w:t>139</w:t>
            </w:r>
          </w:p>
        </w:tc>
        <w:tc>
          <w:tcPr>
            <w:tcW w:w="655" w:type="pct"/>
            <w:vAlign w:val="center"/>
          </w:tcPr>
          <w:p>
            <w:pPr>
              <w:pStyle w:val="32"/>
            </w:pPr>
            <w:r>
              <w:rPr>
                <w:rFonts w:hint="eastAsia"/>
              </w:rPr>
              <w:t>148</w:t>
            </w:r>
          </w:p>
        </w:tc>
        <w:tc>
          <w:tcPr>
            <w:tcW w:w="656" w:type="pct"/>
            <w:vAlign w:val="center"/>
          </w:tcPr>
          <w:p>
            <w:pPr>
              <w:pStyle w:val="32"/>
            </w:pPr>
            <w:r>
              <w:rPr>
                <w:rFonts w:hint="eastAsia"/>
              </w:rPr>
              <w:t>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冷却塔</w:t>
            </w:r>
          </w:p>
        </w:tc>
        <w:tc>
          <w:tcPr>
            <w:tcW w:w="655" w:type="pct"/>
            <w:vAlign w:val="center"/>
          </w:tcPr>
          <w:p>
            <w:pPr>
              <w:pStyle w:val="32"/>
            </w:pPr>
            <w:r>
              <w:rPr>
                <w:rFonts w:hint="eastAsia"/>
              </w:rPr>
              <w:t>348</w:t>
            </w:r>
          </w:p>
        </w:tc>
        <w:tc>
          <w:tcPr>
            <w:tcW w:w="655" w:type="pct"/>
            <w:vAlign w:val="center"/>
          </w:tcPr>
          <w:p>
            <w:pPr>
              <w:pStyle w:val="32"/>
            </w:pPr>
            <w:r>
              <w:rPr>
                <w:rFonts w:hint="eastAsia"/>
              </w:rPr>
              <w:t>236</w:t>
            </w:r>
          </w:p>
        </w:tc>
        <w:tc>
          <w:tcPr>
            <w:tcW w:w="655" w:type="pct"/>
            <w:vAlign w:val="center"/>
          </w:tcPr>
          <w:p>
            <w:pPr>
              <w:pStyle w:val="32"/>
            </w:pPr>
            <w:r>
              <w:rPr>
                <w:rFonts w:hint="eastAsia"/>
              </w:rPr>
              <w:t>53</w:t>
            </w:r>
          </w:p>
        </w:tc>
        <w:tc>
          <w:tcPr>
            <w:tcW w:w="656" w:type="pct"/>
            <w:vAlign w:val="center"/>
          </w:tcPr>
          <w:p>
            <w:pPr>
              <w:pStyle w:val="32"/>
            </w:pPr>
            <w:r>
              <w:rPr>
                <w:rFonts w:hint="eastAsia"/>
              </w:rPr>
              <w:t>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风机</w:t>
            </w:r>
          </w:p>
        </w:tc>
        <w:tc>
          <w:tcPr>
            <w:tcW w:w="655" w:type="pct"/>
            <w:vAlign w:val="center"/>
          </w:tcPr>
          <w:p>
            <w:pPr>
              <w:pStyle w:val="32"/>
            </w:pPr>
            <w:r>
              <w:rPr>
                <w:rFonts w:hint="eastAsia"/>
              </w:rPr>
              <w:t>188</w:t>
            </w:r>
          </w:p>
        </w:tc>
        <w:tc>
          <w:tcPr>
            <w:tcW w:w="655" w:type="pct"/>
            <w:vAlign w:val="center"/>
          </w:tcPr>
          <w:p>
            <w:pPr>
              <w:pStyle w:val="32"/>
            </w:pPr>
            <w:r>
              <w:rPr>
                <w:rFonts w:hint="eastAsia"/>
              </w:rPr>
              <w:t>81</w:t>
            </w:r>
          </w:p>
        </w:tc>
        <w:tc>
          <w:tcPr>
            <w:tcW w:w="655" w:type="pct"/>
            <w:vAlign w:val="center"/>
          </w:tcPr>
          <w:p>
            <w:pPr>
              <w:pStyle w:val="32"/>
            </w:pPr>
            <w:r>
              <w:rPr>
                <w:rFonts w:hint="eastAsia"/>
              </w:rPr>
              <w:t>273</w:t>
            </w:r>
          </w:p>
        </w:tc>
        <w:tc>
          <w:tcPr>
            <w:tcW w:w="656" w:type="pct"/>
            <w:vAlign w:val="center"/>
          </w:tcPr>
          <w:p>
            <w:pPr>
              <w:pStyle w:val="32"/>
            </w:pPr>
            <w:r>
              <w:rPr>
                <w:rFonts w:hint="eastAsia"/>
              </w:rPr>
              <w:t>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循环水泵</w:t>
            </w:r>
          </w:p>
        </w:tc>
        <w:tc>
          <w:tcPr>
            <w:tcW w:w="655" w:type="pct"/>
            <w:vAlign w:val="center"/>
          </w:tcPr>
          <w:p>
            <w:pPr>
              <w:pStyle w:val="32"/>
            </w:pPr>
            <w:r>
              <w:rPr>
                <w:rFonts w:hint="eastAsia"/>
              </w:rPr>
              <w:t>348</w:t>
            </w:r>
          </w:p>
        </w:tc>
        <w:tc>
          <w:tcPr>
            <w:tcW w:w="655" w:type="pct"/>
            <w:vAlign w:val="center"/>
          </w:tcPr>
          <w:p>
            <w:pPr>
              <w:pStyle w:val="32"/>
            </w:pPr>
            <w:r>
              <w:rPr>
                <w:rFonts w:hint="eastAsia"/>
              </w:rPr>
              <w:t>236</w:t>
            </w:r>
          </w:p>
        </w:tc>
        <w:tc>
          <w:tcPr>
            <w:tcW w:w="655" w:type="pct"/>
            <w:vAlign w:val="center"/>
          </w:tcPr>
          <w:p>
            <w:pPr>
              <w:pStyle w:val="32"/>
            </w:pPr>
            <w:r>
              <w:rPr>
                <w:rFonts w:hint="eastAsia"/>
              </w:rPr>
              <w:t>53</w:t>
            </w:r>
          </w:p>
        </w:tc>
        <w:tc>
          <w:tcPr>
            <w:tcW w:w="656" w:type="pct"/>
            <w:vAlign w:val="center"/>
          </w:tcPr>
          <w:p>
            <w:pPr>
              <w:pStyle w:val="32"/>
            </w:pPr>
            <w:r>
              <w:rPr>
                <w:rFonts w:hint="eastAsia"/>
              </w:rPr>
              <w:t>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空压机</w:t>
            </w:r>
          </w:p>
        </w:tc>
        <w:tc>
          <w:tcPr>
            <w:tcW w:w="655" w:type="pct"/>
            <w:vAlign w:val="center"/>
          </w:tcPr>
          <w:p>
            <w:pPr>
              <w:pStyle w:val="32"/>
            </w:pPr>
            <w:r>
              <w:rPr>
                <w:rFonts w:hint="eastAsia"/>
              </w:rPr>
              <w:t>257</w:t>
            </w:r>
          </w:p>
        </w:tc>
        <w:tc>
          <w:tcPr>
            <w:tcW w:w="655" w:type="pct"/>
            <w:vAlign w:val="center"/>
          </w:tcPr>
          <w:p>
            <w:pPr>
              <w:pStyle w:val="32"/>
            </w:pPr>
            <w:r>
              <w:rPr>
                <w:rFonts w:hint="eastAsia"/>
              </w:rPr>
              <w:t>85</w:t>
            </w:r>
          </w:p>
        </w:tc>
        <w:tc>
          <w:tcPr>
            <w:tcW w:w="655" w:type="pct"/>
            <w:vAlign w:val="center"/>
          </w:tcPr>
          <w:p>
            <w:pPr>
              <w:pStyle w:val="32"/>
            </w:pPr>
            <w:r>
              <w:rPr>
                <w:rFonts w:hint="eastAsia"/>
              </w:rPr>
              <w:t>205</w:t>
            </w:r>
          </w:p>
        </w:tc>
        <w:tc>
          <w:tcPr>
            <w:tcW w:w="656" w:type="pct"/>
            <w:vAlign w:val="center"/>
          </w:tcPr>
          <w:p>
            <w:pPr>
              <w:pStyle w:val="32"/>
            </w:pPr>
            <w:r>
              <w:rPr>
                <w:rFonts w:hint="eastAsia"/>
              </w:rPr>
              <w:t>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restart"/>
            <w:tcBorders>
              <w:right w:val="single" w:color="auto" w:sz="6" w:space="0"/>
            </w:tcBorders>
            <w:noWrap/>
            <w:vAlign w:val="center"/>
          </w:tcPr>
          <w:p>
            <w:pPr>
              <w:pStyle w:val="32"/>
            </w:pPr>
            <w:r>
              <w:rPr>
                <w:rFonts w:hint="eastAsia"/>
              </w:rPr>
              <w:t>二期工程</w:t>
            </w:r>
          </w:p>
        </w:tc>
        <w:tc>
          <w:tcPr>
            <w:tcW w:w="1621" w:type="pct"/>
            <w:noWrap/>
            <w:vAlign w:val="center"/>
          </w:tcPr>
          <w:p>
            <w:pPr>
              <w:pStyle w:val="32"/>
            </w:pPr>
            <w:r>
              <w:rPr>
                <w:rFonts w:hint="eastAsia"/>
              </w:rPr>
              <w:t>磨床</w:t>
            </w:r>
          </w:p>
        </w:tc>
        <w:tc>
          <w:tcPr>
            <w:tcW w:w="655" w:type="pct"/>
            <w:vAlign w:val="center"/>
          </w:tcPr>
          <w:p>
            <w:pPr>
              <w:pStyle w:val="32"/>
            </w:pPr>
            <w:r>
              <w:rPr>
                <w:rFonts w:hint="eastAsia"/>
              </w:rPr>
              <w:t>46</w:t>
            </w:r>
          </w:p>
        </w:tc>
        <w:tc>
          <w:tcPr>
            <w:tcW w:w="655" w:type="pct"/>
            <w:vAlign w:val="center"/>
          </w:tcPr>
          <w:p>
            <w:pPr>
              <w:pStyle w:val="32"/>
            </w:pPr>
            <w:r>
              <w:rPr>
                <w:rFonts w:hint="eastAsia"/>
              </w:rPr>
              <w:t>216</w:t>
            </w:r>
          </w:p>
        </w:tc>
        <w:tc>
          <w:tcPr>
            <w:tcW w:w="655" w:type="pct"/>
            <w:vAlign w:val="center"/>
          </w:tcPr>
          <w:p>
            <w:pPr>
              <w:pStyle w:val="32"/>
            </w:pPr>
            <w:r>
              <w:rPr>
                <w:rFonts w:hint="eastAsia"/>
              </w:rPr>
              <w:t>374</w:t>
            </w:r>
          </w:p>
        </w:tc>
        <w:tc>
          <w:tcPr>
            <w:tcW w:w="656" w:type="pct"/>
            <w:vAlign w:val="center"/>
          </w:tcPr>
          <w:p>
            <w:pPr>
              <w:pStyle w:val="32"/>
            </w:pPr>
            <w:r>
              <w:rPr>
                <w:rFonts w:hint="eastAsia"/>
              </w:rPr>
              <w:t>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车床</w:t>
            </w:r>
          </w:p>
        </w:tc>
        <w:tc>
          <w:tcPr>
            <w:tcW w:w="655" w:type="pct"/>
            <w:vAlign w:val="center"/>
          </w:tcPr>
          <w:p>
            <w:pPr>
              <w:pStyle w:val="32"/>
            </w:pPr>
            <w:r>
              <w:rPr>
                <w:rFonts w:hint="eastAsia"/>
              </w:rPr>
              <w:t>46</w:t>
            </w:r>
          </w:p>
        </w:tc>
        <w:tc>
          <w:tcPr>
            <w:tcW w:w="655" w:type="pct"/>
            <w:vAlign w:val="center"/>
          </w:tcPr>
          <w:p>
            <w:pPr>
              <w:pStyle w:val="32"/>
            </w:pPr>
            <w:r>
              <w:rPr>
                <w:rFonts w:hint="eastAsia"/>
              </w:rPr>
              <w:t>220</w:t>
            </w:r>
          </w:p>
        </w:tc>
        <w:tc>
          <w:tcPr>
            <w:tcW w:w="655" w:type="pct"/>
            <w:vAlign w:val="center"/>
          </w:tcPr>
          <w:p>
            <w:pPr>
              <w:pStyle w:val="32"/>
            </w:pPr>
            <w:r>
              <w:rPr>
                <w:rFonts w:hint="eastAsia"/>
              </w:rPr>
              <w:t>374</w:t>
            </w:r>
          </w:p>
        </w:tc>
        <w:tc>
          <w:tcPr>
            <w:tcW w:w="656" w:type="pct"/>
            <w:vAlign w:val="center"/>
          </w:tcPr>
          <w:p>
            <w:pPr>
              <w:pStyle w:val="32"/>
            </w:pPr>
            <w:r>
              <w:rPr>
                <w:rFonts w:hint="eastAsia"/>
              </w:rPr>
              <w:t>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铝灰分离机</w:t>
            </w:r>
          </w:p>
        </w:tc>
        <w:tc>
          <w:tcPr>
            <w:tcW w:w="655" w:type="pct"/>
            <w:vAlign w:val="center"/>
          </w:tcPr>
          <w:p>
            <w:pPr>
              <w:pStyle w:val="32"/>
            </w:pPr>
            <w:r>
              <w:rPr>
                <w:rFonts w:hint="eastAsia"/>
              </w:rPr>
              <w:t>130</w:t>
            </w:r>
          </w:p>
        </w:tc>
        <w:tc>
          <w:tcPr>
            <w:tcW w:w="655" w:type="pct"/>
            <w:vAlign w:val="center"/>
          </w:tcPr>
          <w:p>
            <w:pPr>
              <w:pStyle w:val="32"/>
            </w:pPr>
            <w:r>
              <w:rPr>
                <w:rFonts w:hint="eastAsia"/>
              </w:rPr>
              <w:t>151</w:t>
            </w:r>
          </w:p>
        </w:tc>
        <w:tc>
          <w:tcPr>
            <w:tcW w:w="655" w:type="pct"/>
            <w:vAlign w:val="center"/>
          </w:tcPr>
          <w:p>
            <w:pPr>
              <w:pStyle w:val="32"/>
            </w:pPr>
            <w:r>
              <w:rPr>
                <w:rFonts w:hint="eastAsia"/>
              </w:rPr>
              <w:t>372</w:t>
            </w:r>
          </w:p>
        </w:tc>
        <w:tc>
          <w:tcPr>
            <w:tcW w:w="656" w:type="pct"/>
            <w:vAlign w:val="center"/>
          </w:tcPr>
          <w:p>
            <w:pPr>
              <w:pStyle w:val="32"/>
            </w:pPr>
            <w:r>
              <w:rPr>
                <w:rFonts w:hint="eastAsia"/>
              </w:rPr>
              <w:t>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冷却塔</w:t>
            </w:r>
          </w:p>
        </w:tc>
        <w:tc>
          <w:tcPr>
            <w:tcW w:w="655" w:type="pct"/>
            <w:vAlign w:val="center"/>
          </w:tcPr>
          <w:p>
            <w:pPr>
              <w:pStyle w:val="32"/>
            </w:pPr>
            <w:r>
              <w:rPr>
                <w:rFonts w:hint="eastAsia"/>
              </w:rPr>
              <w:t>62</w:t>
            </w:r>
          </w:p>
        </w:tc>
        <w:tc>
          <w:tcPr>
            <w:tcW w:w="655" w:type="pct"/>
            <w:vAlign w:val="center"/>
          </w:tcPr>
          <w:p>
            <w:pPr>
              <w:pStyle w:val="32"/>
            </w:pPr>
            <w:r>
              <w:rPr>
                <w:rFonts w:hint="eastAsia"/>
              </w:rPr>
              <w:t>263</w:t>
            </w:r>
          </w:p>
        </w:tc>
        <w:tc>
          <w:tcPr>
            <w:tcW w:w="655" w:type="pct"/>
            <w:vAlign w:val="center"/>
          </w:tcPr>
          <w:p>
            <w:pPr>
              <w:pStyle w:val="32"/>
            </w:pPr>
            <w:r>
              <w:rPr>
                <w:rFonts w:hint="eastAsia"/>
              </w:rPr>
              <w:t>352</w:t>
            </w:r>
          </w:p>
        </w:tc>
        <w:tc>
          <w:tcPr>
            <w:tcW w:w="656" w:type="pct"/>
            <w:vAlign w:val="center"/>
          </w:tcPr>
          <w:p>
            <w:pPr>
              <w:pStyle w:val="32"/>
            </w:pPr>
            <w:r>
              <w:rPr>
                <w:rFonts w:hint="eastAsia"/>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风机</w:t>
            </w:r>
          </w:p>
        </w:tc>
        <w:tc>
          <w:tcPr>
            <w:tcW w:w="655" w:type="pct"/>
            <w:vAlign w:val="center"/>
          </w:tcPr>
          <w:p>
            <w:pPr>
              <w:pStyle w:val="32"/>
            </w:pPr>
            <w:r>
              <w:rPr>
                <w:rFonts w:hint="eastAsia"/>
              </w:rPr>
              <w:t>45</w:t>
            </w:r>
          </w:p>
        </w:tc>
        <w:tc>
          <w:tcPr>
            <w:tcW w:w="655" w:type="pct"/>
            <w:vAlign w:val="center"/>
          </w:tcPr>
          <w:p>
            <w:pPr>
              <w:pStyle w:val="32"/>
            </w:pPr>
            <w:r>
              <w:rPr>
                <w:rFonts w:hint="eastAsia"/>
              </w:rPr>
              <w:t>287</w:t>
            </w:r>
          </w:p>
        </w:tc>
        <w:tc>
          <w:tcPr>
            <w:tcW w:w="655" w:type="pct"/>
            <w:vAlign w:val="center"/>
          </w:tcPr>
          <w:p>
            <w:pPr>
              <w:pStyle w:val="32"/>
            </w:pPr>
            <w:r>
              <w:rPr>
                <w:rFonts w:hint="eastAsia"/>
              </w:rPr>
              <w:t>388</w:t>
            </w:r>
          </w:p>
        </w:tc>
        <w:tc>
          <w:tcPr>
            <w:tcW w:w="656" w:type="pct"/>
            <w:vAlign w:val="center"/>
          </w:tcPr>
          <w:p>
            <w:pPr>
              <w:pStyle w:val="32"/>
            </w:pPr>
            <w:r>
              <w:rPr>
                <w:rFonts w:hint="eastAsia"/>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57" w:type="pct"/>
            <w:vMerge w:val="continue"/>
            <w:tcBorders>
              <w:right w:val="single" w:color="auto" w:sz="6" w:space="0"/>
            </w:tcBorders>
            <w:noWrap/>
            <w:vAlign w:val="center"/>
          </w:tcPr>
          <w:p>
            <w:pPr>
              <w:pStyle w:val="32"/>
            </w:pPr>
          </w:p>
        </w:tc>
        <w:tc>
          <w:tcPr>
            <w:tcW w:w="1621" w:type="pct"/>
            <w:noWrap/>
            <w:vAlign w:val="center"/>
          </w:tcPr>
          <w:p>
            <w:pPr>
              <w:pStyle w:val="32"/>
            </w:pPr>
            <w:r>
              <w:rPr>
                <w:rFonts w:hint="eastAsia"/>
              </w:rPr>
              <w:t>循环水泵</w:t>
            </w:r>
          </w:p>
        </w:tc>
        <w:tc>
          <w:tcPr>
            <w:tcW w:w="655" w:type="pct"/>
            <w:vAlign w:val="center"/>
          </w:tcPr>
          <w:p>
            <w:pPr>
              <w:pStyle w:val="32"/>
            </w:pPr>
            <w:r>
              <w:rPr>
                <w:rFonts w:hint="eastAsia"/>
              </w:rPr>
              <w:t>62</w:t>
            </w:r>
          </w:p>
        </w:tc>
        <w:tc>
          <w:tcPr>
            <w:tcW w:w="655" w:type="pct"/>
            <w:vAlign w:val="center"/>
          </w:tcPr>
          <w:p>
            <w:pPr>
              <w:pStyle w:val="32"/>
            </w:pPr>
            <w:r>
              <w:rPr>
                <w:rFonts w:hint="eastAsia"/>
              </w:rPr>
              <w:t>263</w:t>
            </w:r>
          </w:p>
        </w:tc>
        <w:tc>
          <w:tcPr>
            <w:tcW w:w="655" w:type="pct"/>
            <w:vAlign w:val="center"/>
          </w:tcPr>
          <w:p>
            <w:pPr>
              <w:pStyle w:val="32"/>
            </w:pPr>
            <w:r>
              <w:rPr>
                <w:rFonts w:hint="eastAsia"/>
              </w:rPr>
              <w:t>352</w:t>
            </w:r>
          </w:p>
        </w:tc>
        <w:tc>
          <w:tcPr>
            <w:tcW w:w="656" w:type="pct"/>
            <w:vAlign w:val="center"/>
          </w:tcPr>
          <w:p>
            <w:pPr>
              <w:pStyle w:val="32"/>
            </w:pPr>
            <w:r>
              <w:rPr>
                <w:rFonts w:hint="eastAsia"/>
              </w:rPr>
              <w:t>174</w:t>
            </w:r>
          </w:p>
        </w:tc>
      </w:tr>
    </w:tbl>
    <w:p>
      <w:pPr>
        <w:pStyle w:val="8"/>
      </w:pPr>
      <w:r>
        <w:rPr>
          <w:rFonts w:hint="eastAsia"/>
        </w:rPr>
        <w:t>6.5.3预测模式</w:t>
      </w:r>
    </w:p>
    <w:p>
      <w:pPr>
        <w:pStyle w:val="7"/>
        <w:ind w:firstLine="480"/>
      </w:pPr>
      <w:r>
        <w:rPr>
          <w:rFonts w:hint="eastAsia"/>
        </w:rPr>
        <w:t>环境噪声预测点与现状监测点一致，预测点处的噪声级与声源的声压级，声功率级、声源指向、预测点与发声源距离以及遮挡物引起的衰减、空气吸收引起的衰减、地面效应引起的附加衰减等因素有关，针对本工程声源与预测点的相对位置关系。首先计算各噪声源到预测点的声级，然后进行各噪声源叠加计算。户外声传播衰减计算模式及声压级叠加模式如下：</w:t>
      </w:r>
    </w:p>
    <w:p>
      <w:pPr>
        <w:pStyle w:val="7"/>
        <w:ind w:firstLine="480"/>
      </w:pPr>
      <w:r>
        <w:rPr>
          <w:rFonts w:hint="eastAsia"/>
        </w:rPr>
        <w:t>（1）室内声源等效室外声源声功率级计算模式：</w:t>
      </w:r>
    </w:p>
    <w:p>
      <w:pPr>
        <w:pStyle w:val="7"/>
        <w:ind w:firstLine="480"/>
      </w:pPr>
      <w:r>
        <w:drawing>
          <wp:inline distT="0" distB="0" distL="0" distR="0">
            <wp:extent cx="1219200" cy="2286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219200" cy="228600"/>
                    </a:xfrm>
                    <a:prstGeom prst="rect">
                      <a:avLst/>
                    </a:prstGeom>
                    <a:noFill/>
                    <a:ln>
                      <a:noFill/>
                    </a:ln>
                  </pic:spPr>
                </pic:pic>
              </a:graphicData>
            </a:graphic>
          </wp:inline>
        </w:drawing>
      </w:r>
    </w:p>
    <w:p>
      <w:pPr>
        <w:pStyle w:val="7"/>
        <w:ind w:firstLine="480"/>
      </w:pPr>
      <w:r>
        <w:t>式中：TL—隔墙(或窗户)倍频带的隔声量，dB(A)。</w:t>
      </w:r>
    </w:p>
    <w:p>
      <w:pPr>
        <w:pStyle w:val="7"/>
        <w:ind w:firstLine="480"/>
      </w:pPr>
      <w:r>
        <w:rPr>
          <w:rFonts w:hint="eastAsia"/>
        </w:rPr>
        <w:t>（2）</w:t>
      </w:r>
      <w:r>
        <w:t>本工程声源在预测点产生的等效声级贡献值(Leqg)计算模式：</w:t>
      </w:r>
    </w:p>
    <w:p>
      <w:pPr>
        <w:pStyle w:val="7"/>
        <w:ind w:firstLine="480"/>
        <w:jc w:val="center"/>
      </w:pPr>
      <w:r>
        <w:drawing>
          <wp:inline distT="0" distB="0" distL="0" distR="0">
            <wp:extent cx="1676400" cy="4572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1676400" cy="457200"/>
                    </a:xfrm>
                    <a:prstGeom prst="rect">
                      <a:avLst/>
                    </a:prstGeom>
                    <a:noFill/>
                    <a:ln>
                      <a:noFill/>
                    </a:ln>
                  </pic:spPr>
                </pic:pic>
              </a:graphicData>
            </a:graphic>
          </wp:inline>
        </w:drawing>
      </w:r>
    </w:p>
    <w:p>
      <w:pPr>
        <w:pStyle w:val="7"/>
        <w:ind w:firstLine="480"/>
      </w:pPr>
      <w:r>
        <w:t>式中：</w:t>
      </w:r>
    </w:p>
    <w:p>
      <w:pPr>
        <w:pStyle w:val="7"/>
        <w:ind w:firstLine="480"/>
      </w:pPr>
      <w:r>
        <w:t>Leqg—建设项目声源在预测点产生的等效声级贡献值</w:t>
      </w:r>
      <w:r>
        <w:rPr>
          <w:rFonts w:hint="eastAsia"/>
          <w:lang w:eastAsia="zh-CN"/>
        </w:rPr>
        <w:t>，</w:t>
      </w:r>
      <w:r>
        <w:t>dB(A)；</w:t>
      </w:r>
    </w:p>
    <w:p>
      <w:pPr>
        <w:pStyle w:val="7"/>
        <w:ind w:firstLine="480"/>
      </w:pPr>
      <w:r>
        <w:t>LAi—i声源在预测点产生的A声级，dB(A)；</w:t>
      </w:r>
    </w:p>
    <w:p>
      <w:pPr>
        <w:pStyle w:val="7"/>
        <w:ind w:firstLine="480"/>
      </w:pPr>
      <w:r>
        <w:t>T—预测计算的时间段，s；</w:t>
      </w:r>
    </w:p>
    <w:p>
      <w:pPr>
        <w:pStyle w:val="7"/>
        <w:ind w:firstLine="480"/>
      </w:pPr>
      <w:r>
        <w:t>ti—t声源在T时段内的运行时间，s。</w:t>
      </w:r>
    </w:p>
    <w:p>
      <w:pPr>
        <w:pStyle w:val="7"/>
        <w:ind w:firstLine="480"/>
      </w:pPr>
      <w:r>
        <w:rPr>
          <w:rFonts w:hint="eastAsia"/>
        </w:rPr>
        <w:t>（3）</w:t>
      </w:r>
      <w:r>
        <w:t>距离衰减</w:t>
      </w:r>
    </w:p>
    <w:p>
      <w:pPr>
        <w:pStyle w:val="7"/>
        <w:ind w:firstLine="480"/>
        <w:jc w:val="center"/>
        <w:rPr>
          <w:kern w:val="0"/>
        </w:rPr>
      </w:pPr>
      <w:r>
        <w:rPr>
          <w:kern w:val="0"/>
        </w:rPr>
        <w:fldChar w:fldCharType="begin"/>
      </w:r>
      <w:r>
        <w:rPr>
          <w:kern w:val="0"/>
        </w:rPr>
        <w:instrText xml:space="preserve"> QUOTE </w:instrText>
      </w:r>
      <w:r>
        <w:rPr>
          <w:kern w:val="0"/>
          <w:position w:val="-23"/>
        </w:rPr>
        <w:drawing>
          <wp:inline distT="0" distB="0" distL="0" distR="0">
            <wp:extent cx="381000" cy="381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81000" cy="381000"/>
                    </a:xfrm>
                    <a:prstGeom prst="rect">
                      <a:avLst/>
                    </a:prstGeom>
                    <a:noFill/>
                    <a:ln>
                      <a:noFill/>
                    </a:ln>
                  </pic:spPr>
                </pic:pic>
              </a:graphicData>
            </a:graphic>
          </wp:inline>
        </w:drawing>
      </w:r>
      <w:r>
        <w:rPr>
          <w:kern w:val="0"/>
        </w:rPr>
        <w:fldChar w:fldCharType="separate"/>
      </w:r>
      <w:r>
        <w:rPr>
          <w:kern w:val="0"/>
          <w:position w:val="-23"/>
        </w:rPr>
        <w:drawing>
          <wp:inline distT="0" distB="0" distL="0" distR="0">
            <wp:extent cx="381000" cy="381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81000" cy="381000"/>
                    </a:xfrm>
                    <a:prstGeom prst="rect">
                      <a:avLst/>
                    </a:prstGeom>
                    <a:noFill/>
                    <a:ln>
                      <a:noFill/>
                    </a:ln>
                  </pic:spPr>
                </pic:pic>
              </a:graphicData>
            </a:graphic>
          </wp:inline>
        </w:drawing>
      </w:r>
      <w:r>
        <w:rPr>
          <w:kern w:val="0"/>
        </w:rPr>
        <w:fldChar w:fldCharType="end"/>
      </w:r>
      <w:r>
        <w:rPr>
          <w:kern w:val="0"/>
        </w:rPr>
        <w:t>=</w:t>
      </w:r>
      <w:r>
        <w:rPr>
          <w:kern w:val="0"/>
        </w:rPr>
        <w:fldChar w:fldCharType="begin"/>
      </w:r>
      <w:r>
        <w:rPr>
          <w:kern w:val="0"/>
        </w:rPr>
        <w:instrText xml:space="preserve"> QUOTE </w:instrText>
      </w:r>
      <w:r>
        <w:rPr>
          <w:kern w:val="0"/>
          <w:position w:val="-23"/>
        </w:rPr>
        <w:drawing>
          <wp:inline distT="0" distB="0" distL="0" distR="0">
            <wp:extent cx="457200" cy="381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57200" cy="381000"/>
                    </a:xfrm>
                    <a:prstGeom prst="rect">
                      <a:avLst/>
                    </a:prstGeom>
                    <a:noFill/>
                    <a:ln>
                      <a:noFill/>
                    </a:ln>
                  </pic:spPr>
                </pic:pic>
              </a:graphicData>
            </a:graphic>
          </wp:inline>
        </w:drawing>
      </w:r>
      <w:r>
        <w:rPr>
          <w:kern w:val="0"/>
        </w:rPr>
        <w:fldChar w:fldCharType="separate"/>
      </w:r>
      <w:r>
        <w:rPr>
          <w:kern w:val="0"/>
          <w:position w:val="-23"/>
        </w:rPr>
        <w:drawing>
          <wp:inline distT="0" distB="0" distL="0" distR="0">
            <wp:extent cx="457200" cy="3810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457200" cy="381000"/>
                    </a:xfrm>
                    <a:prstGeom prst="rect">
                      <a:avLst/>
                    </a:prstGeom>
                    <a:noFill/>
                    <a:ln>
                      <a:noFill/>
                    </a:ln>
                  </pic:spPr>
                </pic:pic>
              </a:graphicData>
            </a:graphic>
          </wp:inline>
        </w:drawing>
      </w:r>
      <w:r>
        <w:rPr>
          <w:kern w:val="0"/>
        </w:rPr>
        <w:fldChar w:fldCharType="end"/>
      </w:r>
      <w:r>
        <w:rPr>
          <w:kern w:val="0"/>
        </w:rPr>
        <w:t>-20lg</w:t>
      </w:r>
      <w:r>
        <w:rPr>
          <w:kern w:val="0"/>
        </w:rPr>
        <w:fldChar w:fldCharType="begin"/>
      </w:r>
      <w:r>
        <w:rPr>
          <w:kern w:val="0"/>
        </w:rPr>
        <w:instrText xml:space="preserve"> QUOTE </w:instrText>
      </w:r>
      <w:r>
        <w:rPr>
          <w:kern w:val="0"/>
          <w:position w:val="-23"/>
        </w:rPr>
        <w:drawing>
          <wp:inline distT="0" distB="0" distL="0" distR="0">
            <wp:extent cx="304800" cy="381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04800" cy="381000"/>
                    </a:xfrm>
                    <a:prstGeom prst="rect">
                      <a:avLst/>
                    </a:prstGeom>
                    <a:noFill/>
                    <a:ln>
                      <a:noFill/>
                    </a:ln>
                  </pic:spPr>
                </pic:pic>
              </a:graphicData>
            </a:graphic>
          </wp:inline>
        </w:drawing>
      </w:r>
      <w:r>
        <w:rPr>
          <w:kern w:val="0"/>
        </w:rPr>
        <w:fldChar w:fldCharType="separate"/>
      </w:r>
      <w:r>
        <w:rPr>
          <w:kern w:val="0"/>
          <w:position w:val="-23"/>
        </w:rPr>
        <w:drawing>
          <wp:inline distT="0" distB="0" distL="0" distR="0">
            <wp:extent cx="304800" cy="381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304800" cy="381000"/>
                    </a:xfrm>
                    <a:prstGeom prst="rect">
                      <a:avLst/>
                    </a:prstGeom>
                    <a:noFill/>
                    <a:ln>
                      <a:noFill/>
                    </a:ln>
                  </pic:spPr>
                </pic:pic>
              </a:graphicData>
            </a:graphic>
          </wp:inline>
        </w:drawing>
      </w:r>
      <w:r>
        <w:rPr>
          <w:kern w:val="0"/>
        </w:rPr>
        <w:fldChar w:fldCharType="end"/>
      </w:r>
    </w:p>
    <w:p>
      <w:pPr>
        <w:pStyle w:val="7"/>
        <w:ind w:firstLine="480"/>
      </w:pPr>
      <w:r>
        <w:t>式中：</w:t>
      </w:r>
      <w:r>
        <w:rPr>
          <w:rFonts w:hint="eastAsia"/>
        </w:rPr>
        <w:t>L</w:t>
      </w:r>
      <w:r>
        <w:rPr>
          <w:rFonts w:hint="eastAsia"/>
          <w:vertAlign w:val="subscript"/>
        </w:rPr>
        <w:t>p</w:t>
      </w:r>
      <w:r>
        <w:rPr>
          <w:rFonts w:hint="eastAsia"/>
        </w:rPr>
        <w:t>(r)</w:t>
      </w:r>
      <w:r>
        <w:t>－距离声源r处的倍频带声压级，dB(A)；</w:t>
      </w:r>
    </w:p>
    <w:p>
      <w:pPr>
        <w:pStyle w:val="7"/>
        <w:ind w:firstLine="1200" w:firstLineChars="500"/>
      </w:pPr>
      <w:r>
        <w:rPr>
          <w:rFonts w:hint="eastAsia"/>
        </w:rPr>
        <w:t>L</w:t>
      </w:r>
      <w:r>
        <w:rPr>
          <w:rFonts w:hint="eastAsia"/>
          <w:vertAlign w:val="subscript"/>
        </w:rPr>
        <w:t>p</w:t>
      </w:r>
      <w:r>
        <w:rPr>
          <w:rFonts w:hint="eastAsia"/>
        </w:rPr>
        <w:t>(r</w:t>
      </w:r>
      <w:r>
        <w:rPr>
          <w:rFonts w:hint="eastAsia"/>
          <w:vertAlign w:val="subscript"/>
        </w:rPr>
        <w:t>o</w:t>
      </w:r>
      <w:r>
        <w:rPr>
          <w:rFonts w:hint="eastAsia"/>
        </w:rPr>
        <w:t>)</w:t>
      </w:r>
      <w:r>
        <w:t>－参考位置r</w:t>
      </w:r>
      <w:r>
        <w:rPr>
          <w:vertAlign w:val="subscript"/>
        </w:rPr>
        <w:t>0</w:t>
      </w:r>
      <w:r>
        <w:t>处的倍频带声压级，dB(A)；</w:t>
      </w:r>
    </w:p>
    <w:p>
      <w:pPr>
        <w:pStyle w:val="7"/>
        <w:ind w:firstLine="1200" w:firstLineChars="500"/>
      </w:pPr>
      <w:r>
        <w:t>r</w:t>
      </w:r>
      <w:r>
        <w:rPr>
          <w:vertAlign w:val="subscript"/>
        </w:rPr>
        <w:t>0</w:t>
      </w:r>
      <w:r>
        <w:t>－参考位置距离声源的距离，m;</w:t>
      </w:r>
    </w:p>
    <w:p>
      <w:pPr>
        <w:pStyle w:val="7"/>
        <w:ind w:firstLine="1200" w:firstLineChars="500"/>
      </w:pPr>
      <w:r>
        <w:t>r－预测点距离声源的距离，m。</w:t>
      </w:r>
    </w:p>
    <w:p>
      <w:pPr>
        <w:autoSpaceDE w:val="0"/>
        <w:autoSpaceDN w:val="0"/>
        <w:adjustRightInd w:val="0"/>
        <w:snapToGrid w:val="0"/>
        <w:spacing w:line="360" w:lineRule="auto"/>
        <w:ind w:firstLine="600" w:firstLineChars="250"/>
      </w:pPr>
      <w:r>
        <w:rPr>
          <w:rFonts w:hint="eastAsia"/>
        </w:rPr>
        <w:t>（4）</w:t>
      </w:r>
      <w:r>
        <w:t>预测点的预测等效声级(L</w:t>
      </w:r>
      <w:r>
        <w:rPr>
          <w:vertAlign w:val="subscript"/>
        </w:rPr>
        <w:t>eq</w:t>
      </w:r>
      <w:r>
        <w:t>)计算公式</w:t>
      </w:r>
    </w:p>
    <w:p>
      <w:pPr>
        <w:pStyle w:val="7"/>
        <w:ind w:firstLine="0" w:firstLineChars="0"/>
        <w:jc w:val="center"/>
      </w:pPr>
      <w:r>
        <w:drawing>
          <wp:inline distT="0" distB="0" distL="0" distR="0">
            <wp:extent cx="1828800" cy="2286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828800" cy="228600"/>
                    </a:xfrm>
                    <a:prstGeom prst="rect">
                      <a:avLst/>
                    </a:prstGeom>
                    <a:noFill/>
                    <a:ln>
                      <a:noFill/>
                    </a:ln>
                  </pic:spPr>
                </pic:pic>
              </a:graphicData>
            </a:graphic>
          </wp:inline>
        </w:drawing>
      </w:r>
    </w:p>
    <w:p>
      <w:pPr>
        <w:pStyle w:val="7"/>
        <w:ind w:firstLine="480"/>
      </w:pPr>
      <w:r>
        <w:t>式中：</w:t>
      </w:r>
      <w:r>
        <w:rPr>
          <w:rFonts w:hint="eastAsia"/>
        </w:rPr>
        <w:t>L</w:t>
      </w:r>
      <w:r>
        <w:rPr>
          <w:rFonts w:hint="eastAsia"/>
          <w:vertAlign w:val="subscript"/>
        </w:rPr>
        <w:t>eqg</w:t>
      </w:r>
      <w:r>
        <w:t>－建设项目声源在预测点的等效声级贡献值，dB(A)；</w:t>
      </w:r>
    </w:p>
    <w:p>
      <w:pPr>
        <w:pStyle w:val="7"/>
        <w:ind w:firstLine="1200" w:firstLineChars="500"/>
      </w:pPr>
      <w:r>
        <w:rPr>
          <w:rFonts w:hint="eastAsia"/>
        </w:rPr>
        <w:t>L</w:t>
      </w:r>
      <w:r>
        <w:rPr>
          <w:rFonts w:hint="eastAsia"/>
          <w:vertAlign w:val="subscript"/>
        </w:rPr>
        <w:t>eqb</w:t>
      </w:r>
      <w:r>
        <w:t>－预测点的背景值；dB(A)。</w:t>
      </w:r>
    </w:p>
    <w:p>
      <w:pPr>
        <w:pStyle w:val="8"/>
      </w:pPr>
      <w:r>
        <w:rPr>
          <w:rFonts w:hint="eastAsia"/>
        </w:rPr>
        <w:t>6.4.4预测结果</w:t>
      </w:r>
    </w:p>
    <w:p>
      <w:pPr>
        <w:pStyle w:val="7"/>
        <w:ind w:firstLine="482"/>
        <w:rPr>
          <w:b/>
          <w:bCs/>
        </w:rPr>
      </w:pPr>
      <w:r>
        <w:rPr>
          <w:rFonts w:hint="eastAsia"/>
          <w:b/>
          <w:bCs/>
        </w:rPr>
        <w:t>（1）厂界噪声分析</w:t>
      </w:r>
    </w:p>
    <w:p>
      <w:pPr>
        <w:pStyle w:val="7"/>
        <w:ind w:firstLine="480"/>
      </w:pPr>
      <w:r>
        <w:rPr>
          <w:rFonts w:hint="eastAsia"/>
        </w:rPr>
        <w:t>本次环评噪声环境影响采用一、二阶段的叠加污染源进行预测和分析。采用上述模式计算，噪声预测结果详见表6.5-3。</w:t>
      </w:r>
    </w:p>
    <w:p>
      <w:pPr>
        <w:pStyle w:val="31"/>
      </w:pPr>
      <w:r>
        <w:rPr>
          <w:rFonts w:hint="eastAsia"/>
        </w:rPr>
        <w:t>表6.5-3  厂界噪声预测结果</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2"/>
        <w:gridCol w:w="1686"/>
        <w:gridCol w:w="2165"/>
        <w:gridCol w:w="1676"/>
        <w:gridCol w:w="1092"/>
        <w:gridCol w:w="1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blHeader/>
          <w:jc w:val="center"/>
        </w:trPr>
        <w:tc>
          <w:tcPr>
            <w:tcW w:w="459" w:type="pct"/>
            <w:vMerge w:val="restart"/>
            <w:vAlign w:val="center"/>
          </w:tcPr>
          <w:p>
            <w:pPr>
              <w:pStyle w:val="32"/>
            </w:pPr>
            <w:r>
              <w:t>编号</w:t>
            </w:r>
          </w:p>
        </w:tc>
        <w:tc>
          <w:tcPr>
            <w:tcW w:w="990" w:type="pct"/>
            <w:vMerge w:val="restart"/>
            <w:vAlign w:val="center"/>
          </w:tcPr>
          <w:p>
            <w:pPr>
              <w:pStyle w:val="32"/>
            </w:pPr>
            <w:r>
              <w:t>监测</w:t>
            </w:r>
          </w:p>
          <w:p>
            <w:pPr>
              <w:pStyle w:val="32"/>
            </w:pPr>
            <w:r>
              <w:t>点位</w:t>
            </w:r>
          </w:p>
        </w:tc>
        <w:tc>
          <w:tcPr>
            <w:tcW w:w="1271" w:type="pct"/>
            <w:vMerge w:val="restart"/>
            <w:vAlign w:val="center"/>
          </w:tcPr>
          <w:p>
            <w:pPr>
              <w:pStyle w:val="32"/>
            </w:pPr>
            <w:r>
              <w:rPr>
                <w:rFonts w:hint="eastAsia"/>
              </w:rPr>
              <w:t>本项目贡献值（昼夜）</w:t>
            </w:r>
          </w:p>
        </w:tc>
        <w:tc>
          <w:tcPr>
            <w:tcW w:w="984" w:type="pct"/>
            <w:vMerge w:val="restart"/>
            <w:vAlign w:val="center"/>
          </w:tcPr>
          <w:p>
            <w:pPr>
              <w:pStyle w:val="32"/>
            </w:pPr>
            <w:r>
              <w:rPr>
                <w:rFonts w:hint="eastAsia"/>
              </w:rPr>
              <w:t>标准值</w:t>
            </w:r>
          </w:p>
        </w:tc>
        <w:tc>
          <w:tcPr>
            <w:tcW w:w="1295" w:type="pct"/>
            <w:gridSpan w:val="2"/>
            <w:vAlign w:val="center"/>
          </w:tcPr>
          <w:p>
            <w:pPr>
              <w:pStyle w:val="32"/>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tblHeader/>
          <w:jc w:val="center"/>
        </w:trPr>
        <w:tc>
          <w:tcPr>
            <w:tcW w:w="459" w:type="pct"/>
            <w:vMerge w:val="continue"/>
            <w:vAlign w:val="center"/>
          </w:tcPr>
          <w:p>
            <w:pPr>
              <w:pStyle w:val="32"/>
            </w:pPr>
          </w:p>
        </w:tc>
        <w:tc>
          <w:tcPr>
            <w:tcW w:w="990" w:type="pct"/>
            <w:vMerge w:val="continue"/>
            <w:vAlign w:val="center"/>
          </w:tcPr>
          <w:p>
            <w:pPr>
              <w:pStyle w:val="32"/>
            </w:pPr>
          </w:p>
        </w:tc>
        <w:tc>
          <w:tcPr>
            <w:tcW w:w="1271" w:type="pct"/>
            <w:vMerge w:val="continue"/>
            <w:vAlign w:val="center"/>
          </w:tcPr>
          <w:p>
            <w:pPr>
              <w:pStyle w:val="32"/>
            </w:pPr>
          </w:p>
        </w:tc>
        <w:tc>
          <w:tcPr>
            <w:tcW w:w="984" w:type="pct"/>
            <w:vMerge w:val="continue"/>
            <w:vAlign w:val="center"/>
          </w:tcPr>
          <w:p>
            <w:pPr>
              <w:pStyle w:val="32"/>
            </w:pPr>
          </w:p>
        </w:tc>
        <w:tc>
          <w:tcPr>
            <w:tcW w:w="641" w:type="pct"/>
            <w:vAlign w:val="center"/>
          </w:tcPr>
          <w:p>
            <w:pPr>
              <w:pStyle w:val="32"/>
            </w:pPr>
            <w:r>
              <w:t>昼间</w:t>
            </w:r>
          </w:p>
        </w:tc>
        <w:tc>
          <w:tcPr>
            <w:tcW w:w="654" w:type="pct"/>
            <w:vAlign w:val="center"/>
          </w:tcPr>
          <w:p>
            <w:pPr>
              <w:pStyle w:val="32"/>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9" w:type="pct"/>
            <w:vAlign w:val="center"/>
          </w:tcPr>
          <w:p>
            <w:pPr>
              <w:pStyle w:val="32"/>
            </w:pPr>
            <w:r>
              <w:t>1#</w:t>
            </w:r>
          </w:p>
        </w:tc>
        <w:tc>
          <w:tcPr>
            <w:tcW w:w="990" w:type="pct"/>
            <w:vAlign w:val="center"/>
          </w:tcPr>
          <w:p>
            <w:pPr>
              <w:pStyle w:val="32"/>
            </w:pPr>
            <w:r>
              <w:t>厂界</w:t>
            </w:r>
            <w:r>
              <w:rPr>
                <w:rFonts w:hint="eastAsia"/>
              </w:rPr>
              <w:t>东</w:t>
            </w:r>
          </w:p>
        </w:tc>
        <w:tc>
          <w:tcPr>
            <w:tcW w:w="2360" w:type="dxa"/>
            <w:vAlign w:val="center"/>
          </w:tcPr>
          <w:p>
            <w:pPr>
              <w:pStyle w:val="32"/>
            </w:pPr>
            <w:r>
              <w:rPr>
                <w:rFonts w:hint="eastAsia"/>
              </w:rPr>
              <w:t>47.7</w:t>
            </w:r>
          </w:p>
        </w:tc>
        <w:tc>
          <w:tcPr>
            <w:tcW w:w="984" w:type="pct"/>
            <w:vMerge w:val="restart"/>
            <w:vAlign w:val="center"/>
          </w:tcPr>
          <w:p>
            <w:pPr>
              <w:pStyle w:val="32"/>
            </w:pPr>
            <w:r>
              <w:rPr>
                <w:rFonts w:hint="eastAsia"/>
              </w:rPr>
              <w:t>昼：65</w:t>
            </w:r>
          </w:p>
          <w:p>
            <w:pPr>
              <w:pStyle w:val="32"/>
            </w:pPr>
            <w:r>
              <w:rPr>
                <w:rFonts w:hint="eastAsia"/>
              </w:rPr>
              <w:t>夜：55</w:t>
            </w:r>
          </w:p>
        </w:tc>
        <w:tc>
          <w:tcPr>
            <w:tcW w:w="641" w:type="pct"/>
            <w:vAlign w:val="center"/>
          </w:tcPr>
          <w:p>
            <w:pPr>
              <w:pStyle w:val="32"/>
            </w:pPr>
            <w:r>
              <w:t>达标</w:t>
            </w:r>
          </w:p>
        </w:tc>
        <w:tc>
          <w:tcPr>
            <w:tcW w:w="654" w:type="pct"/>
            <w:vAlign w:val="center"/>
          </w:tcPr>
          <w:p>
            <w:pPr>
              <w:pStyle w:val="32"/>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9" w:type="pct"/>
            <w:vAlign w:val="center"/>
          </w:tcPr>
          <w:p>
            <w:pPr>
              <w:pStyle w:val="32"/>
            </w:pPr>
            <w:r>
              <w:t>2#</w:t>
            </w:r>
          </w:p>
        </w:tc>
        <w:tc>
          <w:tcPr>
            <w:tcW w:w="990" w:type="pct"/>
            <w:vAlign w:val="center"/>
          </w:tcPr>
          <w:p>
            <w:pPr>
              <w:pStyle w:val="32"/>
            </w:pPr>
            <w:r>
              <w:t>厂界</w:t>
            </w:r>
            <w:r>
              <w:rPr>
                <w:rFonts w:hint="eastAsia"/>
              </w:rPr>
              <w:t>南</w:t>
            </w:r>
          </w:p>
        </w:tc>
        <w:tc>
          <w:tcPr>
            <w:tcW w:w="2360" w:type="dxa"/>
            <w:vAlign w:val="center"/>
          </w:tcPr>
          <w:p>
            <w:pPr>
              <w:pStyle w:val="32"/>
            </w:pPr>
            <w:r>
              <w:rPr>
                <w:rFonts w:hint="eastAsia"/>
              </w:rPr>
              <w:t>41.7</w:t>
            </w:r>
          </w:p>
        </w:tc>
        <w:tc>
          <w:tcPr>
            <w:tcW w:w="984" w:type="pct"/>
            <w:vMerge w:val="continue"/>
            <w:vAlign w:val="center"/>
          </w:tcPr>
          <w:p>
            <w:pPr>
              <w:pStyle w:val="32"/>
            </w:pPr>
          </w:p>
        </w:tc>
        <w:tc>
          <w:tcPr>
            <w:tcW w:w="641" w:type="pct"/>
            <w:vAlign w:val="center"/>
          </w:tcPr>
          <w:p>
            <w:pPr>
              <w:pStyle w:val="32"/>
            </w:pPr>
            <w:r>
              <w:t>达标</w:t>
            </w:r>
          </w:p>
        </w:tc>
        <w:tc>
          <w:tcPr>
            <w:tcW w:w="654" w:type="pct"/>
            <w:vAlign w:val="center"/>
          </w:tcPr>
          <w:p>
            <w:pPr>
              <w:pStyle w:val="32"/>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9" w:type="pct"/>
            <w:vAlign w:val="center"/>
          </w:tcPr>
          <w:p>
            <w:pPr>
              <w:pStyle w:val="32"/>
            </w:pPr>
            <w:r>
              <w:t>3#</w:t>
            </w:r>
          </w:p>
        </w:tc>
        <w:tc>
          <w:tcPr>
            <w:tcW w:w="990" w:type="pct"/>
            <w:vAlign w:val="center"/>
          </w:tcPr>
          <w:p>
            <w:pPr>
              <w:pStyle w:val="32"/>
            </w:pPr>
            <w:r>
              <w:t>厂界</w:t>
            </w:r>
            <w:r>
              <w:rPr>
                <w:rFonts w:hint="eastAsia"/>
              </w:rPr>
              <w:t>西</w:t>
            </w:r>
          </w:p>
        </w:tc>
        <w:tc>
          <w:tcPr>
            <w:tcW w:w="2360" w:type="dxa"/>
            <w:vAlign w:val="center"/>
          </w:tcPr>
          <w:p>
            <w:pPr>
              <w:pStyle w:val="32"/>
            </w:pPr>
            <w:r>
              <w:rPr>
                <w:rFonts w:hint="eastAsia"/>
              </w:rPr>
              <w:t>40.4</w:t>
            </w:r>
          </w:p>
        </w:tc>
        <w:tc>
          <w:tcPr>
            <w:tcW w:w="984" w:type="pct"/>
            <w:vMerge w:val="continue"/>
            <w:vAlign w:val="center"/>
          </w:tcPr>
          <w:p>
            <w:pPr>
              <w:pStyle w:val="32"/>
            </w:pPr>
          </w:p>
        </w:tc>
        <w:tc>
          <w:tcPr>
            <w:tcW w:w="641" w:type="pct"/>
            <w:vAlign w:val="center"/>
          </w:tcPr>
          <w:p>
            <w:pPr>
              <w:pStyle w:val="32"/>
            </w:pPr>
            <w:r>
              <w:t>达标</w:t>
            </w:r>
          </w:p>
        </w:tc>
        <w:tc>
          <w:tcPr>
            <w:tcW w:w="654" w:type="pct"/>
            <w:vAlign w:val="center"/>
          </w:tcPr>
          <w:p>
            <w:pPr>
              <w:pStyle w:val="32"/>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459" w:type="pct"/>
            <w:vAlign w:val="center"/>
          </w:tcPr>
          <w:p>
            <w:pPr>
              <w:pStyle w:val="32"/>
            </w:pPr>
            <w:r>
              <w:t>4#</w:t>
            </w:r>
          </w:p>
        </w:tc>
        <w:tc>
          <w:tcPr>
            <w:tcW w:w="990" w:type="pct"/>
            <w:vAlign w:val="center"/>
          </w:tcPr>
          <w:p>
            <w:pPr>
              <w:pStyle w:val="32"/>
            </w:pPr>
            <w:r>
              <w:t>厂界</w:t>
            </w:r>
            <w:r>
              <w:rPr>
                <w:rFonts w:hint="eastAsia"/>
              </w:rPr>
              <w:t>北</w:t>
            </w:r>
          </w:p>
        </w:tc>
        <w:tc>
          <w:tcPr>
            <w:tcW w:w="2360" w:type="dxa"/>
            <w:vAlign w:val="center"/>
          </w:tcPr>
          <w:p>
            <w:pPr>
              <w:pStyle w:val="32"/>
            </w:pPr>
            <w:r>
              <w:rPr>
                <w:rFonts w:hint="eastAsia"/>
              </w:rPr>
              <w:t>38.4</w:t>
            </w:r>
          </w:p>
        </w:tc>
        <w:tc>
          <w:tcPr>
            <w:tcW w:w="984" w:type="pct"/>
            <w:vMerge w:val="continue"/>
            <w:vAlign w:val="center"/>
          </w:tcPr>
          <w:p>
            <w:pPr>
              <w:pStyle w:val="32"/>
            </w:pPr>
          </w:p>
        </w:tc>
        <w:tc>
          <w:tcPr>
            <w:tcW w:w="641" w:type="pct"/>
            <w:vAlign w:val="center"/>
          </w:tcPr>
          <w:p>
            <w:pPr>
              <w:pStyle w:val="32"/>
            </w:pPr>
            <w:r>
              <w:t>达标</w:t>
            </w:r>
          </w:p>
        </w:tc>
        <w:tc>
          <w:tcPr>
            <w:tcW w:w="654" w:type="pct"/>
            <w:vAlign w:val="center"/>
          </w:tcPr>
          <w:p>
            <w:pPr>
              <w:pStyle w:val="32"/>
            </w:pPr>
            <w:r>
              <w:t>达标</w:t>
            </w:r>
          </w:p>
        </w:tc>
      </w:tr>
    </w:tbl>
    <w:p>
      <w:pPr>
        <w:pStyle w:val="7"/>
        <w:ind w:firstLine="480"/>
      </w:pPr>
      <w:r>
        <w:rPr>
          <w:rFonts w:hint="eastAsia"/>
        </w:rPr>
        <w:t>由上表可见，采取环评规定的环保措施后，本项目厂界各预测点的噪声贡献值可以满足《工业企业厂界环境噪声排放标准》（GB12348-2008）表1中的3类标准要求。</w:t>
      </w:r>
    </w:p>
    <w:p>
      <w:pPr>
        <w:pStyle w:val="7"/>
        <w:ind w:firstLine="482"/>
        <w:rPr>
          <w:b/>
          <w:bCs/>
        </w:rPr>
      </w:pPr>
      <w:r>
        <w:rPr>
          <w:rFonts w:hint="eastAsia"/>
          <w:b/>
          <w:bCs/>
        </w:rPr>
        <w:t>（2）对环境保护目标的噪声影响</w:t>
      </w:r>
    </w:p>
    <w:p>
      <w:pPr>
        <w:pStyle w:val="7"/>
        <w:ind w:firstLine="480"/>
      </w:pPr>
      <w:r>
        <w:t>本项目运营期</w:t>
      </w:r>
      <w:r>
        <w:rPr>
          <w:rFonts w:hint="eastAsia"/>
        </w:rPr>
        <w:t>项目噪声对敏感点的影响</w:t>
      </w:r>
      <w:r>
        <w:t>预测结果见表</w:t>
      </w:r>
      <w:r>
        <w:rPr>
          <w:rFonts w:hint="eastAsia"/>
        </w:rPr>
        <w:t>6.5-4</w:t>
      </w:r>
      <w:r>
        <w:t>。</w:t>
      </w:r>
    </w:p>
    <w:p>
      <w:pPr>
        <w:pStyle w:val="41"/>
      </w:pPr>
      <w:r>
        <w:t>表</w:t>
      </w:r>
      <w:r>
        <w:rPr>
          <w:rFonts w:hint="eastAsia"/>
        </w:rPr>
        <w:t>6.5-4</w:t>
      </w:r>
      <w:r>
        <w:t xml:space="preserve"> </w:t>
      </w:r>
      <w:r>
        <w:rPr>
          <w:rFonts w:hint="eastAsia"/>
        </w:rPr>
        <w:t xml:space="preserve"> </w:t>
      </w:r>
      <w:r>
        <w:t>敏感点噪声预测结果 单位： dB（A）</w:t>
      </w:r>
    </w:p>
    <w:tbl>
      <w:tblPr>
        <w:tblStyle w:val="27"/>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426"/>
        <w:gridCol w:w="1214"/>
        <w:gridCol w:w="1217"/>
        <w:gridCol w:w="1217"/>
        <w:gridCol w:w="1217"/>
        <w:gridCol w:w="122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24" w:type="pct"/>
            <w:vMerge w:val="restart"/>
            <w:tcBorders>
              <w:top w:val="single" w:color="auto" w:sz="4" w:space="0"/>
              <w:left w:val="single" w:color="auto" w:sz="4" w:space="0"/>
              <w:right w:val="single" w:color="auto" w:sz="4" w:space="0"/>
            </w:tcBorders>
            <w:shd w:val="clear" w:color="auto" w:fill="auto"/>
            <w:vAlign w:val="center"/>
          </w:tcPr>
          <w:p>
            <w:pPr>
              <w:pStyle w:val="32"/>
            </w:pPr>
            <w:r>
              <w:rPr>
                <w:rFonts w:hint="eastAsia"/>
              </w:rPr>
              <w:t>项目区西南侧</w:t>
            </w:r>
            <w:r>
              <w:rPr>
                <w:rFonts w:hint="eastAsia"/>
                <w:lang w:val="en-US" w:eastAsia="zh-CN"/>
              </w:rPr>
              <w:t>95</w:t>
            </w:r>
            <w:r>
              <w:rPr>
                <w:rFonts w:hint="eastAsia"/>
              </w:rPr>
              <w:t>m处布标村</w:t>
            </w:r>
          </w:p>
        </w:tc>
        <w:tc>
          <w:tcPr>
            <w:tcW w:w="357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昼间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24" w:type="pct"/>
            <w:vMerge w:val="continue"/>
            <w:tcBorders>
              <w:left w:val="single" w:color="auto" w:sz="4" w:space="0"/>
              <w:right w:val="single" w:color="auto" w:sz="4" w:space="0"/>
            </w:tcBorders>
            <w:shd w:val="clear" w:color="auto" w:fill="auto"/>
            <w:vAlign w:val="center"/>
          </w:tcPr>
          <w:p>
            <w:pPr>
              <w:pStyle w:val="32"/>
            </w:pP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监测值</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贡献值</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叠加值</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标准值</w:t>
            </w:r>
          </w:p>
        </w:tc>
        <w:tc>
          <w:tcPr>
            <w:tcW w:w="71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24" w:type="pct"/>
            <w:vMerge w:val="continue"/>
            <w:tcBorders>
              <w:left w:val="single" w:color="auto" w:sz="4" w:space="0"/>
              <w:right w:val="single" w:color="auto" w:sz="4" w:space="0"/>
            </w:tcBorders>
            <w:shd w:val="clear" w:color="auto" w:fill="auto"/>
            <w:vAlign w:val="center"/>
          </w:tcPr>
          <w:p>
            <w:pPr>
              <w:pStyle w:val="32"/>
            </w:pP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46.7</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eastAsia" w:eastAsia="宋体"/>
                <w:lang w:eastAsia="zh-CN"/>
              </w:rPr>
            </w:pPr>
            <w:r>
              <w:rPr>
                <w:rFonts w:hint="eastAsia"/>
              </w:rPr>
              <w:t>2.</w:t>
            </w:r>
            <w:r>
              <w:rPr>
                <w:rFonts w:hint="eastAsia"/>
                <w:lang w:val="en-US" w:eastAsia="zh-CN"/>
              </w:rPr>
              <w:t>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default" w:eastAsia="宋体"/>
                <w:lang w:val="en-US" w:eastAsia="zh-CN"/>
              </w:rPr>
            </w:pPr>
            <w:r>
              <w:rPr>
                <w:rFonts w:hint="eastAsia"/>
                <w:lang w:val="en-US" w:eastAsia="zh-CN"/>
              </w:rPr>
              <w:t>48.8</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60</w:t>
            </w:r>
          </w:p>
        </w:tc>
        <w:tc>
          <w:tcPr>
            <w:tcW w:w="71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24" w:type="pct"/>
            <w:vMerge w:val="continue"/>
            <w:tcBorders>
              <w:left w:val="single" w:color="auto" w:sz="4" w:space="0"/>
              <w:right w:val="single" w:color="auto" w:sz="4" w:space="0"/>
            </w:tcBorders>
            <w:shd w:val="clear" w:color="auto" w:fill="auto"/>
            <w:vAlign w:val="center"/>
          </w:tcPr>
          <w:p>
            <w:pPr>
              <w:pStyle w:val="32"/>
            </w:pPr>
          </w:p>
        </w:tc>
        <w:tc>
          <w:tcPr>
            <w:tcW w:w="357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24" w:type="pct"/>
            <w:vMerge w:val="continue"/>
            <w:tcBorders>
              <w:left w:val="single" w:color="auto" w:sz="4" w:space="0"/>
              <w:right w:val="single" w:color="auto" w:sz="4" w:space="0"/>
            </w:tcBorders>
            <w:shd w:val="clear" w:color="auto" w:fill="auto"/>
            <w:vAlign w:val="center"/>
          </w:tcPr>
          <w:p>
            <w:pPr>
              <w:pStyle w:val="32"/>
            </w:pP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监测值</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贡献值</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叠加值</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标准值</w:t>
            </w:r>
          </w:p>
        </w:tc>
        <w:tc>
          <w:tcPr>
            <w:tcW w:w="71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424" w:type="pct"/>
            <w:vMerge w:val="continue"/>
            <w:tcBorders>
              <w:left w:val="single" w:color="auto" w:sz="4" w:space="0"/>
              <w:bottom w:val="single" w:color="auto" w:sz="4" w:space="0"/>
              <w:right w:val="single" w:color="auto" w:sz="4" w:space="0"/>
            </w:tcBorders>
            <w:shd w:val="clear" w:color="auto" w:fill="auto"/>
            <w:vAlign w:val="center"/>
          </w:tcPr>
          <w:p>
            <w:pPr>
              <w:pStyle w:val="32"/>
            </w:pP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40.4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eastAsia" w:eastAsia="宋体"/>
                <w:lang w:eastAsia="zh-CN"/>
              </w:rPr>
            </w:pPr>
            <w:r>
              <w:rPr>
                <w:rFonts w:hint="eastAsia"/>
              </w:rPr>
              <w:t>2.</w:t>
            </w:r>
            <w:r>
              <w:rPr>
                <w:rFonts w:hint="eastAsia"/>
                <w:lang w:val="en-US" w:eastAsia="zh-CN"/>
              </w:rPr>
              <w:t>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default" w:eastAsia="宋体"/>
                <w:lang w:val="en-US" w:eastAsia="zh-CN"/>
              </w:rPr>
            </w:pPr>
            <w:r>
              <w:rPr>
                <w:rFonts w:hint="eastAsia"/>
                <w:lang w:val="en-US" w:eastAsia="zh-CN"/>
              </w:rPr>
              <w:t>42.5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rPr>
                <w:rFonts w:hint="eastAsia"/>
              </w:rPr>
              <w:t>50</w:t>
            </w:r>
          </w:p>
        </w:tc>
        <w:tc>
          <w:tcPr>
            <w:tcW w:w="71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达标</w:t>
            </w:r>
          </w:p>
        </w:tc>
      </w:tr>
    </w:tbl>
    <w:p>
      <w:pPr>
        <w:pStyle w:val="7"/>
        <w:ind w:firstLine="480"/>
      </w:pPr>
      <w:r>
        <w:rPr>
          <w:rFonts w:hint="eastAsia"/>
        </w:rPr>
        <w:t>根据表6.5-4分析可知，项目营运期厂区噪声经采取措施、距离衰减后，周边最近的声环境敏感点为项目西侧厂界</w:t>
      </w:r>
      <w:r>
        <w:rPr>
          <w:rFonts w:hint="eastAsia"/>
          <w:lang w:val="en-US" w:eastAsia="zh-CN"/>
        </w:rPr>
        <w:t>95</w:t>
      </w:r>
      <w:r>
        <w:rPr>
          <w:rFonts w:hint="eastAsia"/>
        </w:rPr>
        <w:t>m处的布标村，其噪声小于《声环境质量标准》（GB3096-2008）2类区标准限值。因此项目对周边敏感点的影响不大，可以接受。</w:t>
      </w:r>
    </w:p>
    <w:p>
      <w:pPr>
        <w:pStyle w:val="7"/>
        <w:ind w:firstLine="480"/>
      </w:pPr>
      <w:r>
        <w:rPr>
          <w:rFonts w:hint="eastAsia"/>
        </w:rPr>
        <w:t>综上所述，项目产生的噪声通过距离衰减、厂房、围墙隔声后，东、南、西、北厂界排放可达《工业企业厂界环境噪声排放标准》（GB12348-2008）3类标准，达标排放的厂界噪声经距离衰减后对周边敏感点影响不大。</w:t>
      </w:r>
    </w:p>
    <w:p>
      <w:pPr>
        <w:pStyle w:val="5"/>
      </w:pPr>
      <w:bookmarkStart w:id="139" w:name="_Toc27866"/>
      <w:r>
        <w:rPr>
          <w:rFonts w:hint="eastAsia"/>
        </w:rPr>
        <w:t>6.6运行期固体废物产生及处置</w:t>
      </w:r>
      <w:bookmarkEnd w:id="139"/>
    </w:p>
    <w:p>
      <w:pPr>
        <w:pStyle w:val="8"/>
      </w:pPr>
      <w:r>
        <w:rPr>
          <w:rFonts w:hint="eastAsia"/>
        </w:rPr>
        <w:t>6.6.1固体废弃物的产生量及种类</w:t>
      </w:r>
    </w:p>
    <w:p>
      <w:pPr>
        <w:pStyle w:val="7"/>
        <w:ind w:firstLine="480"/>
      </w:pPr>
      <w:r>
        <w:rPr>
          <w:rFonts w:hint="eastAsia"/>
        </w:rPr>
        <w:t>根据工程分析可知，建设项目产生的固体废物主要包括危险废物、一般工业固体废物和生活垃圾。</w:t>
      </w:r>
    </w:p>
    <w:p>
      <w:pPr>
        <w:pStyle w:val="7"/>
        <w:ind w:firstLine="480"/>
      </w:pPr>
      <w:r>
        <w:rPr>
          <w:rFonts w:hint="eastAsia"/>
        </w:rPr>
        <w:t>一般固废包括：收集尘、废过滤板、不合格产品、下脚料、废包装物、生活垃圾、污泥。废过滤板经集中收集后定期外售处理；不合格产品经集中收集后作为原材料回用；下脚料经集中收集后作为原材料回用；废包装物经收集后作外售处理；生活垃圾收入垃圾箱由环卫部门定期清理；污泥环卫部门定期统一清理，按照一般工业固废处置要求进行处理。</w:t>
      </w:r>
    </w:p>
    <w:p>
      <w:pPr>
        <w:pStyle w:val="7"/>
        <w:ind w:firstLine="480"/>
      </w:pPr>
      <w:r>
        <w:rPr>
          <w:rFonts w:hint="eastAsia"/>
        </w:rPr>
        <w:t>危险废物包括：铝灰、废润滑油、废机油、污水处理站泥渣。铝灰属于危险废物，危废类别：HW48有色金属冶炼废物，危废代码：21-025-48，交由具有此类危险废物处置资质的公司进行处理。废润滑油、废机油，危废类别：HW08废矿物油与含矿物油废物，更换后采用桶装暂存于危废暂存间内，委托具有此类危险废物处置资质的公司进行处理；污水处理站油渣，属于危险废物，危废类别：HW08废矿物油与含矿物油废物，危废代码：900-210-08；收集后暂存于危废暂存间内，委托具有此类危险废物处置资质的公司进行处理。废酸液危废类别：HW34 废酸，危废代码：900-300-34使用酸进行清洗产生的废酸液；废碱液危废类别：HW35 其他废物，危废代码：900-352-35使用碱进行清洗产生的废碱液；废酸液、废碱液收集后交由具有此类危险废物处置资质的公司进行处理。</w:t>
      </w:r>
    </w:p>
    <w:p>
      <w:pPr>
        <w:pStyle w:val="7"/>
        <w:ind w:firstLine="480"/>
        <w:sectPr>
          <w:pgSz w:w="11906" w:h="16838"/>
          <w:pgMar w:top="1440" w:right="1800" w:bottom="1440" w:left="1800" w:header="851" w:footer="992" w:gutter="0"/>
          <w:cols w:space="425" w:num="1"/>
          <w:docGrid w:type="lines" w:linePitch="312" w:charSpace="0"/>
        </w:sectPr>
      </w:pPr>
      <w:r>
        <w:t>项目固废产生及排放情况见表</w:t>
      </w:r>
      <w:r>
        <w:rPr>
          <w:rFonts w:hint="eastAsia"/>
        </w:rPr>
        <w:t>6.6-1</w:t>
      </w:r>
      <w:r>
        <w:t>。</w:t>
      </w:r>
    </w:p>
    <w:p>
      <w:pPr>
        <w:pStyle w:val="31"/>
      </w:pPr>
      <w:r>
        <w:t>表</w:t>
      </w:r>
      <w:r>
        <w:rPr>
          <w:rFonts w:hint="eastAsia"/>
        </w:rPr>
        <w:t xml:space="preserve">6.6-1  </w:t>
      </w:r>
      <w:r>
        <w:t>项目固废产生及排放情况一览表</w:t>
      </w:r>
    </w:p>
    <w:tbl>
      <w:tblPr>
        <w:tblStyle w:val="27"/>
        <w:tblW w:w="5292" w:type="pct"/>
        <w:jc w:val="center"/>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Layout w:type="fixed"/>
        <w:tblCellMar>
          <w:top w:w="0" w:type="dxa"/>
          <w:left w:w="108" w:type="dxa"/>
          <w:bottom w:w="0" w:type="dxa"/>
          <w:right w:w="108" w:type="dxa"/>
        </w:tblCellMar>
      </w:tblPr>
      <w:tblGrid>
        <w:gridCol w:w="730"/>
        <w:gridCol w:w="778"/>
        <w:gridCol w:w="2556"/>
        <w:gridCol w:w="2118"/>
        <w:gridCol w:w="1107"/>
        <w:gridCol w:w="3150"/>
        <w:gridCol w:w="1389"/>
        <w:gridCol w:w="3174"/>
      </w:tblGrid>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tcBorders>
              <w:top w:val="single" w:color="000000" w:sz="2" w:space="0"/>
              <w:bottom w:val="single" w:color="000000" w:sz="2" w:space="0"/>
            </w:tcBorders>
            <w:vAlign w:val="center"/>
          </w:tcPr>
          <w:p>
            <w:pPr>
              <w:pStyle w:val="33"/>
            </w:pPr>
            <w:r>
              <w:rPr>
                <w:rFonts w:hint="eastAsia"/>
              </w:rPr>
              <w:t>工程分期</w:t>
            </w:r>
          </w:p>
        </w:tc>
        <w:tc>
          <w:tcPr>
            <w:tcW w:w="259" w:type="pct"/>
            <w:tcBorders>
              <w:top w:val="single" w:color="000000" w:sz="2" w:space="0"/>
              <w:bottom w:val="single" w:color="000000" w:sz="2" w:space="0"/>
            </w:tcBorders>
            <w:vAlign w:val="center"/>
          </w:tcPr>
          <w:p>
            <w:pPr>
              <w:pStyle w:val="33"/>
            </w:pPr>
            <w:r>
              <w:t>固废性质</w:t>
            </w:r>
          </w:p>
        </w:tc>
        <w:tc>
          <w:tcPr>
            <w:tcW w:w="851" w:type="pct"/>
            <w:tcBorders>
              <w:top w:val="single" w:color="000000" w:sz="2" w:space="0"/>
              <w:bottom w:val="single" w:color="000000" w:sz="2" w:space="0"/>
            </w:tcBorders>
            <w:vAlign w:val="center"/>
          </w:tcPr>
          <w:p>
            <w:pPr>
              <w:pStyle w:val="33"/>
            </w:pPr>
            <w:r>
              <w:t>固体废物名称</w:t>
            </w:r>
          </w:p>
        </w:tc>
        <w:tc>
          <w:tcPr>
            <w:tcW w:w="705" w:type="pct"/>
            <w:tcBorders>
              <w:top w:val="single" w:color="000000" w:sz="2" w:space="0"/>
              <w:bottom w:val="single" w:color="000000" w:sz="2" w:space="0"/>
            </w:tcBorders>
            <w:vAlign w:val="center"/>
          </w:tcPr>
          <w:p>
            <w:pPr>
              <w:pStyle w:val="33"/>
            </w:pPr>
            <w:r>
              <w:t>废物类别</w:t>
            </w:r>
          </w:p>
        </w:tc>
        <w:tc>
          <w:tcPr>
            <w:tcW w:w="368" w:type="pct"/>
            <w:tcBorders>
              <w:top w:val="single" w:color="000000" w:sz="2" w:space="0"/>
              <w:bottom w:val="single" w:color="000000" w:sz="2" w:space="0"/>
            </w:tcBorders>
            <w:vAlign w:val="center"/>
          </w:tcPr>
          <w:p>
            <w:pPr>
              <w:pStyle w:val="33"/>
            </w:pPr>
            <w:r>
              <w:t>产生量（t/a）</w:t>
            </w:r>
          </w:p>
        </w:tc>
        <w:tc>
          <w:tcPr>
            <w:tcW w:w="1049" w:type="pct"/>
            <w:tcBorders>
              <w:top w:val="single" w:color="000000" w:sz="2" w:space="0"/>
              <w:bottom w:val="single" w:color="000000" w:sz="2" w:space="0"/>
            </w:tcBorders>
            <w:vAlign w:val="center"/>
          </w:tcPr>
          <w:p>
            <w:pPr>
              <w:pStyle w:val="33"/>
            </w:pPr>
            <w:r>
              <w:t>处置方式</w:t>
            </w:r>
          </w:p>
        </w:tc>
        <w:tc>
          <w:tcPr>
            <w:tcW w:w="462" w:type="pct"/>
            <w:tcBorders>
              <w:top w:val="single" w:color="000000" w:sz="2" w:space="0"/>
              <w:bottom w:val="single" w:color="000000" w:sz="2" w:space="0"/>
            </w:tcBorders>
            <w:vAlign w:val="center"/>
          </w:tcPr>
          <w:p>
            <w:pPr>
              <w:pStyle w:val="33"/>
            </w:pPr>
            <w:r>
              <w:t>处置量（t/a）</w:t>
            </w:r>
          </w:p>
        </w:tc>
        <w:tc>
          <w:tcPr>
            <w:tcW w:w="1057" w:type="pct"/>
            <w:tcBorders>
              <w:top w:val="single" w:color="000000" w:sz="2" w:space="0"/>
              <w:bottom w:val="single" w:color="000000" w:sz="2" w:space="0"/>
            </w:tcBorders>
            <w:vAlign w:val="center"/>
          </w:tcPr>
          <w:p>
            <w:pPr>
              <w:pStyle w:val="33"/>
            </w:pPr>
            <w:r>
              <w:t>最终去向</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restart"/>
            <w:tcBorders>
              <w:top w:val="single" w:color="000000" w:sz="2" w:space="0"/>
            </w:tcBorders>
            <w:vAlign w:val="center"/>
          </w:tcPr>
          <w:p>
            <w:pPr>
              <w:pStyle w:val="33"/>
            </w:pPr>
            <w:r>
              <w:rPr>
                <w:rFonts w:hint="eastAsia"/>
              </w:rPr>
              <w:t>一期工程</w:t>
            </w:r>
          </w:p>
        </w:tc>
        <w:tc>
          <w:tcPr>
            <w:tcW w:w="259" w:type="pct"/>
            <w:vMerge w:val="restart"/>
            <w:tcBorders>
              <w:top w:val="single" w:color="000000" w:sz="2" w:space="0"/>
            </w:tcBorders>
            <w:vAlign w:val="center"/>
          </w:tcPr>
          <w:p>
            <w:pPr>
              <w:pStyle w:val="33"/>
            </w:pPr>
            <w:r>
              <w:t>危险废物</w:t>
            </w:r>
          </w:p>
        </w:tc>
        <w:tc>
          <w:tcPr>
            <w:tcW w:w="851" w:type="pct"/>
            <w:tcBorders>
              <w:top w:val="single" w:color="000000" w:sz="2" w:space="0"/>
              <w:bottom w:val="single" w:color="000000" w:sz="2" w:space="0"/>
            </w:tcBorders>
            <w:vAlign w:val="center"/>
          </w:tcPr>
          <w:p>
            <w:pPr>
              <w:pStyle w:val="33"/>
            </w:pPr>
            <w:r>
              <w:rPr>
                <w:rFonts w:hint="eastAsia"/>
              </w:rPr>
              <w:t>铝灰</w:t>
            </w:r>
            <w:r>
              <w:t>（S</w:t>
            </w:r>
            <w:r>
              <w:rPr>
                <w:rFonts w:hint="eastAsia"/>
              </w:rPr>
              <w:t>1-1</w:t>
            </w:r>
            <w:r>
              <w:t>）</w:t>
            </w:r>
          </w:p>
        </w:tc>
        <w:tc>
          <w:tcPr>
            <w:tcW w:w="705" w:type="pct"/>
            <w:tcBorders>
              <w:top w:val="single" w:color="000000" w:sz="2" w:space="0"/>
              <w:bottom w:val="single" w:color="000000" w:sz="2" w:space="0"/>
            </w:tcBorders>
            <w:vAlign w:val="center"/>
          </w:tcPr>
          <w:p>
            <w:pPr>
              <w:pStyle w:val="33"/>
            </w:pPr>
            <w:r>
              <w:rPr>
                <w:rFonts w:hint="eastAsia"/>
              </w:rPr>
              <w:t>HW48，</w:t>
            </w:r>
            <w:r>
              <w:t>321-024-48</w:t>
            </w:r>
          </w:p>
        </w:tc>
        <w:tc>
          <w:tcPr>
            <w:tcW w:w="368" w:type="pct"/>
            <w:tcBorders>
              <w:top w:val="single" w:color="000000" w:sz="2" w:space="0"/>
              <w:bottom w:val="single" w:color="000000" w:sz="2" w:space="0"/>
            </w:tcBorders>
            <w:vAlign w:val="center"/>
          </w:tcPr>
          <w:p>
            <w:pPr>
              <w:pStyle w:val="33"/>
            </w:pPr>
            <w:r>
              <w:rPr>
                <w:rFonts w:hint="eastAsia"/>
              </w:rPr>
              <w:t>3617.45</w:t>
            </w:r>
          </w:p>
        </w:tc>
        <w:tc>
          <w:tcPr>
            <w:tcW w:w="1049" w:type="pct"/>
            <w:tcBorders>
              <w:top w:val="single" w:color="000000" w:sz="2" w:space="0"/>
              <w:bottom w:val="single" w:color="000000" w:sz="2" w:space="0"/>
            </w:tcBorders>
            <w:vAlign w:val="center"/>
          </w:tcPr>
          <w:p>
            <w:pPr>
              <w:pStyle w:val="33"/>
            </w:pPr>
            <w:r>
              <w:rPr>
                <w:rFonts w:hint="eastAsia"/>
              </w:rPr>
              <w:t>暂存于厂内危废暂存间</w:t>
            </w:r>
            <w:r>
              <w:t>，委托有资质的单位进行处理处置</w:t>
            </w:r>
          </w:p>
        </w:tc>
        <w:tc>
          <w:tcPr>
            <w:tcW w:w="462" w:type="pct"/>
            <w:tcBorders>
              <w:top w:val="single" w:color="000000" w:sz="2" w:space="0"/>
              <w:bottom w:val="single" w:color="000000" w:sz="2" w:space="0"/>
            </w:tcBorders>
            <w:vAlign w:val="center"/>
          </w:tcPr>
          <w:p>
            <w:pPr>
              <w:pStyle w:val="33"/>
            </w:pPr>
            <w:r>
              <w:rPr>
                <w:rFonts w:hint="eastAsia"/>
              </w:rPr>
              <w:t>3617.45</w:t>
            </w:r>
          </w:p>
        </w:tc>
        <w:tc>
          <w:tcPr>
            <w:tcW w:w="1057" w:type="pct"/>
            <w:tcBorders>
              <w:top w:val="single" w:color="000000" w:sz="2" w:space="0"/>
              <w:bottom w:val="single" w:color="000000" w:sz="2" w:space="0"/>
            </w:tcBorders>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vAlign w:val="center"/>
          </w:tcPr>
          <w:p>
            <w:pPr>
              <w:pStyle w:val="33"/>
            </w:pPr>
          </w:p>
        </w:tc>
        <w:tc>
          <w:tcPr>
            <w:tcW w:w="259" w:type="pct"/>
            <w:vMerge w:val="continue"/>
            <w:vAlign w:val="center"/>
          </w:tcPr>
          <w:p>
            <w:pPr>
              <w:pStyle w:val="33"/>
            </w:pPr>
          </w:p>
        </w:tc>
        <w:tc>
          <w:tcPr>
            <w:tcW w:w="851" w:type="pct"/>
            <w:tcBorders>
              <w:top w:val="single" w:color="000000" w:sz="2" w:space="0"/>
              <w:bottom w:val="single" w:color="000000" w:sz="2" w:space="0"/>
            </w:tcBorders>
            <w:vAlign w:val="center"/>
          </w:tcPr>
          <w:p>
            <w:pPr>
              <w:pStyle w:val="33"/>
            </w:pPr>
            <w:r>
              <w:rPr>
                <w:rFonts w:hint="eastAsia"/>
              </w:rPr>
              <w:t>除尘系统</w:t>
            </w:r>
            <w:r>
              <w:t>收集尘（S</w:t>
            </w:r>
            <w:r>
              <w:rPr>
                <w:rFonts w:hint="eastAsia"/>
              </w:rPr>
              <w:t>1-</w:t>
            </w:r>
            <w:r>
              <w:t>2）</w:t>
            </w:r>
          </w:p>
        </w:tc>
        <w:tc>
          <w:tcPr>
            <w:tcW w:w="705" w:type="pct"/>
            <w:tcBorders>
              <w:top w:val="single" w:color="000000" w:sz="2" w:space="0"/>
              <w:bottom w:val="single" w:color="000000" w:sz="2" w:space="0"/>
            </w:tcBorders>
            <w:vAlign w:val="center"/>
          </w:tcPr>
          <w:p>
            <w:pPr>
              <w:pStyle w:val="33"/>
            </w:pPr>
            <w:r>
              <w:rPr>
                <w:rFonts w:hint="eastAsia"/>
              </w:rPr>
              <w:t>HW48，</w:t>
            </w:r>
            <w:r>
              <w:t>321-0</w:t>
            </w:r>
            <w:r>
              <w:rPr>
                <w:rFonts w:hint="eastAsia"/>
              </w:rPr>
              <w:t>3</w:t>
            </w:r>
            <w:r>
              <w:t>4-48</w:t>
            </w:r>
          </w:p>
        </w:tc>
        <w:tc>
          <w:tcPr>
            <w:tcW w:w="368" w:type="pct"/>
            <w:tcBorders>
              <w:top w:val="single" w:color="000000" w:sz="2" w:space="0"/>
              <w:bottom w:val="single" w:color="000000" w:sz="2" w:space="0"/>
            </w:tcBorders>
            <w:vAlign w:val="center"/>
          </w:tcPr>
          <w:p>
            <w:pPr>
              <w:pStyle w:val="33"/>
            </w:pPr>
            <w:r>
              <w:rPr>
                <w:rFonts w:hint="eastAsia"/>
              </w:rPr>
              <w:t>2123.7</w:t>
            </w:r>
          </w:p>
        </w:tc>
        <w:tc>
          <w:tcPr>
            <w:tcW w:w="1049" w:type="pct"/>
            <w:tcBorders>
              <w:top w:val="single" w:color="000000" w:sz="2" w:space="0"/>
              <w:bottom w:val="single" w:color="000000" w:sz="2" w:space="0"/>
            </w:tcBorders>
            <w:vAlign w:val="center"/>
          </w:tcPr>
          <w:p>
            <w:pPr>
              <w:pStyle w:val="33"/>
            </w:pPr>
            <w:r>
              <w:rPr>
                <w:rFonts w:hint="eastAsia"/>
              </w:rPr>
              <w:t>暂存于厂内危废暂存间</w:t>
            </w:r>
            <w:r>
              <w:t>，委托有资质的单位进行处理处置</w:t>
            </w:r>
          </w:p>
        </w:tc>
        <w:tc>
          <w:tcPr>
            <w:tcW w:w="462" w:type="pct"/>
            <w:tcBorders>
              <w:top w:val="single" w:color="000000" w:sz="2" w:space="0"/>
              <w:bottom w:val="single" w:color="000000" w:sz="2" w:space="0"/>
            </w:tcBorders>
            <w:vAlign w:val="center"/>
          </w:tcPr>
          <w:p>
            <w:pPr>
              <w:pStyle w:val="33"/>
            </w:pPr>
            <w:r>
              <w:rPr>
                <w:rFonts w:hint="eastAsia"/>
              </w:rPr>
              <w:t>2123.7</w:t>
            </w:r>
          </w:p>
        </w:tc>
        <w:tc>
          <w:tcPr>
            <w:tcW w:w="1057" w:type="pct"/>
            <w:tcBorders>
              <w:top w:val="single" w:color="000000" w:sz="2" w:space="0"/>
              <w:bottom w:val="single" w:color="000000" w:sz="2" w:space="0"/>
            </w:tcBorders>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vAlign w:val="center"/>
          </w:tcPr>
          <w:p>
            <w:pPr>
              <w:pStyle w:val="33"/>
            </w:pPr>
          </w:p>
        </w:tc>
        <w:tc>
          <w:tcPr>
            <w:tcW w:w="259" w:type="pct"/>
            <w:vMerge w:val="continue"/>
            <w:vAlign w:val="center"/>
          </w:tcPr>
          <w:p>
            <w:pPr>
              <w:pStyle w:val="33"/>
            </w:pPr>
          </w:p>
        </w:tc>
        <w:tc>
          <w:tcPr>
            <w:tcW w:w="851" w:type="pct"/>
            <w:tcBorders>
              <w:top w:val="single" w:color="000000" w:sz="2" w:space="0"/>
            </w:tcBorders>
            <w:vAlign w:val="center"/>
          </w:tcPr>
          <w:p>
            <w:pPr>
              <w:pStyle w:val="33"/>
            </w:pPr>
            <w:r>
              <w:t>废润滑油、废机油（S</w:t>
            </w:r>
            <w:r>
              <w:rPr>
                <w:rFonts w:hint="eastAsia"/>
              </w:rPr>
              <w:t>1-</w:t>
            </w:r>
            <w:r>
              <w:t>7）</w:t>
            </w:r>
          </w:p>
        </w:tc>
        <w:tc>
          <w:tcPr>
            <w:tcW w:w="705" w:type="pct"/>
            <w:tcBorders>
              <w:top w:val="single" w:color="000000" w:sz="2" w:space="0"/>
            </w:tcBorders>
            <w:vAlign w:val="center"/>
          </w:tcPr>
          <w:p>
            <w:pPr>
              <w:pStyle w:val="33"/>
            </w:pPr>
            <w:r>
              <w:t>HW08</w:t>
            </w:r>
            <w:r>
              <w:rPr>
                <w:rFonts w:hint="eastAsia"/>
              </w:rPr>
              <w:t>，</w:t>
            </w:r>
            <w:r>
              <w:t>900-214-08</w:t>
            </w:r>
          </w:p>
        </w:tc>
        <w:tc>
          <w:tcPr>
            <w:tcW w:w="368" w:type="pct"/>
            <w:tcBorders>
              <w:top w:val="single" w:color="000000" w:sz="2" w:space="0"/>
            </w:tcBorders>
            <w:vAlign w:val="center"/>
          </w:tcPr>
          <w:p>
            <w:pPr>
              <w:pStyle w:val="33"/>
            </w:pPr>
            <w:r>
              <w:rPr>
                <w:rFonts w:hint="eastAsia"/>
              </w:rPr>
              <w:t>1</w:t>
            </w:r>
          </w:p>
        </w:tc>
        <w:tc>
          <w:tcPr>
            <w:tcW w:w="1049" w:type="pct"/>
            <w:tcBorders>
              <w:top w:val="single" w:color="000000" w:sz="2" w:space="0"/>
            </w:tcBorders>
            <w:vAlign w:val="center"/>
          </w:tcPr>
          <w:p>
            <w:pPr>
              <w:pStyle w:val="33"/>
            </w:pPr>
            <w:r>
              <w:t>暂存在厂内危废暂存间，委托有资质的单位进行处理处置</w:t>
            </w:r>
          </w:p>
        </w:tc>
        <w:tc>
          <w:tcPr>
            <w:tcW w:w="462" w:type="pct"/>
            <w:tcBorders>
              <w:top w:val="single" w:color="000000" w:sz="2" w:space="0"/>
            </w:tcBorders>
            <w:vAlign w:val="center"/>
          </w:tcPr>
          <w:p>
            <w:pPr>
              <w:pStyle w:val="33"/>
            </w:pPr>
            <w:r>
              <w:rPr>
                <w:rFonts w:hint="eastAsia"/>
              </w:rPr>
              <w:t>1</w:t>
            </w:r>
          </w:p>
        </w:tc>
        <w:tc>
          <w:tcPr>
            <w:tcW w:w="1057" w:type="pct"/>
            <w:tcBorders>
              <w:top w:val="single" w:color="000000" w:sz="2" w:space="0"/>
            </w:tcBorders>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rPr>
                <w:rFonts w:hint="eastAsia"/>
              </w:rPr>
              <w:t>废酸液（S1-</w:t>
            </w:r>
            <w:r>
              <w:t>8</w:t>
            </w:r>
            <w:r>
              <w:rPr>
                <w:rFonts w:hint="eastAsia"/>
              </w:rPr>
              <w:t>）</w:t>
            </w:r>
          </w:p>
        </w:tc>
        <w:tc>
          <w:tcPr>
            <w:tcW w:w="705" w:type="pct"/>
            <w:vAlign w:val="center"/>
          </w:tcPr>
          <w:p>
            <w:pPr>
              <w:pStyle w:val="33"/>
            </w:pPr>
            <w:r>
              <w:rPr>
                <w:rFonts w:hint="eastAsia"/>
              </w:rPr>
              <w:t>HW34，900-300-34</w:t>
            </w:r>
          </w:p>
        </w:tc>
        <w:tc>
          <w:tcPr>
            <w:tcW w:w="368" w:type="pct"/>
            <w:vAlign w:val="center"/>
          </w:tcPr>
          <w:p>
            <w:pPr>
              <w:pStyle w:val="33"/>
            </w:pPr>
            <w:r>
              <w:rPr>
                <w:rFonts w:hint="eastAsia"/>
              </w:rPr>
              <w:t>0.282</w:t>
            </w:r>
          </w:p>
        </w:tc>
        <w:tc>
          <w:tcPr>
            <w:tcW w:w="1049" w:type="pct"/>
            <w:vAlign w:val="center"/>
          </w:tcPr>
          <w:p>
            <w:pPr>
              <w:pStyle w:val="33"/>
            </w:pPr>
            <w:r>
              <w:t>暂存在厂内危废暂存间，委托有资质的单位进行处理处置</w:t>
            </w:r>
          </w:p>
        </w:tc>
        <w:tc>
          <w:tcPr>
            <w:tcW w:w="462" w:type="pct"/>
            <w:vAlign w:val="center"/>
          </w:tcPr>
          <w:p>
            <w:pPr>
              <w:pStyle w:val="33"/>
            </w:pPr>
            <w:r>
              <w:rPr>
                <w:rFonts w:hint="eastAsia"/>
              </w:rPr>
              <w:t>0.282</w:t>
            </w:r>
          </w:p>
        </w:tc>
        <w:tc>
          <w:tcPr>
            <w:tcW w:w="1057"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rPr>
                <w:rFonts w:hint="eastAsia"/>
              </w:rPr>
              <w:t>废碱液（S1-</w:t>
            </w:r>
            <w:r>
              <w:t>9</w:t>
            </w:r>
            <w:r>
              <w:rPr>
                <w:rFonts w:hint="eastAsia"/>
              </w:rPr>
              <w:t>）</w:t>
            </w:r>
          </w:p>
        </w:tc>
        <w:tc>
          <w:tcPr>
            <w:tcW w:w="705" w:type="pct"/>
            <w:vAlign w:val="center"/>
          </w:tcPr>
          <w:p>
            <w:pPr>
              <w:pStyle w:val="33"/>
            </w:pPr>
            <w:r>
              <w:rPr>
                <w:rFonts w:hint="eastAsia"/>
              </w:rPr>
              <w:t>HW35，900-352-35</w:t>
            </w:r>
          </w:p>
        </w:tc>
        <w:tc>
          <w:tcPr>
            <w:tcW w:w="368" w:type="pct"/>
            <w:vAlign w:val="center"/>
          </w:tcPr>
          <w:p>
            <w:pPr>
              <w:pStyle w:val="33"/>
            </w:pPr>
            <w:r>
              <w:rPr>
                <w:rFonts w:hint="eastAsia"/>
              </w:rPr>
              <w:t>4</w:t>
            </w:r>
          </w:p>
        </w:tc>
        <w:tc>
          <w:tcPr>
            <w:tcW w:w="1049" w:type="pct"/>
            <w:vAlign w:val="center"/>
          </w:tcPr>
          <w:p>
            <w:pPr>
              <w:pStyle w:val="33"/>
            </w:pPr>
            <w:r>
              <w:t>暂存在厂内危废暂存间，委托有资质的单位进行处理处置</w:t>
            </w:r>
          </w:p>
        </w:tc>
        <w:tc>
          <w:tcPr>
            <w:tcW w:w="462" w:type="pct"/>
            <w:vAlign w:val="center"/>
          </w:tcPr>
          <w:p>
            <w:pPr>
              <w:pStyle w:val="33"/>
            </w:pPr>
            <w:r>
              <w:rPr>
                <w:rFonts w:hint="eastAsia"/>
              </w:rPr>
              <w:t>4</w:t>
            </w:r>
          </w:p>
        </w:tc>
        <w:tc>
          <w:tcPr>
            <w:tcW w:w="1057"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rPr>
                <w:rFonts w:hint="eastAsia"/>
              </w:rPr>
              <w:t>污水处理站油渣（S1-11）</w:t>
            </w:r>
          </w:p>
        </w:tc>
        <w:tc>
          <w:tcPr>
            <w:tcW w:w="705" w:type="pct"/>
            <w:vAlign w:val="center"/>
          </w:tcPr>
          <w:p>
            <w:pPr>
              <w:pStyle w:val="33"/>
            </w:pPr>
            <w:r>
              <w:rPr>
                <w:rFonts w:hint="eastAsia"/>
              </w:rPr>
              <w:t>HW08，900-210-08</w:t>
            </w:r>
          </w:p>
        </w:tc>
        <w:tc>
          <w:tcPr>
            <w:tcW w:w="368" w:type="pct"/>
            <w:vAlign w:val="center"/>
          </w:tcPr>
          <w:p>
            <w:pPr>
              <w:pStyle w:val="33"/>
            </w:pPr>
            <w:r>
              <w:rPr>
                <w:rFonts w:hint="eastAsia"/>
              </w:rPr>
              <w:t>5</w:t>
            </w:r>
          </w:p>
        </w:tc>
        <w:tc>
          <w:tcPr>
            <w:tcW w:w="1049" w:type="pct"/>
            <w:vAlign w:val="center"/>
          </w:tcPr>
          <w:p>
            <w:pPr>
              <w:pStyle w:val="33"/>
            </w:pPr>
            <w:r>
              <w:t>暂存在厂内危废暂存间，委托有资质的单位进行处理处置</w:t>
            </w:r>
          </w:p>
        </w:tc>
        <w:tc>
          <w:tcPr>
            <w:tcW w:w="462" w:type="pct"/>
            <w:vAlign w:val="center"/>
          </w:tcPr>
          <w:p>
            <w:pPr>
              <w:pStyle w:val="33"/>
            </w:pPr>
            <w:r>
              <w:rPr>
                <w:rFonts w:hint="eastAsia"/>
              </w:rPr>
              <w:t>5</w:t>
            </w:r>
          </w:p>
        </w:tc>
        <w:tc>
          <w:tcPr>
            <w:tcW w:w="1057"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restart"/>
            <w:vAlign w:val="center"/>
          </w:tcPr>
          <w:p>
            <w:pPr>
              <w:pStyle w:val="33"/>
            </w:pPr>
            <w:r>
              <w:t>一般废物</w:t>
            </w:r>
          </w:p>
        </w:tc>
        <w:tc>
          <w:tcPr>
            <w:tcW w:w="851" w:type="pct"/>
            <w:vAlign w:val="center"/>
          </w:tcPr>
          <w:p>
            <w:pPr>
              <w:pStyle w:val="33"/>
            </w:pPr>
            <w:r>
              <w:t>废过滤板（S</w:t>
            </w:r>
            <w:r>
              <w:rPr>
                <w:rFonts w:hint="eastAsia"/>
              </w:rPr>
              <w:t>2-</w:t>
            </w:r>
            <w:r>
              <w:t>3）</w:t>
            </w:r>
          </w:p>
        </w:tc>
        <w:tc>
          <w:tcPr>
            <w:tcW w:w="705" w:type="pct"/>
            <w:vAlign w:val="center"/>
          </w:tcPr>
          <w:p>
            <w:pPr>
              <w:pStyle w:val="33"/>
            </w:pPr>
            <w:r>
              <w:t>一般工业固废</w:t>
            </w:r>
          </w:p>
        </w:tc>
        <w:tc>
          <w:tcPr>
            <w:tcW w:w="368" w:type="pct"/>
            <w:vAlign w:val="center"/>
          </w:tcPr>
          <w:p>
            <w:pPr>
              <w:pStyle w:val="33"/>
            </w:pPr>
            <w:r>
              <w:rPr>
                <w:rFonts w:hint="eastAsia"/>
              </w:rPr>
              <w:t>2.5</w:t>
            </w:r>
          </w:p>
        </w:tc>
        <w:tc>
          <w:tcPr>
            <w:tcW w:w="1049" w:type="pct"/>
            <w:vAlign w:val="center"/>
          </w:tcPr>
          <w:p>
            <w:pPr>
              <w:pStyle w:val="33"/>
            </w:pPr>
            <w:r>
              <w:rPr>
                <w:rFonts w:hint="eastAsia"/>
              </w:rPr>
              <w:t>由厂家回收</w:t>
            </w:r>
          </w:p>
        </w:tc>
        <w:tc>
          <w:tcPr>
            <w:tcW w:w="462" w:type="pct"/>
            <w:vAlign w:val="center"/>
          </w:tcPr>
          <w:p>
            <w:pPr>
              <w:pStyle w:val="33"/>
            </w:pPr>
            <w:r>
              <w:rPr>
                <w:rFonts w:hint="eastAsia"/>
              </w:rPr>
              <w:t>2.5</w:t>
            </w:r>
          </w:p>
        </w:tc>
        <w:tc>
          <w:tcPr>
            <w:tcW w:w="1057" w:type="pct"/>
            <w:vAlign w:val="center"/>
          </w:tcPr>
          <w:p>
            <w:pPr>
              <w:pStyle w:val="33"/>
            </w:pPr>
            <w:r>
              <w:rPr>
                <w:rFonts w:hint="eastAsia"/>
              </w:rPr>
              <w:t>厂家回收</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不合格产品（S</w:t>
            </w:r>
            <w:r>
              <w:rPr>
                <w:rFonts w:hint="eastAsia"/>
              </w:rPr>
              <w:t>2-5</w:t>
            </w:r>
            <w:r>
              <w:t>）</w:t>
            </w:r>
          </w:p>
        </w:tc>
        <w:tc>
          <w:tcPr>
            <w:tcW w:w="705" w:type="pct"/>
            <w:vAlign w:val="center"/>
          </w:tcPr>
          <w:p>
            <w:pPr>
              <w:pStyle w:val="33"/>
            </w:pPr>
            <w:r>
              <w:t>一般工业固废</w:t>
            </w:r>
          </w:p>
        </w:tc>
        <w:tc>
          <w:tcPr>
            <w:tcW w:w="368" w:type="pct"/>
            <w:vAlign w:val="center"/>
          </w:tcPr>
          <w:p>
            <w:pPr>
              <w:pStyle w:val="33"/>
            </w:pPr>
            <w:r>
              <w:rPr>
                <w:rFonts w:hint="eastAsia"/>
              </w:rPr>
              <w:t>720</w:t>
            </w:r>
          </w:p>
        </w:tc>
        <w:tc>
          <w:tcPr>
            <w:tcW w:w="1049" w:type="pct"/>
            <w:vAlign w:val="center"/>
          </w:tcPr>
          <w:p>
            <w:pPr>
              <w:pStyle w:val="33"/>
            </w:pPr>
            <w:r>
              <w:t>集中收集后作为原材料回用</w:t>
            </w:r>
          </w:p>
        </w:tc>
        <w:tc>
          <w:tcPr>
            <w:tcW w:w="462" w:type="pct"/>
            <w:vAlign w:val="center"/>
          </w:tcPr>
          <w:p>
            <w:pPr>
              <w:pStyle w:val="33"/>
            </w:pPr>
            <w:r>
              <w:rPr>
                <w:rFonts w:hint="eastAsia"/>
              </w:rPr>
              <w:t>720</w:t>
            </w:r>
          </w:p>
        </w:tc>
        <w:tc>
          <w:tcPr>
            <w:tcW w:w="1057" w:type="pct"/>
            <w:vAlign w:val="center"/>
          </w:tcPr>
          <w:p>
            <w:pPr>
              <w:pStyle w:val="33"/>
            </w:pPr>
            <w: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下脚料（S</w:t>
            </w:r>
            <w:r>
              <w:rPr>
                <w:rFonts w:hint="eastAsia"/>
              </w:rPr>
              <w:t>2-4</w:t>
            </w:r>
            <w:r>
              <w:t>）</w:t>
            </w:r>
          </w:p>
        </w:tc>
        <w:tc>
          <w:tcPr>
            <w:tcW w:w="705" w:type="pct"/>
            <w:vAlign w:val="center"/>
          </w:tcPr>
          <w:p>
            <w:pPr>
              <w:pStyle w:val="33"/>
            </w:pPr>
            <w:r>
              <w:t>一般工业固废</w:t>
            </w:r>
          </w:p>
        </w:tc>
        <w:tc>
          <w:tcPr>
            <w:tcW w:w="368" w:type="pct"/>
            <w:vAlign w:val="center"/>
          </w:tcPr>
          <w:p>
            <w:pPr>
              <w:pStyle w:val="33"/>
            </w:pPr>
            <w:r>
              <w:rPr>
                <w:rFonts w:hint="eastAsia"/>
              </w:rPr>
              <w:t>300</w:t>
            </w:r>
          </w:p>
        </w:tc>
        <w:tc>
          <w:tcPr>
            <w:tcW w:w="1049" w:type="pct"/>
            <w:vAlign w:val="center"/>
          </w:tcPr>
          <w:p>
            <w:pPr>
              <w:pStyle w:val="33"/>
            </w:pPr>
            <w:r>
              <w:t>集中收集后作为原材料回用</w:t>
            </w:r>
          </w:p>
        </w:tc>
        <w:tc>
          <w:tcPr>
            <w:tcW w:w="462" w:type="pct"/>
            <w:vAlign w:val="center"/>
          </w:tcPr>
          <w:p>
            <w:pPr>
              <w:pStyle w:val="33"/>
            </w:pPr>
            <w:r>
              <w:rPr>
                <w:rFonts w:hint="eastAsia"/>
              </w:rPr>
              <w:t>300</w:t>
            </w:r>
          </w:p>
        </w:tc>
        <w:tc>
          <w:tcPr>
            <w:tcW w:w="1057" w:type="pct"/>
            <w:vAlign w:val="center"/>
          </w:tcPr>
          <w:p>
            <w:pPr>
              <w:pStyle w:val="33"/>
            </w:pPr>
            <w: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废包装材料（S</w:t>
            </w:r>
            <w:r>
              <w:rPr>
                <w:rFonts w:hint="eastAsia"/>
              </w:rPr>
              <w:t>2-</w:t>
            </w:r>
            <w:r>
              <w:t>6）</w:t>
            </w:r>
          </w:p>
        </w:tc>
        <w:tc>
          <w:tcPr>
            <w:tcW w:w="705" w:type="pct"/>
            <w:vAlign w:val="center"/>
          </w:tcPr>
          <w:p>
            <w:pPr>
              <w:pStyle w:val="33"/>
            </w:pPr>
            <w:r>
              <w:t>一般工业固废</w:t>
            </w:r>
          </w:p>
        </w:tc>
        <w:tc>
          <w:tcPr>
            <w:tcW w:w="368" w:type="pct"/>
            <w:vAlign w:val="center"/>
          </w:tcPr>
          <w:p>
            <w:pPr>
              <w:pStyle w:val="33"/>
            </w:pPr>
            <w:r>
              <w:rPr>
                <w:rFonts w:hint="eastAsia"/>
              </w:rPr>
              <w:t>1</w:t>
            </w:r>
          </w:p>
        </w:tc>
        <w:tc>
          <w:tcPr>
            <w:tcW w:w="1049" w:type="pct"/>
            <w:vAlign w:val="center"/>
          </w:tcPr>
          <w:p>
            <w:pPr>
              <w:pStyle w:val="33"/>
            </w:pPr>
            <w:r>
              <w:t>收集后作外售处理</w:t>
            </w:r>
          </w:p>
        </w:tc>
        <w:tc>
          <w:tcPr>
            <w:tcW w:w="462" w:type="pct"/>
            <w:vAlign w:val="center"/>
          </w:tcPr>
          <w:p>
            <w:pPr>
              <w:pStyle w:val="33"/>
            </w:pPr>
            <w:r>
              <w:rPr>
                <w:rFonts w:hint="eastAsia"/>
              </w:rPr>
              <w:t>1</w:t>
            </w:r>
          </w:p>
        </w:tc>
        <w:tc>
          <w:tcPr>
            <w:tcW w:w="1057" w:type="pct"/>
            <w:vAlign w:val="center"/>
          </w:tcPr>
          <w:p>
            <w:pPr>
              <w:pStyle w:val="33"/>
            </w:pPr>
            <w:r>
              <w:t>定期外卖</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rPr>
                <w:rFonts w:hint="eastAsia"/>
              </w:rPr>
              <w:t>初期雨水收集池和圆铸锭循环冷却水池污泥</w:t>
            </w:r>
            <w:r>
              <w:t>（S</w:t>
            </w:r>
            <w:r>
              <w:rPr>
                <w:rFonts w:hint="eastAsia"/>
              </w:rPr>
              <w:t>2-8</w:t>
            </w:r>
            <w:r>
              <w:t>）</w:t>
            </w:r>
          </w:p>
        </w:tc>
        <w:tc>
          <w:tcPr>
            <w:tcW w:w="705" w:type="pct"/>
            <w:vAlign w:val="center"/>
          </w:tcPr>
          <w:p>
            <w:pPr>
              <w:pStyle w:val="33"/>
            </w:pPr>
            <w:r>
              <w:t>一般</w:t>
            </w:r>
            <w:r>
              <w:rPr>
                <w:rFonts w:hint="eastAsia"/>
              </w:rPr>
              <w:t>工业</w:t>
            </w:r>
            <w:r>
              <w:t>固废</w:t>
            </w:r>
          </w:p>
        </w:tc>
        <w:tc>
          <w:tcPr>
            <w:tcW w:w="368" w:type="pct"/>
            <w:vAlign w:val="center"/>
          </w:tcPr>
          <w:p>
            <w:pPr>
              <w:pStyle w:val="33"/>
            </w:pPr>
            <w:r>
              <w:rPr>
                <w:rFonts w:hint="eastAsia"/>
              </w:rPr>
              <w:t>0.5</w:t>
            </w:r>
          </w:p>
        </w:tc>
        <w:tc>
          <w:tcPr>
            <w:tcW w:w="1049" w:type="pct"/>
            <w:vAlign w:val="center"/>
          </w:tcPr>
          <w:p>
            <w:pPr>
              <w:pStyle w:val="33"/>
            </w:pPr>
            <w:r>
              <w:t>环卫部门定期清理</w:t>
            </w:r>
          </w:p>
        </w:tc>
        <w:tc>
          <w:tcPr>
            <w:tcW w:w="462" w:type="pct"/>
            <w:vAlign w:val="center"/>
          </w:tcPr>
          <w:p>
            <w:pPr>
              <w:pStyle w:val="33"/>
            </w:pPr>
            <w:r>
              <w:rPr>
                <w:rFonts w:hint="eastAsia"/>
              </w:rPr>
              <w:t>0.5</w:t>
            </w:r>
          </w:p>
        </w:tc>
        <w:tc>
          <w:tcPr>
            <w:tcW w:w="1057" w:type="pct"/>
            <w:vAlign w:val="center"/>
          </w:tcPr>
          <w:p>
            <w:pPr>
              <w:pStyle w:val="33"/>
            </w:pPr>
            <w:r>
              <w:t>生活垃圾填埋场</w:t>
            </w:r>
            <w:r>
              <w:rPr>
                <w:rFonts w:hint="eastAsia"/>
              </w:rPr>
              <w:t>，按照一般工业固废处置要求进行处理</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生活垃圾（S</w:t>
            </w:r>
            <w:r>
              <w:rPr>
                <w:rFonts w:hint="eastAsia"/>
              </w:rPr>
              <w:t>2-9</w:t>
            </w:r>
            <w:r>
              <w:t>）</w:t>
            </w:r>
          </w:p>
        </w:tc>
        <w:tc>
          <w:tcPr>
            <w:tcW w:w="705" w:type="pct"/>
            <w:vAlign w:val="center"/>
          </w:tcPr>
          <w:p>
            <w:pPr>
              <w:pStyle w:val="33"/>
            </w:pPr>
            <w:r>
              <w:t>一般固废</w:t>
            </w:r>
          </w:p>
        </w:tc>
        <w:tc>
          <w:tcPr>
            <w:tcW w:w="368" w:type="pct"/>
            <w:vAlign w:val="center"/>
          </w:tcPr>
          <w:p>
            <w:pPr>
              <w:pStyle w:val="33"/>
            </w:pPr>
            <w:r>
              <w:rPr>
                <w:rFonts w:hint="eastAsia"/>
              </w:rPr>
              <w:t>8.3</w:t>
            </w:r>
          </w:p>
        </w:tc>
        <w:tc>
          <w:tcPr>
            <w:tcW w:w="1049" w:type="pct"/>
            <w:vAlign w:val="center"/>
          </w:tcPr>
          <w:p>
            <w:pPr>
              <w:pStyle w:val="33"/>
            </w:pPr>
            <w:r>
              <w:t>环卫部门定期清理</w:t>
            </w:r>
          </w:p>
        </w:tc>
        <w:tc>
          <w:tcPr>
            <w:tcW w:w="462" w:type="pct"/>
            <w:vAlign w:val="center"/>
          </w:tcPr>
          <w:p>
            <w:pPr>
              <w:pStyle w:val="33"/>
            </w:pPr>
            <w:r>
              <w:rPr>
                <w:rFonts w:hint="eastAsia"/>
              </w:rPr>
              <w:t>8.3</w:t>
            </w:r>
          </w:p>
        </w:tc>
        <w:tc>
          <w:tcPr>
            <w:tcW w:w="1057" w:type="pct"/>
            <w:vAlign w:val="center"/>
          </w:tcPr>
          <w:p>
            <w:pPr>
              <w:pStyle w:val="33"/>
            </w:pPr>
            <w:r>
              <w:t>生活垃圾填埋场</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restart"/>
          </w:tcPr>
          <w:p>
            <w:pPr>
              <w:pStyle w:val="33"/>
            </w:pPr>
            <w:r>
              <w:rPr>
                <w:rFonts w:hint="eastAsia"/>
              </w:rPr>
              <w:t>二期工程</w:t>
            </w:r>
          </w:p>
        </w:tc>
        <w:tc>
          <w:tcPr>
            <w:tcW w:w="259" w:type="pct"/>
            <w:vMerge w:val="restart"/>
            <w:vAlign w:val="center"/>
          </w:tcPr>
          <w:p>
            <w:pPr>
              <w:pStyle w:val="33"/>
            </w:pPr>
            <w:r>
              <w:t>危险废物</w:t>
            </w:r>
          </w:p>
        </w:tc>
        <w:tc>
          <w:tcPr>
            <w:tcW w:w="851" w:type="pct"/>
            <w:vAlign w:val="center"/>
          </w:tcPr>
          <w:p>
            <w:pPr>
              <w:pStyle w:val="33"/>
            </w:pPr>
            <w:r>
              <w:rPr>
                <w:rFonts w:hint="eastAsia"/>
              </w:rPr>
              <w:t>铝灰</w:t>
            </w:r>
            <w:r>
              <w:t>（S</w:t>
            </w:r>
            <w:r>
              <w:rPr>
                <w:rFonts w:hint="eastAsia"/>
              </w:rPr>
              <w:t>2-1</w:t>
            </w:r>
            <w:r>
              <w:t>）</w:t>
            </w:r>
          </w:p>
        </w:tc>
        <w:tc>
          <w:tcPr>
            <w:tcW w:w="705" w:type="pct"/>
            <w:vAlign w:val="center"/>
          </w:tcPr>
          <w:p>
            <w:pPr>
              <w:pStyle w:val="33"/>
            </w:pPr>
            <w:r>
              <w:rPr>
                <w:rFonts w:hint="eastAsia"/>
              </w:rPr>
              <w:t>HW48，</w:t>
            </w:r>
            <w:r>
              <w:t>321-024-48</w:t>
            </w:r>
          </w:p>
        </w:tc>
        <w:tc>
          <w:tcPr>
            <w:tcW w:w="368" w:type="pct"/>
            <w:vAlign w:val="center"/>
          </w:tcPr>
          <w:p>
            <w:pPr>
              <w:pStyle w:val="33"/>
            </w:pPr>
            <w:r>
              <w:rPr>
                <w:rFonts w:hint="eastAsia"/>
              </w:rPr>
              <w:t>668.798</w:t>
            </w:r>
          </w:p>
        </w:tc>
        <w:tc>
          <w:tcPr>
            <w:tcW w:w="1049" w:type="pct"/>
            <w:vAlign w:val="center"/>
          </w:tcPr>
          <w:p>
            <w:pPr>
              <w:pStyle w:val="33"/>
            </w:pPr>
            <w:r>
              <w:rPr>
                <w:rFonts w:hint="eastAsia"/>
              </w:rPr>
              <w:t>暂存于厂内危废暂存间</w:t>
            </w:r>
            <w:r>
              <w:t>，委托有资质的单位进行处理处置</w:t>
            </w:r>
          </w:p>
        </w:tc>
        <w:tc>
          <w:tcPr>
            <w:tcW w:w="462" w:type="pct"/>
            <w:vAlign w:val="center"/>
          </w:tcPr>
          <w:p>
            <w:pPr>
              <w:pStyle w:val="33"/>
            </w:pPr>
            <w:r>
              <w:rPr>
                <w:rFonts w:hint="eastAsia"/>
              </w:rPr>
              <w:t>668.798</w:t>
            </w:r>
          </w:p>
        </w:tc>
        <w:tc>
          <w:tcPr>
            <w:tcW w:w="1057" w:type="pct"/>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rPr>
                <w:rFonts w:hint="eastAsia"/>
              </w:rPr>
              <w:t>除尘系统</w:t>
            </w:r>
            <w:r>
              <w:t>收集尘（S</w:t>
            </w:r>
            <w:r>
              <w:rPr>
                <w:rFonts w:hint="eastAsia"/>
              </w:rPr>
              <w:t>2-</w:t>
            </w:r>
            <w:r>
              <w:t>2）</w:t>
            </w:r>
          </w:p>
        </w:tc>
        <w:tc>
          <w:tcPr>
            <w:tcW w:w="705" w:type="pct"/>
            <w:vAlign w:val="center"/>
          </w:tcPr>
          <w:p>
            <w:pPr>
              <w:pStyle w:val="33"/>
            </w:pPr>
            <w:r>
              <w:rPr>
                <w:rFonts w:hint="eastAsia"/>
              </w:rPr>
              <w:t>HW48，</w:t>
            </w:r>
            <w:r>
              <w:t>321-0</w:t>
            </w:r>
            <w:r>
              <w:rPr>
                <w:rFonts w:hint="eastAsia"/>
              </w:rPr>
              <w:t>3</w:t>
            </w:r>
            <w:r>
              <w:t>4-48</w:t>
            </w:r>
          </w:p>
        </w:tc>
        <w:tc>
          <w:tcPr>
            <w:tcW w:w="368" w:type="pct"/>
            <w:vAlign w:val="center"/>
          </w:tcPr>
          <w:p>
            <w:pPr>
              <w:pStyle w:val="33"/>
            </w:pPr>
            <w:r>
              <w:rPr>
                <w:rFonts w:hint="eastAsia"/>
              </w:rPr>
              <w:t>344.75</w:t>
            </w:r>
          </w:p>
        </w:tc>
        <w:tc>
          <w:tcPr>
            <w:tcW w:w="1049" w:type="pct"/>
            <w:vAlign w:val="center"/>
          </w:tcPr>
          <w:p>
            <w:pPr>
              <w:pStyle w:val="33"/>
            </w:pPr>
            <w:r>
              <w:rPr>
                <w:rFonts w:hint="eastAsia"/>
              </w:rPr>
              <w:t>暂存于厂内危废暂存间</w:t>
            </w:r>
            <w:r>
              <w:t>，委托有资质的单位进行处理处置</w:t>
            </w:r>
          </w:p>
        </w:tc>
        <w:tc>
          <w:tcPr>
            <w:tcW w:w="462" w:type="pct"/>
            <w:vAlign w:val="center"/>
          </w:tcPr>
          <w:p>
            <w:pPr>
              <w:pStyle w:val="33"/>
            </w:pPr>
            <w:r>
              <w:rPr>
                <w:rFonts w:hint="eastAsia"/>
              </w:rPr>
              <w:t>344.75</w:t>
            </w:r>
          </w:p>
        </w:tc>
        <w:tc>
          <w:tcPr>
            <w:tcW w:w="1057" w:type="pct"/>
            <w:vAlign w:val="center"/>
          </w:tcPr>
          <w:p>
            <w:pPr>
              <w:pStyle w:val="33"/>
            </w:pPr>
            <w:r>
              <w:t>有资质的单位进行处理处置</w:t>
            </w:r>
            <w:r>
              <w:rPr>
                <w:rFonts w:hint="eastAsia"/>
              </w:rPr>
              <w:t>（如文山铝业铝灰处置中心）</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废润滑油、废机油（S</w:t>
            </w:r>
            <w:r>
              <w:rPr>
                <w:rFonts w:hint="eastAsia"/>
              </w:rPr>
              <w:t>2-</w:t>
            </w:r>
            <w:r>
              <w:t>7）</w:t>
            </w:r>
          </w:p>
        </w:tc>
        <w:tc>
          <w:tcPr>
            <w:tcW w:w="705" w:type="pct"/>
            <w:vAlign w:val="center"/>
          </w:tcPr>
          <w:p>
            <w:pPr>
              <w:pStyle w:val="33"/>
            </w:pPr>
            <w:r>
              <w:t>HW08</w:t>
            </w:r>
            <w:r>
              <w:rPr>
                <w:rFonts w:hint="eastAsia"/>
              </w:rPr>
              <w:t>，</w:t>
            </w:r>
            <w:r>
              <w:t>900-214-08</w:t>
            </w:r>
          </w:p>
        </w:tc>
        <w:tc>
          <w:tcPr>
            <w:tcW w:w="368" w:type="pct"/>
            <w:vAlign w:val="center"/>
          </w:tcPr>
          <w:p>
            <w:pPr>
              <w:pStyle w:val="33"/>
            </w:pPr>
            <w:r>
              <w:rPr>
                <w:rFonts w:hint="eastAsia"/>
              </w:rPr>
              <w:t>0.5</w:t>
            </w:r>
          </w:p>
        </w:tc>
        <w:tc>
          <w:tcPr>
            <w:tcW w:w="1049" w:type="pct"/>
            <w:vAlign w:val="center"/>
          </w:tcPr>
          <w:p>
            <w:pPr>
              <w:pStyle w:val="33"/>
            </w:pPr>
            <w:r>
              <w:t>暂存在厂内危废暂存间，委托有资质的单位进行处理处置</w:t>
            </w:r>
          </w:p>
        </w:tc>
        <w:tc>
          <w:tcPr>
            <w:tcW w:w="462" w:type="pct"/>
            <w:vAlign w:val="center"/>
          </w:tcPr>
          <w:p>
            <w:pPr>
              <w:pStyle w:val="33"/>
            </w:pPr>
            <w:r>
              <w:rPr>
                <w:rFonts w:hint="eastAsia"/>
              </w:rPr>
              <w:t>0.5</w:t>
            </w:r>
          </w:p>
        </w:tc>
        <w:tc>
          <w:tcPr>
            <w:tcW w:w="1057" w:type="pct"/>
            <w:vAlign w:val="center"/>
          </w:tcPr>
          <w:p>
            <w:pPr>
              <w:pStyle w:val="33"/>
            </w:pPr>
            <w: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废酸液（S</w:t>
            </w:r>
            <w:r>
              <w:rPr>
                <w:rFonts w:hint="eastAsia"/>
                <w:color w:val="auto"/>
                <w:lang w:val="en-US" w:eastAsia="zh-CN"/>
              </w:rPr>
              <w:t>2</w:t>
            </w:r>
            <w:r>
              <w:rPr>
                <w:rFonts w:hint="eastAsia"/>
                <w:color w:val="auto"/>
              </w:rPr>
              <w:t>-</w:t>
            </w:r>
            <w:r>
              <w:rPr>
                <w:color w:val="auto"/>
              </w:rPr>
              <w:t>8</w:t>
            </w:r>
            <w:r>
              <w:rPr>
                <w:rFonts w:hint="eastAsia"/>
                <w:color w:val="auto"/>
              </w:rPr>
              <w:t>）</w:t>
            </w:r>
          </w:p>
        </w:tc>
        <w:tc>
          <w:tcPr>
            <w:tcW w:w="705"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HW34，900-300-34</w:t>
            </w:r>
          </w:p>
        </w:tc>
        <w:tc>
          <w:tcPr>
            <w:tcW w:w="368" w:type="pct"/>
            <w:vAlign w:val="center"/>
          </w:tcPr>
          <w:p>
            <w:pPr>
              <w:pStyle w:val="33"/>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0.07</w:t>
            </w:r>
          </w:p>
        </w:tc>
        <w:tc>
          <w:tcPr>
            <w:tcW w:w="1049"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暂存在厂内危废暂存间，委托有资质的单位进行处理处置</w:t>
            </w:r>
          </w:p>
        </w:tc>
        <w:tc>
          <w:tcPr>
            <w:tcW w:w="1389" w:type="dxa"/>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0.07</w:t>
            </w:r>
          </w:p>
        </w:tc>
        <w:tc>
          <w:tcPr>
            <w:tcW w:w="1057"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废碱液（S</w:t>
            </w:r>
            <w:r>
              <w:rPr>
                <w:rFonts w:hint="eastAsia"/>
                <w:color w:val="auto"/>
                <w:lang w:val="en-US" w:eastAsia="zh-CN"/>
              </w:rPr>
              <w:t>2</w:t>
            </w:r>
            <w:r>
              <w:rPr>
                <w:rFonts w:hint="eastAsia"/>
                <w:color w:val="auto"/>
              </w:rPr>
              <w:t>-</w:t>
            </w:r>
            <w:r>
              <w:rPr>
                <w:color w:val="auto"/>
              </w:rPr>
              <w:t>9</w:t>
            </w:r>
            <w:r>
              <w:rPr>
                <w:rFonts w:hint="eastAsia"/>
                <w:color w:val="auto"/>
              </w:rPr>
              <w:t>）</w:t>
            </w:r>
          </w:p>
        </w:tc>
        <w:tc>
          <w:tcPr>
            <w:tcW w:w="705" w:type="pct"/>
            <w:vAlign w:val="center"/>
          </w:tcPr>
          <w:p>
            <w:pPr>
              <w:pStyle w:val="33"/>
              <w:rPr>
                <w:rFonts w:ascii="Times New Roman" w:hAnsi="Times New Roman" w:eastAsia="宋体" w:cs="Times New Roman"/>
                <w:color w:val="auto"/>
                <w:kern w:val="2"/>
                <w:sz w:val="21"/>
                <w:szCs w:val="24"/>
                <w:lang w:val="en-US" w:eastAsia="zh-CN" w:bidi="ar-SA"/>
              </w:rPr>
            </w:pPr>
            <w:r>
              <w:rPr>
                <w:rFonts w:hint="eastAsia"/>
                <w:color w:val="auto"/>
              </w:rPr>
              <w:t>HW35，900-352-35</w:t>
            </w:r>
          </w:p>
        </w:tc>
        <w:tc>
          <w:tcPr>
            <w:tcW w:w="368" w:type="pct"/>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1049"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暂存在厂内危废暂存间，委托有资质的单位进行处理处置</w:t>
            </w:r>
          </w:p>
        </w:tc>
        <w:tc>
          <w:tcPr>
            <w:tcW w:w="1389" w:type="dxa"/>
            <w:vAlign w:val="center"/>
          </w:tcPr>
          <w:p>
            <w:pPr>
              <w:pStyle w:val="33"/>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1057" w:type="pct"/>
            <w:vAlign w:val="center"/>
          </w:tcPr>
          <w:p>
            <w:pPr>
              <w:pStyle w:val="33"/>
              <w:rPr>
                <w:rFonts w:ascii="Times New Roman" w:hAnsi="Times New Roman" w:eastAsia="宋体" w:cs="Times New Roman"/>
                <w:color w:val="auto"/>
                <w:kern w:val="2"/>
                <w:sz w:val="21"/>
                <w:szCs w:val="24"/>
                <w:lang w:val="en-US" w:eastAsia="zh-CN" w:bidi="ar-SA"/>
              </w:rPr>
            </w:pPr>
            <w:r>
              <w:rPr>
                <w:color w:val="auto"/>
              </w:rPr>
              <w:t>有资质的单位进行处理处置</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restart"/>
            <w:vAlign w:val="center"/>
          </w:tcPr>
          <w:p>
            <w:pPr>
              <w:pStyle w:val="33"/>
            </w:pPr>
            <w:r>
              <w:t>一般废物</w:t>
            </w:r>
          </w:p>
        </w:tc>
        <w:tc>
          <w:tcPr>
            <w:tcW w:w="851" w:type="pct"/>
            <w:vAlign w:val="center"/>
          </w:tcPr>
          <w:p>
            <w:pPr>
              <w:pStyle w:val="33"/>
            </w:pPr>
            <w:r>
              <w:t>废过滤板（S</w:t>
            </w:r>
            <w:r>
              <w:rPr>
                <w:rFonts w:hint="eastAsia"/>
              </w:rPr>
              <w:t>2-</w:t>
            </w:r>
            <w:r>
              <w:t>3）</w:t>
            </w:r>
          </w:p>
        </w:tc>
        <w:tc>
          <w:tcPr>
            <w:tcW w:w="705" w:type="pct"/>
            <w:vAlign w:val="center"/>
          </w:tcPr>
          <w:p>
            <w:pPr>
              <w:pStyle w:val="33"/>
            </w:pPr>
            <w:r>
              <w:t>一般工业固废</w:t>
            </w:r>
          </w:p>
        </w:tc>
        <w:tc>
          <w:tcPr>
            <w:tcW w:w="368" w:type="pct"/>
            <w:vAlign w:val="center"/>
          </w:tcPr>
          <w:p>
            <w:pPr>
              <w:pStyle w:val="33"/>
            </w:pPr>
            <w:r>
              <w:rPr>
                <w:rFonts w:hint="eastAsia"/>
              </w:rPr>
              <w:t>2.5</w:t>
            </w:r>
          </w:p>
        </w:tc>
        <w:tc>
          <w:tcPr>
            <w:tcW w:w="1049" w:type="pct"/>
            <w:vAlign w:val="center"/>
          </w:tcPr>
          <w:p>
            <w:pPr>
              <w:pStyle w:val="33"/>
            </w:pPr>
            <w:r>
              <w:rPr>
                <w:rFonts w:hint="eastAsia"/>
              </w:rPr>
              <w:t>由厂家回收</w:t>
            </w:r>
          </w:p>
        </w:tc>
        <w:tc>
          <w:tcPr>
            <w:tcW w:w="462" w:type="pct"/>
            <w:vAlign w:val="center"/>
          </w:tcPr>
          <w:p>
            <w:pPr>
              <w:pStyle w:val="33"/>
            </w:pPr>
            <w:r>
              <w:rPr>
                <w:rFonts w:hint="eastAsia"/>
              </w:rPr>
              <w:t>2.5</w:t>
            </w:r>
          </w:p>
        </w:tc>
        <w:tc>
          <w:tcPr>
            <w:tcW w:w="1057" w:type="pct"/>
            <w:vAlign w:val="center"/>
          </w:tcPr>
          <w:p>
            <w:pPr>
              <w:pStyle w:val="33"/>
            </w:pPr>
            <w:r>
              <w:rPr>
                <w:rFonts w:hint="eastAsia"/>
              </w:rPr>
              <w:t>厂家回收</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不合格产品（S</w:t>
            </w:r>
            <w:r>
              <w:rPr>
                <w:rFonts w:hint="eastAsia"/>
              </w:rPr>
              <w:t>2-5</w:t>
            </w:r>
            <w:r>
              <w:t>）</w:t>
            </w:r>
          </w:p>
        </w:tc>
        <w:tc>
          <w:tcPr>
            <w:tcW w:w="705" w:type="pct"/>
            <w:vAlign w:val="center"/>
          </w:tcPr>
          <w:p>
            <w:pPr>
              <w:pStyle w:val="33"/>
            </w:pPr>
            <w:r>
              <w:t>一般工业固废</w:t>
            </w:r>
          </w:p>
        </w:tc>
        <w:tc>
          <w:tcPr>
            <w:tcW w:w="368" w:type="pct"/>
            <w:vAlign w:val="center"/>
          </w:tcPr>
          <w:p>
            <w:pPr>
              <w:pStyle w:val="33"/>
            </w:pPr>
            <w:r>
              <w:rPr>
                <w:rFonts w:hint="eastAsia"/>
              </w:rPr>
              <w:t>720</w:t>
            </w:r>
          </w:p>
        </w:tc>
        <w:tc>
          <w:tcPr>
            <w:tcW w:w="1049" w:type="pct"/>
            <w:vAlign w:val="center"/>
          </w:tcPr>
          <w:p>
            <w:pPr>
              <w:pStyle w:val="33"/>
            </w:pPr>
            <w:r>
              <w:t>集中收集后作为原材料回用</w:t>
            </w:r>
          </w:p>
        </w:tc>
        <w:tc>
          <w:tcPr>
            <w:tcW w:w="462" w:type="pct"/>
            <w:vAlign w:val="center"/>
          </w:tcPr>
          <w:p>
            <w:pPr>
              <w:pStyle w:val="33"/>
            </w:pPr>
            <w:r>
              <w:rPr>
                <w:rFonts w:hint="eastAsia"/>
              </w:rPr>
              <w:t>720</w:t>
            </w:r>
          </w:p>
        </w:tc>
        <w:tc>
          <w:tcPr>
            <w:tcW w:w="1057" w:type="pct"/>
            <w:vAlign w:val="center"/>
          </w:tcPr>
          <w:p>
            <w:pPr>
              <w:pStyle w:val="33"/>
            </w:pPr>
            <w: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下脚料（S</w:t>
            </w:r>
            <w:r>
              <w:rPr>
                <w:rFonts w:hint="eastAsia"/>
              </w:rPr>
              <w:t>2-4</w:t>
            </w:r>
            <w:r>
              <w:t>）</w:t>
            </w:r>
          </w:p>
        </w:tc>
        <w:tc>
          <w:tcPr>
            <w:tcW w:w="705" w:type="pct"/>
            <w:vAlign w:val="center"/>
          </w:tcPr>
          <w:p>
            <w:pPr>
              <w:pStyle w:val="33"/>
            </w:pPr>
            <w:r>
              <w:t>一般工业固废</w:t>
            </w:r>
          </w:p>
        </w:tc>
        <w:tc>
          <w:tcPr>
            <w:tcW w:w="368" w:type="pct"/>
            <w:vAlign w:val="center"/>
          </w:tcPr>
          <w:p>
            <w:pPr>
              <w:pStyle w:val="33"/>
            </w:pPr>
            <w:r>
              <w:rPr>
                <w:rFonts w:hint="eastAsia"/>
              </w:rPr>
              <w:t>300</w:t>
            </w:r>
          </w:p>
        </w:tc>
        <w:tc>
          <w:tcPr>
            <w:tcW w:w="1049" w:type="pct"/>
            <w:vAlign w:val="center"/>
          </w:tcPr>
          <w:p>
            <w:pPr>
              <w:pStyle w:val="33"/>
            </w:pPr>
            <w:r>
              <w:t>集中收集后作为原材料回用</w:t>
            </w:r>
          </w:p>
        </w:tc>
        <w:tc>
          <w:tcPr>
            <w:tcW w:w="462" w:type="pct"/>
            <w:vAlign w:val="center"/>
          </w:tcPr>
          <w:p>
            <w:pPr>
              <w:pStyle w:val="33"/>
            </w:pPr>
            <w:r>
              <w:rPr>
                <w:rFonts w:hint="eastAsia"/>
              </w:rPr>
              <w:t>300</w:t>
            </w:r>
          </w:p>
        </w:tc>
        <w:tc>
          <w:tcPr>
            <w:tcW w:w="1057" w:type="pct"/>
            <w:vAlign w:val="center"/>
          </w:tcPr>
          <w:p>
            <w:pPr>
              <w:pStyle w:val="33"/>
            </w:pPr>
            <w:r>
              <w:t>回用于生产</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废包装材料（S</w:t>
            </w:r>
            <w:r>
              <w:rPr>
                <w:rFonts w:hint="eastAsia"/>
              </w:rPr>
              <w:t>2-</w:t>
            </w:r>
            <w:r>
              <w:t>6）</w:t>
            </w:r>
          </w:p>
        </w:tc>
        <w:tc>
          <w:tcPr>
            <w:tcW w:w="705" w:type="pct"/>
            <w:vAlign w:val="center"/>
          </w:tcPr>
          <w:p>
            <w:pPr>
              <w:pStyle w:val="33"/>
            </w:pPr>
            <w:r>
              <w:t>一般工业固废</w:t>
            </w:r>
          </w:p>
        </w:tc>
        <w:tc>
          <w:tcPr>
            <w:tcW w:w="368" w:type="pct"/>
            <w:vAlign w:val="center"/>
          </w:tcPr>
          <w:p>
            <w:pPr>
              <w:pStyle w:val="33"/>
            </w:pPr>
            <w:r>
              <w:rPr>
                <w:rFonts w:hint="eastAsia"/>
              </w:rPr>
              <w:t>1</w:t>
            </w:r>
          </w:p>
        </w:tc>
        <w:tc>
          <w:tcPr>
            <w:tcW w:w="1049" w:type="pct"/>
            <w:vAlign w:val="center"/>
          </w:tcPr>
          <w:p>
            <w:pPr>
              <w:pStyle w:val="33"/>
            </w:pPr>
            <w:r>
              <w:t>收集后作外售处理</w:t>
            </w:r>
          </w:p>
        </w:tc>
        <w:tc>
          <w:tcPr>
            <w:tcW w:w="462" w:type="pct"/>
            <w:vAlign w:val="center"/>
          </w:tcPr>
          <w:p>
            <w:pPr>
              <w:pStyle w:val="33"/>
            </w:pPr>
            <w:r>
              <w:rPr>
                <w:rFonts w:hint="eastAsia"/>
              </w:rPr>
              <w:t>1</w:t>
            </w:r>
          </w:p>
        </w:tc>
        <w:tc>
          <w:tcPr>
            <w:tcW w:w="1057" w:type="pct"/>
            <w:vAlign w:val="center"/>
          </w:tcPr>
          <w:p>
            <w:pPr>
              <w:pStyle w:val="33"/>
            </w:pPr>
            <w:r>
              <w:t>定期外卖</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rPr>
                <w:rFonts w:hint="eastAsia"/>
              </w:rPr>
              <w:t>初期雨水收集池和圆铸锭循环冷却水池污泥</w:t>
            </w:r>
            <w:r>
              <w:t>（S</w:t>
            </w:r>
            <w:r>
              <w:rPr>
                <w:rFonts w:hint="eastAsia"/>
              </w:rPr>
              <w:t>2-</w:t>
            </w:r>
            <w:r>
              <w:rPr>
                <w:rFonts w:hint="eastAsia"/>
                <w:lang w:val="en-US" w:eastAsia="zh-CN"/>
              </w:rPr>
              <w:t>10</w:t>
            </w:r>
            <w:r>
              <w:t>）</w:t>
            </w:r>
          </w:p>
        </w:tc>
        <w:tc>
          <w:tcPr>
            <w:tcW w:w="705" w:type="pct"/>
            <w:vAlign w:val="center"/>
          </w:tcPr>
          <w:p>
            <w:pPr>
              <w:pStyle w:val="33"/>
            </w:pPr>
            <w:r>
              <w:t>一般</w:t>
            </w:r>
            <w:r>
              <w:rPr>
                <w:rFonts w:hint="eastAsia"/>
              </w:rPr>
              <w:t>工业</w:t>
            </w:r>
            <w:r>
              <w:t>固废</w:t>
            </w:r>
          </w:p>
        </w:tc>
        <w:tc>
          <w:tcPr>
            <w:tcW w:w="368" w:type="pct"/>
            <w:vAlign w:val="center"/>
          </w:tcPr>
          <w:p>
            <w:pPr>
              <w:pStyle w:val="33"/>
            </w:pPr>
            <w:r>
              <w:rPr>
                <w:rFonts w:hint="eastAsia"/>
              </w:rPr>
              <w:t>0.5</w:t>
            </w:r>
          </w:p>
        </w:tc>
        <w:tc>
          <w:tcPr>
            <w:tcW w:w="1049" w:type="pct"/>
            <w:vAlign w:val="center"/>
          </w:tcPr>
          <w:p>
            <w:pPr>
              <w:pStyle w:val="33"/>
            </w:pPr>
            <w:r>
              <w:t>环卫部门定期清理</w:t>
            </w:r>
          </w:p>
        </w:tc>
        <w:tc>
          <w:tcPr>
            <w:tcW w:w="462" w:type="pct"/>
            <w:vAlign w:val="center"/>
          </w:tcPr>
          <w:p>
            <w:pPr>
              <w:pStyle w:val="33"/>
            </w:pPr>
            <w:r>
              <w:rPr>
                <w:rFonts w:hint="eastAsia"/>
              </w:rPr>
              <w:t>0.5</w:t>
            </w:r>
          </w:p>
        </w:tc>
        <w:tc>
          <w:tcPr>
            <w:tcW w:w="1057" w:type="pct"/>
            <w:vAlign w:val="center"/>
          </w:tcPr>
          <w:p>
            <w:pPr>
              <w:pStyle w:val="33"/>
            </w:pPr>
            <w:r>
              <w:t>生活垃圾填埋场</w:t>
            </w:r>
            <w:r>
              <w:rPr>
                <w:rFonts w:hint="eastAsia"/>
              </w:rPr>
              <w:t>，按照一般工业固废处置要求进行处理</w:t>
            </w:r>
          </w:p>
        </w:tc>
      </w:tr>
      <w:tr>
        <w:tblPrEx>
          <w:tblBorders>
            <w:top w:val="single" w:color="000000" w:sz="2" w:space="0"/>
            <w:left w:val="single" w:color="000000" w:sz="2" w:space="0"/>
            <w:bottom w:val="single" w:color="000000" w:sz="2" w:space="0"/>
            <w:right w:val="single" w:color="000000" w:sz="2" w:space="0"/>
            <w:insideH w:val="single" w:color="000000" w:sz="6" w:space="0"/>
            <w:insideV w:val="single" w:color="000000" w:sz="2" w:space="0"/>
          </w:tblBorders>
          <w:tblCellMar>
            <w:top w:w="0" w:type="dxa"/>
            <w:left w:w="108" w:type="dxa"/>
            <w:bottom w:w="0" w:type="dxa"/>
            <w:right w:w="108" w:type="dxa"/>
          </w:tblCellMar>
        </w:tblPrEx>
        <w:trPr>
          <w:jc w:val="center"/>
        </w:trPr>
        <w:tc>
          <w:tcPr>
            <w:tcW w:w="243" w:type="pct"/>
            <w:vMerge w:val="continue"/>
          </w:tcPr>
          <w:p>
            <w:pPr>
              <w:pStyle w:val="33"/>
            </w:pPr>
          </w:p>
        </w:tc>
        <w:tc>
          <w:tcPr>
            <w:tcW w:w="259" w:type="pct"/>
            <w:vMerge w:val="continue"/>
          </w:tcPr>
          <w:p>
            <w:pPr>
              <w:pStyle w:val="33"/>
            </w:pPr>
          </w:p>
        </w:tc>
        <w:tc>
          <w:tcPr>
            <w:tcW w:w="851" w:type="pct"/>
            <w:vAlign w:val="center"/>
          </w:tcPr>
          <w:p>
            <w:pPr>
              <w:pStyle w:val="33"/>
            </w:pPr>
            <w:r>
              <w:t>生活垃圾（S</w:t>
            </w:r>
            <w:r>
              <w:rPr>
                <w:rFonts w:hint="eastAsia"/>
              </w:rPr>
              <w:t>2-</w:t>
            </w:r>
            <w:r>
              <w:rPr>
                <w:rFonts w:hint="eastAsia"/>
                <w:lang w:val="en-US" w:eastAsia="zh-CN"/>
              </w:rPr>
              <w:t>11</w:t>
            </w:r>
            <w:r>
              <w:t>）</w:t>
            </w:r>
          </w:p>
        </w:tc>
        <w:tc>
          <w:tcPr>
            <w:tcW w:w="705" w:type="pct"/>
            <w:vAlign w:val="center"/>
          </w:tcPr>
          <w:p>
            <w:pPr>
              <w:pStyle w:val="33"/>
            </w:pPr>
            <w:r>
              <w:t>一般固废</w:t>
            </w:r>
          </w:p>
        </w:tc>
        <w:tc>
          <w:tcPr>
            <w:tcW w:w="368" w:type="pct"/>
            <w:vAlign w:val="center"/>
          </w:tcPr>
          <w:p>
            <w:pPr>
              <w:pStyle w:val="33"/>
            </w:pPr>
            <w:r>
              <w:rPr>
                <w:rFonts w:hint="eastAsia"/>
              </w:rPr>
              <w:t>8.3</w:t>
            </w:r>
          </w:p>
        </w:tc>
        <w:tc>
          <w:tcPr>
            <w:tcW w:w="1049" w:type="pct"/>
            <w:vAlign w:val="center"/>
          </w:tcPr>
          <w:p>
            <w:pPr>
              <w:pStyle w:val="33"/>
            </w:pPr>
            <w:r>
              <w:t>环卫部门定期清理</w:t>
            </w:r>
          </w:p>
        </w:tc>
        <w:tc>
          <w:tcPr>
            <w:tcW w:w="462" w:type="pct"/>
            <w:vAlign w:val="center"/>
          </w:tcPr>
          <w:p>
            <w:pPr>
              <w:pStyle w:val="33"/>
            </w:pPr>
            <w:r>
              <w:rPr>
                <w:rFonts w:hint="eastAsia"/>
              </w:rPr>
              <w:t>8.3</w:t>
            </w:r>
          </w:p>
        </w:tc>
        <w:tc>
          <w:tcPr>
            <w:tcW w:w="1057" w:type="pct"/>
            <w:vAlign w:val="center"/>
          </w:tcPr>
          <w:p>
            <w:pPr>
              <w:pStyle w:val="33"/>
            </w:pPr>
            <w:r>
              <w:t>生活垃圾填埋场</w:t>
            </w:r>
          </w:p>
        </w:tc>
      </w:tr>
    </w:tbl>
    <w:p>
      <w:pPr>
        <w:pStyle w:val="7"/>
        <w:ind w:firstLine="480"/>
      </w:pPr>
    </w:p>
    <w:p>
      <w:pPr>
        <w:pStyle w:val="7"/>
        <w:ind w:firstLine="480"/>
      </w:pPr>
    </w:p>
    <w:p>
      <w:pPr>
        <w:pStyle w:val="7"/>
        <w:ind w:firstLine="480"/>
      </w:pPr>
    </w:p>
    <w:p>
      <w:pPr>
        <w:pStyle w:val="7"/>
        <w:ind w:firstLine="480"/>
      </w:pPr>
    </w:p>
    <w:p>
      <w:pPr>
        <w:pStyle w:val="7"/>
        <w:ind w:firstLine="480"/>
      </w:pPr>
    </w:p>
    <w:p>
      <w:pPr>
        <w:pStyle w:val="7"/>
        <w:ind w:firstLine="480"/>
        <w:sectPr>
          <w:pgSz w:w="16838" w:h="11906" w:orient="landscape"/>
          <w:pgMar w:top="1800" w:right="1440" w:bottom="1800" w:left="1440" w:header="851" w:footer="992" w:gutter="0"/>
          <w:cols w:space="425" w:num="1"/>
          <w:docGrid w:type="lines" w:linePitch="312" w:charSpace="0"/>
        </w:sectPr>
      </w:pPr>
    </w:p>
    <w:p>
      <w:pPr>
        <w:pStyle w:val="8"/>
      </w:pPr>
      <w:r>
        <w:rPr>
          <w:rFonts w:hint="eastAsia"/>
        </w:rPr>
        <w:t>6.4.2固体废弃物的处理处置</w:t>
      </w:r>
    </w:p>
    <w:p>
      <w:pPr>
        <w:pStyle w:val="7"/>
        <w:ind w:firstLine="480"/>
      </w:pPr>
      <w:r>
        <w:rPr>
          <w:rFonts w:hint="eastAsia"/>
        </w:rPr>
        <w:t>1、一般工业固废</w:t>
      </w:r>
    </w:p>
    <w:p>
      <w:pPr>
        <w:pStyle w:val="7"/>
        <w:ind w:firstLine="480"/>
      </w:pPr>
      <w:r>
        <w:t>项目在厂区设置了一个面积为</w:t>
      </w:r>
      <w:r>
        <w:rPr>
          <w:rFonts w:hint="eastAsia"/>
        </w:rPr>
        <w:t>10</w:t>
      </w:r>
      <w:r>
        <w:t>0m</w:t>
      </w:r>
      <w:r>
        <w:rPr>
          <w:vertAlign w:val="superscript"/>
        </w:rPr>
        <w:t>2</w:t>
      </w:r>
      <w:r>
        <w:t>的一般固废暂存间，按照</w:t>
      </w:r>
      <w:r>
        <w:rPr>
          <w:rFonts w:hint="eastAsia"/>
        </w:rPr>
        <w:t>《一般工业固体废物贮存和填埋污染控制标准》（GB18599-2020）要求</w:t>
      </w:r>
      <w:r>
        <w:t>进行建设，外售综合利用的固废在一般固废暂存间暂存。</w:t>
      </w:r>
      <w:r>
        <w:rPr>
          <w:rFonts w:hint="eastAsia"/>
        </w:rPr>
        <w:t>这部分废物妥善收集贮存后外卖，对环境影响不大。</w:t>
      </w:r>
    </w:p>
    <w:p>
      <w:pPr>
        <w:pStyle w:val="7"/>
        <w:ind w:firstLine="480"/>
      </w:pPr>
      <w:r>
        <w:rPr>
          <w:rFonts w:hint="eastAsia"/>
        </w:rPr>
        <w:t>2、生活垃圾</w:t>
      </w:r>
    </w:p>
    <w:p>
      <w:pPr>
        <w:pStyle w:val="7"/>
        <w:ind w:firstLine="480"/>
      </w:pPr>
      <w:r>
        <w:rPr>
          <w:rFonts w:hint="eastAsia"/>
        </w:rPr>
        <w:t>办公生活垃圾用垃圾桶收集，收集后由环卫部门清运处置，对环境影响不大。</w:t>
      </w:r>
    </w:p>
    <w:p>
      <w:pPr>
        <w:pStyle w:val="7"/>
        <w:ind w:firstLine="480"/>
      </w:pPr>
      <w:r>
        <w:rPr>
          <w:rFonts w:hint="eastAsia"/>
        </w:rPr>
        <w:t>3、危险废物</w:t>
      </w:r>
    </w:p>
    <w:p>
      <w:pPr>
        <w:pStyle w:val="7"/>
        <w:ind w:firstLine="480"/>
      </w:pPr>
      <w:r>
        <w:rPr>
          <w:rFonts w:hint="eastAsia"/>
        </w:rPr>
        <w:t>项目设置</w:t>
      </w:r>
      <w:r>
        <w:t>危险废物暂存</w:t>
      </w:r>
      <w:r>
        <w:rPr>
          <w:rFonts w:hint="eastAsia"/>
        </w:rPr>
        <w:t>间一处，面积200m</w:t>
      </w:r>
      <w:r>
        <w:rPr>
          <w:rFonts w:hint="eastAsia"/>
          <w:vertAlign w:val="superscript"/>
        </w:rPr>
        <w:t>2</w:t>
      </w:r>
      <w:r>
        <w:rPr>
          <w:rFonts w:hint="eastAsia"/>
        </w:rPr>
        <w:t>，位于一期工程生产车间南侧。</w:t>
      </w:r>
    </w:p>
    <w:p>
      <w:pPr>
        <w:spacing w:line="360" w:lineRule="auto"/>
        <w:ind w:firstLine="480"/>
      </w:pPr>
      <w:r>
        <w:t>（1）危险废物的收集</w:t>
      </w:r>
    </w:p>
    <w:p>
      <w:pPr>
        <w:spacing w:line="360" w:lineRule="auto"/>
        <w:ind w:firstLine="480"/>
      </w:pPr>
      <w:bookmarkStart w:id="140" w:name="_Toc20746"/>
      <w:r>
        <w:t>本项目危险废物的管理严格执行《危险废物规范化管理指标体系》，危险废物的收集应满足《危险废物收集、贮存、运输技术规范》（HJ2025-2012）的要求，要求如下：</w:t>
      </w:r>
      <w:bookmarkEnd w:id="140"/>
    </w:p>
    <w:p>
      <w:pPr>
        <w:spacing w:line="360" w:lineRule="auto"/>
        <w:ind w:firstLine="480"/>
      </w:pPr>
      <w:bookmarkStart w:id="141" w:name="_Toc5067"/>
      <w:r>
        <w:t>①制定危险废物收集操作规程，内容包括适用范围、操作程序和方法、专用设备和工具、转移和交接、安全保障和应急防护等。</w:t>
      </w:r>
      <w:bookmarkEnd w:id="141"/>
      <w:r>
        <w:t xml:space="preserve">    </w:t>
      </w:r>
    </w:p>
    <w:p>
      <w:pPr>
        <w:spacing w:line="360" w:lineRule="auto"/>
        <w:ind w:firstLine="480"/>
      </w:pPr>
      <w:bookmarkStart w:id="142" w:name="_Toc14283"/>
      <w:r>
        <w:t>②危险废物收集和转运作业人员根据工作需要配备必要的个人防护装备，如手套、防护镜、防护服、防毒面具或口罩等。</w:t>
      </w:r>
      <w:bookmarkEnd w:id="142"/>
    </w:p>
    <w:p>
      <w:pPr>
        <w:spacing w:line="360" w:lineRule="auto"/>
        <w:ind w:firstLine="480"/>
      </w:pPr>
      <w:bookmarkStart w:id="143" w:name="_Toc19892"/>
      <w:r>
        <w:t>③在危险废物收集和转运过程中，采取相应的安全防护和污染防治措施，包括防爆、防火、防泄漏、防飞扬、防雨或其他防治污染环境的措施。</w:t>
      </w:r>
      <w:bookmarkEnd w:id="143"/>
    </w:p>
    <w:p>
      <w:pPr>
        <w:spacing w:line="360" w:lineRule="auto"/>
        <w:ind w:firstLine="480"/>
      </w:pPr>
      <w:bookmarkStart w:id="144" w:name="_Toc29228"/>
      <w:r>
        <w:t>④危险废物收集时应根据危险废物的种类、数量、危险特性、物理形态、运输要求等因素选择合适的包装形式。</w:t>
      </w:r>
      <w:bookmarkEnd w:id="144"/>
    </w:p>
    <w:p>
      <w:pPr>
        <w:spacing w:line="360" w:lineRule="auto"/>
        <w:ind w:firstLine="480"/>
      </w:pPr>
      <w:bookmarkStart w:id="145" w:name="_Toc20064"/>
      <w:r>
        <w:t>（2）危险废物的贮存</w:t>
      </w:r>
      <w:bookmarkEnd w:id="145"/>
    </w:p>
    <w:p>
      <w:pPr>
        <w:pStyle w:val="7"/>
        <w:ind w:firstLine="480"/>
      </w:pPr>
      <w:bookmarkStart w:id="146" w:name="_Toc10336"/>
      <w:r>
        <w:rPr>
          <w:rFonts w:hint="eastAsia"/>
        </w:rPr>
        <w:t>本项目新建一座危废暂存间</w:t>
      </w:r>
      <w:r>
        <w:t>，</w:t>
      </w:r>
      <w:r>
        <w:rPr>
          <w:rFonts w:hint="eastAsia"/>
        </w:rPr>
        <w:t>危废暂存间内危险废物</w:t>
      </w:r>
      <w:r>
        <w:t>分开存放，并设隔离间隔断</w:t>
      </w:r>
      <w:r>
        <w:rPr>
          <w:rFonts w:hint="eastAsia"/>
        </w:rPr>
        <w:t>，采取</w:t>
      </w:r>
      <w:r>
        <w:rPr>
          <w:rFonts w:hint="eastAsia" w:ascii="宋体" w:hAnsi="宋体" w:cs="宋体"/>
        </w:rPr>
        <w:t>了“四防”（防风、防雨、防晒、防渗漏）措施，</w:t>
      </w:r>
      <w:r>
        <w:t>面积约为</w:t>
      </w:r>
      <w:r>
        <w:rPr>
          <w:rFonts w:hint="eastAsia"/>
        </w:rPr>
        <w:t>200</w:t>
      </w:r>
      <w:r>
        <w:t>m</w:t>
      </w:r>
      <w:r>
        <w:rPr>
          <w:vertAlign w:val="superscript"/>
        </w:rPr>
        <w:t>2</w:t>
      </w:r>
      <w:r>
        <w:t>，危废暂存间可以容纳</w:t>
      </w:r>
      <w:r>
        <w:rPr>
          <w:rFonts w:hint="eastAsia"/>
        </w:rPr>
        <w:t>原有</w:t>
      </w:r>
      <w:r>
        <w:t>项目</w:t>
      </w:r>
      <w:r>
        <w:rPr>
          <w:rFonts w:hint="eastAsia"/>
        </w:rPr>
        <w:t>及本拟建项目</w:t>
      </w:r>
      <w:r>
        <w:t>产生的</w:t>
      </w:r>
      <w:r>
        <w:rPr>
          <w:rFonts w:hint="eastAsia"/>
        </w:rPr>
        <w:t>危险废物</w:t>
      </w:r>
      <w:r>
        <w:t>。危废暂存间按照《危险废物收集、贮存、运输技术规范》（HJ2025-2012）以及《危险废物贮存污染控制标准》（GB 18597-2001）及修改单的相关要求进行建设。项目危险废物转入及转出时由危废仓库管理人员填写《危险废物出入库交接记录表》，纳入危废贮存档案进行管理。</w:t>
      </w:r>
      <w:bookmarkEnd w:id="146"/>
    </w:p>
    <w:p>
      <w:pPr>
        <w:pStyle w:val="7"/>
        <w:ind w:firstLine="480"/>
      </w:pPr>
      <w:r>
        <w:t>对照《危险废物贮存污染控制标准》（GB18597-2001）及其2013修改单中危险废物贮存设施的选址要求，本项目危险废物暂存</w:t>
      </w:r>
      <w:r>
        <w:rPr>
          <w:rFonts w:hint="eastAsia"/>
        </w:rPr>
        <w:t>间</w:t>
      </w:r>
      <w:r>
        <w:t>与其相符性分析如表</w:t>
      </w:r>
      <w:r>
        <w:rPr>
          <w:rFonts w:hint="eastAsia"/>
        </w:rPr>
        <w:t>6.6</w:t>
      </w:r>
      <w:r>
        <w:t>-</w:t>
      </w:r>
      <w:r>
        <w:rPr>
          <w:rFonts w:hint="eastAsia"/>
        </w:rPr>
        <w:t>2</w:t>
      </w:r>
      <w:r>
        <w:t>。</w:t>
      </w:r>
    </w:p>
    <w:p>
      <w:pPr>
        <w:pStyle w:val="31"/>
      </w:pPr>
      <w:r>
        <w:t>表</w:t>
      </w:r>
      <w:r>
        <w:rPr>
          <w:rFonts w:hint="eastAsia"/>
        </w:rPr>
        <w:t>6.6</w:t>
      </w:r>
      <w:r>
        <w:t>-2</w:t>
      </w:r>
      <w:r>
        <w:rPr>
          <w:rFonts w:hint="eastAsia"/>
        </w:rPr>
        <w:t xml:space="preserve">  </w:t>
      </w:r>
      <w:r>
        <w:t>危废暂存间建设和相关技术规范和控制标准的符合性对比表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4091"/>
        <w:gridCol w:w="3080"/>
        <w:gridCol w:w="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tcBorders>
              <w:tl2br w:val="nil"/>
              <w:tr2bl w:val="nil"/>
            </w:tcBorders>
            <w:vAlign w:val="center"/>
          </w:tcPr>
          <w:p>
            <w:pPr>
              <w:pStyle w:val="33"/>
            </w:pPr>
            <w:r>
              <w:t>项目</w:t>
            </w:r>
          </w:p>
        </w:tc>
        <w:tc>
          <w:tcPr>
            <w:tcW w:w="2400" w:type="pct"/>
            <w:vMerge w:val="restart"/>
            <w:tcBorders>
              <w:tl2br w:val="nil"/>
              <w:tr2bl w:val="nil"/>
            </w:tcBorders>
            <w:vAlign w:val="center"/>
          </w:tcPr>
          <w:p>
            <w:pPr>
              <w:pStyle w:val="33"/>
            </w:pPr>
            <w:r>
              <w:t>相关技术规范和控制标准要求</w:t>
            </w:r>
          </w:p>
        </w:tc>
        <w:tc>
          <w:tcPr>
            <w:tcW w:w="1807" w:type="pct"/>
            <w:vMerge w:val="restart"/>
            <w:tcBorders>
              <w:tl2br w:val="nil"/>
              <w:tr2bl w:val="nil"/>
            </w:tcBorders>
            <w:vAlign w:val="center"/>
          </w:tcPr>
          <w:p>
            <w:pPr>
              <w:pStyle w:val="33"/>
            </w:pPr>
            <w:r>
              <w:t>拟建危废暂存间设计建设情况</w:t>
            </w:r>
          </w:p>
        </w:tc>
        <w:tc>
          <w:tcPr>
            <w:tcW w:w="408" w:type="pct"/>
            <w:vMerge w:val="restart"/>
            <w:tcBorders>
              <w:tl2br w:val="nil"/>
              <w:tr2bl w:val="nil"/>
            </w:tcBorders>
            <w:vAlign w:val="center"/>
          </w:tcPr>
          <w:p>
            <w:pPr>
              <w:pStyle w:val="33"/>
            </w:pPr>
            <w: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vMerge w:val="continue"/>
            <w:tcBorders>
              <w:tl2br w:val="nil"/>
              <w:tr2bl w:val="nil"/>
            </w:tcBorders>
            <w:vAlign w:val="center"/>
          </w:tcPr>
          <w:p>
            <w:pPr>
              <w:pStyle w:val="33"/>
            </w:pPr>
          </w:p>
        </w:tc>
        <w:tc>
          <w:tcPr>
            <w:tcW w:w="1807" w:type="pct"/>
            <w:vMerge w:val="continue"/>
            <w:tcBorders>
              <w:tl2br w:val="nil"/>
              <w:tr2bl w:val="nil"/>
            </w:tcBorders>
            <w:vAlign w:val="center"/>
          </w:tcPr>
          <w:p>
            <w:pPr>
              <w:pStyle w:val="33"/>
            </w:pPr>
          </w:p>
        </w:tc>
        <w:tc>
          <w:tcPr>
            <w:tcW w:w="408" w:type="pct"/>
            <w:vMerge w:val="continue"/>
            <w:tcBorders>
              <w:tl2br w:val="nil"/>
              <w:tr2bl w:val="nil"/>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tcBorders>
              <w:tl2br w:val="nil"/>
              <w:tr2bl w:val="nil"/>
            </w:tcBorders>
            <w:vAlign w:val="center"/>
          </w:tcPr>
          <w:p>
            <w:pPr>
              <w:pStyle w:val="33"/>
            </w:pPr>
            <w:r>
              <w:t>选址</w:t>
            </w:r>
          </w:p>
        </w:tc>
        <w:tc>
          <w:tcPr>
            <w:tcW w:w="2400" w:type="pct"/>
            <w:tcBorders>
              <w:tl2br w:val="nil"/>
              <w:tr2bl w:val="nil"/>
            </w:tcBorders>
            <w:vAlign w:val="center"/>
          </w:tcPr>
          <w:p>
            <w:pPr>
              <w:pStyle w:val="33"/>
            </w:pPr>
            <w:r>
              <w:t>地质结构稳定，地震烈度不超过7度的区域内</w:t>
            </w:r>
          </w:p>
        </w:tc>
        <w:tc>
          <w:tcPr>
            <w:tcW w:w="1807" w:type="pct"/>
            <w:tcBorders>
              <w:tl2br w:val="nil"/>
              <w:tr2bl w:val="nil"/>
            </w:tcBorders>
            <w:vAlign w:val="center"/>
          </w:tcPr>
          <w:p>
            <w:pPr>
              <w:pStyle w:val="33"/>
            </w:pPr>
            <w:r>
              <w:t>根据《建筑抗震设计规范（GB50011-2001）》标准划分，</w:t>
            </w:r>
            <w:r>
              <w:rPr>
                <w:rFonts w:hint="eastAsia"/>
              </w:rPr>
              <w:t>项目区地</w:t>
            </w:r>
            <w:r>
              <w:t>震烈度为6度</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设施底部必须高于地下水最高水位</w:t>
            </w:r>
          </w:p>
        </w:tc>
        <w:tc>
          <w:tcPr>
            <w:tcW w:w="1807" w:type="pct"/>
            <w:tcBorders>
              <w:tl2br w:val="nil"/>
              <w:tr2bl w:val="nil"/>
            </w:tcBorders>
            <w:vAlign w:val="center"/>
          </w:tcPr>
          <w:p>
            <w:pPr>
              <w:pStyle w:val="33"/>
            </w:pPr>
            <w:r>
              <w:t xml:space="preserve">为地上建筑，高于地下水最高水位 </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应避免建在溶洞区或易遭受严重自然灾害如洪水、滑坡，泥石流、潮汐等影响的地区</w:t>
            </w:r>
          </w:p>
        </w:tc>
        <w:tc>
          <w:tcPr>
            <w:tcW w:w="1807" w:type="pct"/>
            <w:tcBorders>
              <w:tl2br w:val="nil"/>
              <w:tr2bl w:val="nil"/>
            </w:tcBorders>
            <w:vAlign w:val="center"/>
          </w:tcPr>
          <w:p>
            <w:pPr>
              <w:pStyle w:val="33"/>
            </w:pPr>
            <w:r>
              <w:rPr>
                <w:rFonts w:hint="eastAsia"/>
              </w:rPr>
              <w:t>项目区</w:t>
            </w:r>
            <w:r>
              <w:t>无溶洞区，也不属于易洪水、滑坡、泥石流、潮汐等影响的地区</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应位于居民中心区常年最大风频的下风</w:t>
            </w:r>
          </w:p>
        </w:tc>
        <w:tc>
          <w:tcPr>
            <w:tcW w:w="1807" w:type="pct"/>
            <w:tcBorders>
              <w:tl2br w:val="nil"/>
              <w:tr2bl w:val="nil"/>
            </w:tcBorders>
            <w:vAlign w:val="center"/>
          </w:tcPr>
          <w:p>
            <w:pPr>
              <w:pStyle w:val="33"/>
            </w:pPr>
            <w:r>
              <w:t>位于厂区办公生活区年主导风向侧风向</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tcBorders>
              <w:tl2br w:val="nil"/>
              <w:tr2bl w:val="nil"/>
            </w:tcBorders>
            <w:vAlign w:val="center"/>
          </w:tcPr>
          <w:p>
            <w:pPr>
              <w:pStyle w:val="33"/>
            </w:pPr>
            <w:r>
              <w:t>设计原则</w:t>
            </w:r>
          </w:p>
        </w:tc>
        <w:tc>
          <w:tcPr>
            <w:tcW w:w="2400" w:type="pct"/>
            <w:tcBorders>
              <w:tl2br w:val="nil"/>
              <w:tr2bl w:val="nil"/>
            </w:tcBorders>
            <w:vAlign w:val="center"/>
          </w:tcPr>
          <w:p>
            <w:pPr>
              <w:pStyle w:val="33"/>
            </w:pPr>
            <w:r>
              <w:t>地面与裙脚要用坚固、防渗的材料建造，建筑材料必须与危险废物相容</w:t>
            </w:r>
          </w:p>
        </w:tc>
        <w:tc>
          <w:tcPr>
            <w:tcW w:w="1807" w:type="pct"/>
            <w:tcBorders>
              <w:tl2br w:val="nil"/>
              <w:tr2bl w:val="nil"/>
            </w:tcBorders>
            <w:vAlign w:val="center"/>
          </w:tcPr>
          <w:p>
            <w:pPr>
              <w:pStyle w:val="33"/>
            </w:pPr>
            <w:r>
              <w:t xml:space="preserve">地面与裙脚采用非金属复合型防渗耐腐建筑材料建造 </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必须有泄漏液体收集装置、气体导出口及气体净化装置</w:t>
            </w:r>
          </w:p>
        </w:tc>
        <w:tc>
          <w:tcPr>
            <w:tcW w:w="1807" w:type="pct"/>
            <w:tcBorders>
              <w:tl2br w:val="nil"/>
              <w:tr2bl w:val="nil"/>
            </w:tcBorders>
            <w:vAlign w:val="center"/>
          </w:tcPr>
          <w:p>
            <w:pPr>
              <w:pStyle w:val="33"/>
            </w:pPr>
            <w:r>
              <w:t xml:space="preserve">地面设置导流沟，并通过管道和事故应急池连接 </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设施内要有安全照明设施和观察窗口</w:t>
            </w:r>
          </w:p>
        </w:tc>
        <w:tc>
          <w:tcPr>
            <w:tcW w:w="1807" w:type="pct"/>
            <w:tcBorders>
              <w:tl2br w:val="nil"/>
              <w:tr2bl w:val="nil"/>
            </w:tcBorders>
            <w:vAlign w:val="center"/>
          </w:tcPr>
          <w:p>
            <w:pPr>
              <w:pStyle w:val="33"/>
            </w:pPr>
            <w:r>
              <w:t xml:space="preserve">安装安全照明设施，设置观察窗口 </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用以存放装载液体、半固体危险废物容器的地方，必须有耐腐蚀的硬化地面，且表面无裂隙</w:t>
            </w:r>
          </w:p>
        </w:tc>
        <w:tc>
          <w:tcPr>
            <w:tcW w:w="1807" w:type="pct"/>
            <w:tcBorders>
              <w:tl2br w:val="nil"/>
              <w:tr2bl w:val="nil"/>
            </w:tcBorders>
            <w:vAlign w:val="center"/>
          </w:tcPr>
          <w:p>
            <w:pPr>
              <w:pStyle w:val="33"/>
            </w:pPr>
            <w:r>
              <w:t>项目危险废物为固体，地面与裙脚采用非金属复合型防渗耐腐建筑材料建造</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应设计堵截泄漏的裙脚，地面与裙脚所围建的容积不低于堵截最大容器的最大储量或总储量的五分之一</w:t>
            </w:r>
          </w:p>
        </w:tc>
        <w:tc>
          <w:tcPr>
            <w:tcW w:w="1807" w:type="pct"/>
            <w:tcBorders>
              <w:tl2br w:val="nil"/>
              <w:tr2bl w:val="nil"/>
            </w:tcBorders>
            <w:vAlign w:val="center"/>
          </w:tcPr>
          <w:p>
            <w:pPr>
              <w:pStyle w:val="33"/>
            </w:pPr>
            <w:r>
              <w:t>地面与裙脚采用非金属复合型防渗耐腐建筑材料建造，地面与裙脚所围建的容积为5m3</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 xml:space="preserve">不相容的危险废物必须分开存放，并设有隔离间隔断 </w:t>
            </w:r>
          </w:p>
        </w:tc>
        <w:tc>
          <w:tcPr>
            <w:tcW w:w="1807" w:type="pct"/>
            <w:tcBorders>
              <w:tl2br w:val="nil"/>
              <w:tr2bl w:val="nil"/>
            </w:tcBorders>
            <w:vAlign w:val="center"/>
          </w:tcPr>
          <w:p>
            <w:pPr>
              <w:pStyle w:val="33"/>
            </w:pPr>
            <w:r>
              <w:t>危险废物分开存放，并设有隔离间隔断</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rPr>
                <w:rFonts w:hint="eastAsia"/>
              </w:rPr>
              <w:t xml:space="preserve">      </w:t>
            </w:r>
            <w:r>
              <w:t>基础必须防渗，防渗层为至少1米厚粘土层（渗透系数≤10-7厘米/秒），或2毫米厚高密度聚乙烯，或至少2毫米厚的其它人工材料，渗透系数≤10-10厘米/秒</w:t>
            </w:r>
          </w:p>
        </w:tc>
        <w:tc>
          <w:tcPr>
            <w:tcW w:w="1807" w:type="pct"/>
            <w:tcBorders>
              <w:tl2br w:val="nil"/>
              <w:tr2bl w:val="nil"/>
            </w:tcBorders>
            <w:vAlign w:val="center"/>
          </w:tcPr>
          <w:p>
            <w:pPr>
              <w:pStyle w:val="33"/>
            </w:pPr>
            <w:r>
              <w:t>基础采用2毫米厚高密度聚乙烯膜作为防渗层</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tcBorders>
              <w:tl2br w:val="nil"/>
              <w:tr2bl w:val="nil"/>
            </w:tcBorders>
            <w:vAlign w:val="center"/>
          </w:tcPr>
          <w:p>
            <w:pPr>
              <w:pStyle w:val="33"/>
            </w:pPr>
            <w:r>
              <w:t>安全防护</w:t>
            </w:r>
          </w:p>
        </w:tc>
        <w:tc>
          <w:tcPr>
            <w:tcW w:w="2400" w:type="pct"/>
            <w:tcBorders>
              <w:tl2br w:val="nil"/>
              <w:tr2bl w:val="nil"/>
            </w:tcBorders>
            <w:vAlign w:val="center"/>
          </w:tcPr>
          <w:p>
            <w:pPr>
              <w:pStyle w:val="33"/>
            </w:pPr>
            <w:r>
              <w:t>危险废物贮存设施都必须按 GB15562.2 的规定设置警示标志</w:t>
            </w:r>
          </w:p>
        </w:tc>
        <w:tc>
          <w:tcPr>
            <w:tcW w:w="1807" w:type="pct"/>
            <w:tcBorders>
              <w:tl2br w:val="nil"/>
              <w:tr2bl w:val="nil"/>
            </w:tcBorders>
            <w:vAlign w:val="center"/>
          </w:tcPr>
          <w:p>
            <w:pPr>
              <w:pStyle w:val="33"/>
            </w:pPr>
            <w:r>
              <w:t>按《环境保护图形标志—固体废物贮存（处置）场》等的要求，在库房外明显处设置危险废物警示标识</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危险废物贮存设施周围应设置围墙</w:t>
            </w:r>
            <w:r>
              <w:rPr>
                <w:rFonts w:hint="eastAsia"/>
                <w:lang w:eastAsia="zh-CN"/>
              </w:rPr>
              <w:t>或其他</w:t>
            </w:r>
            <w:r>
              <w:t>防护栅栏</w:t>
            </w:r>
          </w:p>
        </w:tc>
        <w:tc>
          <w:tcPr>
            <w:tcW w:w="1807" w:type="pct"/>
            <w:tcBorders>
              <w:tl2br w:val="nil"/>
              <w:tr2bl w:val="nil"/>
            </w:tcBorders>
            <w:vAlign w:val="center"/>
          </w:tcPr>
          <w:p>
            <w:pPr>
              <w:pStyle w:val="33"/>
            </w:pPr>
            <w:r>
              <w:t>危险废物暂存间为一封闭式建筑</w:t>
            </w:r>
          </w:p>
        </w:tc>
        <w:tc>
          <w:tcPr>
            <w:tcW w:w="408" w:type="pct"/>
            <w:tcBorders>
              <w:tl2br w:val="nil"/>
              <w:tr2bl w:val="nil"/>
            </w:tcBorders>
            <w:vAlign w:val="center"/>
          </w:tcPr>
          <w:p>
            <w:pPr>
              <w:pStyle w:val="33"/>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tcBorders>
              <w:tl2br w:val="nil"/>
              <w:tr2bl w:val="nil"/>
            </w:tcBorders>
            <w:vAlign w:val="center"/>
          </w:tcPr>
          <w:p>
            <w:pPr>
              <w:pStyle w:val="33"/>
            </w:pPr>
          </w:p>
        </w:tc>
        <w:tc>
          <w:tcPr>
            <w:tcW w:w="2400" w:type="pct"/>
            <w:tcBorders>
              <w:tl2br w:val="nil"/>
              <w:tr2bl w:val="nil"/>
            </w:tcBorders>
            <w:vAlign w:val="center"/>
          </w:tcPr>
          <w:p>
            <w:pPr>
              <w:pStyle w:val="33"/>
            </w:pPr>
            <w:r>
              <w:t>危险废物贮存设施应配备通讯设备、照明设施、安全防护服装及工具，</w:t>
            </w:r>
          </w:p>
          <w:p>
            <w:pPr>
              <w:pStyle w:val="33"/>
            </w:pPr>
            <w:r>
              <w:t>并设有应急防护设施</w:t>
            </w:r>
          </w:p>
        </w:tc>
        <w:tc>
          <w:tcPr>
            <w:tcW w:w="1807" w:type="pct"/>
            <w:tcBorders>
              <w:tl2br w:val="nil"/>
              <w:tr2bl w:val="nil"/>
            </w:tcBorders>
            <w:vAlign w:val="center"/>
          </w:tcPr>
          <w:p>
            <w:pPr>
              <w:pStyle w:val="33"/>
            </w:pPr>
            <w:r>
              <w:t>配备通讯设备、照明设施、安全防护服装及工具，并设有应急防护设施</w:t>
            </w:r>
          </w:p>
        </w:tc>
        <w:tc>
          <w:tcPr>
            <w:tcW w:w="408" w:type="pct"/>
            <w:tcBorders>
              <w:tl2br w:val="nil"/>
              <w:tr2bl w:val="nil"/>
            </w:tcBorders>
            <w:vAlign w:val="center"/>
          </w:tcPr>
          <w:p>
            <w:pPr>
              <w:pStyle w:val="33"/>
            </w:pPr>
            <w:r>
              <w:t>符合</w:t>
            </w:r>
          </w:p>
        </w:tc>
      </w:tr>
    </w:tbl>
    <w:p>
      <w:pPr>
        <w:pStyle w:val="2"/>
        <w:spacing w:line="360" w:lineRule="auto"/>
        <w:ind w:left="0" w:leftChars="0" w:firstLine="480"/>
      </w:pPr>
      <w:r>
        <w:t>由上表分析可见，本项目在采取一定防治措施后，与</w:t>
      </w:r>
      <w:r>
        <w:rPr>
          <w:bCs/>
        </w:rPr>
        <w:t>《危险废物贮存污染控制标准》（GB18597-2001）及其2013修改单</w:t>
      </w:r>
      <w:r>
        <w:t>中危险废物贮存设施的选址要求相符。</w:t>
      </w:r>
      <w:r>
        <w:rPr>
          <w:rFonts w:hint="eastAsia"/>
        </w:rPr>
        <w:t>通过严格的管理和分类，产生的固体废物可得到妥善的处置，则对环境造成的影响较小。</w:t>
      </w:r>
    </w:p>
    <w:p>
      <w:pPr>
        <w:pStyle w:val="5"/>
      </w:pPr>
      <w:bookmarkStart w:id="147" w:name="_Toc22476"/>
      <w:r>
        <w:rPr>
          <w:rFonts w:hint="eastAsia"/>
        </w:rPr>
        <w:t>6.7运行期生态环境影响分析</w:t>
      </w:r>
      <w:bookmarkEnd w:id="147"/>
    </w:p>
    <w:p>
      <w:pPr>
        <w:pStyle w:val="8"/>
      </w:pPr>
      <w:r>
        <w:rPr>
          <w:rFonts w:hint="eastAsia"/>
        </w:rPr>
        <w:t>6.7.1动物影响分析</w:t>
      </w:r>
    </w:p>
    <w:p>
      <w:pPr>
        <w:pStyle w:val="7"/>
        <w:ind w:firstLine="480"/>
      </w:pPr>
      <w:r>
        <w:rPr>
          <w:rFonts w:hint="eastAsia"/>
        </w:rPr>
        <w:t>本项目位于工业园区内，用地为“三通一平”的工业建设用地，本项目建设不会对动物产生影响。</w:t>
      </w:r>
    </w:p>
    <w:p>
      <w:pPr>
        <w:pStyle w:val="8"/>
      </w:pPr>
      <w:r>
        <w:rPr>
          <w:rFonts w:hint="eastAsia"/>
        </w:rPr>
        <w:t>6.7.2土地利用影响分析</w:t>
      </w:r>
    </w:p>
    <w:p>
      <w:pPr>
        <w:pStyle w:val="7"/>
        <w:ind w:firstLine="480"/>
      </w:pPr>
      <w:r>
        <w:rPr>
          <w:rFonts w:hint="eastAsia"/>
        </w:rPr>
        <w:t>工程建设对土地的主要影响是占用建设用地，因此工程占地不会对区域周边的整体农业、林业生产带来影响。</w:t>
      </w:r>
    </w:p>
    <w:p>
      <w:pPr>
        <w:pStyle w:val="8"/>
      </w:pPr>
      <w:r>
        <w:rPr>
          <w:rFonts w:hint="eastAsia"/>
        </w:rPr>
        <w:t>6.7.3生态系统类型和完整性影响分析</w:t>
      </w:r>
    </w:p>
    <w:p>
      <w:pPr>
        <w:pStyle w:val="7"/>
        <w:ind w:firstLine="480"/>
      </w:pPr>
      <w:r>
        <w:rPr>
          <w:rFonts w:hint="eastAsia"/>
        </w:rPr>
        <w:t>本项目占地类型已调整为建设用地，环保治理措施较为全面。从当地自然生态系统的整体性和敏感性来看，影响是局地性的和短期的。通过针对性的生态恢复措施，增加生态品种的多样性，较大的程度上减缓负面影响，不会对生态系统的整体性造成大的影响。</w:t>
      </w:r>
    </w:p>
    <w:p>
      <w:pPr>
        <w:pStyle w:val="8"/>
      </w:pPr>
      <w:r>
        <w:rPr>
          <w:rFonts w:hint="eastAsia"/>
        </w:rPr>
        <w:t>6.7.4生态保护措施</w:t>
      </w:r>
    </w:p>
    <w:p>
      <w:pPr>
        <w:pStyle w:val="7"/>
        <w:ind w:firstLine="480"/>
      </w:pPr>
      <w:r>
        <w:rPr>
          <w:rFonts w:hint="eastAsia"/>
        </w:rPr>
        <w:t>1、生态保护措施</w:t>
      </w:r>
    </w:p>
    <w:p>
      <w:pPr>
        <w:pStyle w:val="7"/>
        <w:ind w:firstLine="480"/>
      </w:pPr>
      <w:r>
        <w:rPr>
          <w:rFonts w:hint="eastAsia"/>
        </w:rPr>
        <w:t>施工中要尽量做到“挖填平衡”，减少弃方和借方，</w:t>
      </w:r>
      <w:r>
        <w:rPr>
          <w:rFonts w:hint="eastAsia"/>
          <w:lang w:eastAsia="zh-CN"/>
        </w:rPr>
        <w:t>必需的</w:t>
      </w:r>
      <w:r>
        <w:rPr>
          <w:rFonts w:hint="eastAsia"/>
        </w:rPr>
        <w:t>弃土、弃石、弃渣要设有专门的存放地和防治水土流失的工程设施；施工过程中应尽可能减少植被的破坏面积，对施工期临时占用的农田耕地，应及时覆土还耕。</w:t>
      </w:r>
    </w:p>
    <w:p>
      <w:pPr>
        <w:pStyle w:val="7"/>
        <w:ind w:firstLine="480"/>
      </w:pPr>
      <w:r>
        <w:rPr>
          <w:rFonts w:hint="eastAsia"/>
        </w:rPr>
        <w:t>工程在竣工后通过场地硬化和绿化措施，对项目厂区内可以绿化地段进行植被覆盖，植被能得到一定程度的恢复，同时也起到减轻水土流失、净化空气和美化环境等作用，使项目区域生态功能得到改善。</w:t>
      </w:r>
    </w:p>
    <w:p>
      <w:pPr>
        <w:pStyle w:val="7"/>
        <w:ind w:firstLine="480"/>
      </w:pPr>
      <w:r>
        <w:rPr>
          <w:rFonts w:hint="eastAsia"/>
        </w:rPr>
        <w:t>2、土壤作物保护措施</w:t>
      </w:r>
    </w:p>
    <w:p>
      <w:pPr>
        <w:pStyle w:val="7"/>
        <w:ind w:firstLine="480"/>
      </w:pPr>
      <w:r>
        <w:rPr>
          <w:rFonts w:hint="eastAsia"/>
        </w:rPr>
        <w:t>针对本项目存在的对土壤作物影响类型，本项目建成后土壤作物保护措施应重点对排放的大气污染物进行控制，确保氟化物达标排放，并且降低排放量，从而控制经大气环境沉降进入土壤和植物中的污染物量，控制污染物对土壤、作物环境造成的影响。目前厂址周围种植的农作物主要是玉米，玉米对HF为中等敏感作物，本项目建成投产后，对该类农作物的影响较小。</w:t>
      </w:r>
    </w:p>
    <w:p>
      <w:pPr>
        <w:pStyle w:val="7"/>
        <w:ind w:firstLine="480"/>
      </w:pPr>
      <w:r>
        <w:rPr>
          <w:rFonts w:hint="eastAsia"/>
        </w:rPr>
        <w:t>为保证作物正常生长，根据本项目排放的特征污染物，建议厂址外围区域农作物种类调整为对氟化物中等敏感和抗性作物为主，避免种植对氟化物敏感的农作物。</w:t>
      </w:r>
    </w:p>
    <w:p>
      <w:pPr>
        <w:pStyle w:val="8"/>
      </w:pPr>
      <w:r>
        <w:rPr>
          <w:rFonts w:hint="eastAsia"/>
        </w:rPr>
        <w:t>6.7.5结论</w:t>
      </w:r>
    </w:p>
    <w:p>
      <w:pPr>
        <w:pStyle w:val="7"/>
        <w:ind w:firstLine="480"/>
      </w:pPr>
      <w:r>
        <w:rPr>
          <w:rFonts w:hint="eastAsia"/>
        </w:rPr>
        <w:t>本项目占地类型为工业园区的建设用地。厂址区域内无保护类动、植物分布，项目的建设、运行不会对当地生态结构、生态平衡造成不利影响。</w:t>
      </w:r>
    </w:p>
    <w:p>
      <w:pPr>
        <w:pStyle w:val="5"/>
      </w:pPr>
      <w:bookmarkStart w:id="148" w:name="_Toc24620"/>
      <w:r>
        <w:rPr>
          <w:rFonts w:hint="eastAsia"/>
        </w:rPr>
        <w:t>6.8运行期土壤环境影响评价</w:t>
      </w:r>
      <w:bookmarkEnd w:id="148"/>
    </w:p>
    <w:p>
      <w:pPr>
        <w:pStyle w:val="8"/>
      </w:pPr>
      <w:r>
        <w:rPr>
          <w:rFonts w:hint="eastAsia"/>
        </w:rPr>
        <w:t>6.8.1土壤环境影响类型与影响途径识别</w:t>
      </w:r>
    </w:p>
    <w:p>
      <w:pPr>
        <w:pStyle w:val="7"/>
        <w:ind w:firstLine="480"/>
      </w:pPr>
      <w:r>
        <w:rPr>
          <w:rFonts w:hint="eastAsia"/>
        </w:rPr>
        <w:t>项目属于污染影响型。影响类型和影响途径见表6.8-1。</w:t>
      </w:r>
    </w:p>
    <w:p>
      <w:pPr>
        <w:pStyle w:val="31"/>
      </w:pPr>
      <w:r>
        <w:rPr>
          <w:rFonts w:hint="eastAsia"/>
        </w:rPr>
        <w:t>表6.8-1  建设项目土壤环境影响类型与影响途径</w:t>
      </w:r>
    </w:p>
    <w:tbl>
      <w:tblPr>
        <w:tblStyle w:val="2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05"/>
        <w:gridCol w:w="1705"/>
        <w:gridCol w:w="1704"/>
        <w:gridCol w:w="1704"/>
        <w:gridCol w:w="170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12" w:type="dxa"/>
            <w:vMerge w:val="restart"/>
          </w:tcPr>
          <w:p>
            <w:pPr>
              <w:pStyle w:val="33"/>
            </w:pPr>
            <w:r>
              <w:t>不同时段</w:t>
            </w:r>
          </w:p>
        </w:tc>
        <w:tc>
          <w:tcPr>
            <w:tcW w:w="7248" w:type="dxa"/>
            <w:gridSpan w:val="4"/>
          </w:tcPr>
          <w:p>
            <w:pPr>
              <w:pStyle w:val="33"/>
            </w:pPr>
            <w:r>
              <w:t>污染影响型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12" w:type="dxa"/>
            <w:vMerge w:val="continue"/>
          </w:tcPr>
          <w:p>
            <w:pPr>
              <w:pStyle w:val="33"/>
            </w:pPr>
          </w:p>
        </w:tc>
        <w:tc>
          <w:tcPr>
            <w:tcW w:w="1812" w:type="dxa"/>
          </w:tcPr>
          <w:p>
            <w:pPr>
              <w:pStyle w:val="33"/>
            </w:pPr>
            <w:r>
              <w:t>大气沉降</w:t>
            </w:r>
          </w:p>
        </w:tc>
        <w:tc>
          <w:tcPr>
            <w:tcW w:w="1812" w:type="dxa"/>
          </w:tcPr>
          <w:p>
            <w:pPr>
              <w:pStyle w:val="33"/>
            </w:pPr>
            <w:r>
              <w:t>地面漫流</w:t>
            </w:r>
          </w:p>
        </w:tc>
        <w:tc>
          <w:tcPr>
            <w:tcW w:w="1812" w:type="dxa"/>
          </w:tcPr>
          <w:p>
            <w:pPr>
              <w:pStyle w:val="33"/>
            </w:pPr>
            <w:r>
              <w:t>垂直入渗</w:t>
            </w:r>
          </w:p>
        </w:tc>
        <w:tc>
          <w:tcPr>
            <w:tcW w:w="1812" w:type="dxa"/>
          </w:tcPr>
          <w:p>
            <w:pPr>
              <w:pStyle w:val="33"/>
            </w:pPr>
            <w: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812" w:type="dxa"/>
          </w:tcPr>
          <w:p>
            <w:pPr>
              <w:pStyle w:val="33"/>
            </w:pPr>
            <w:r>
              <w:t>建设期</w:t>
            </w:r>
          </w:p>
        </w:tc>
        <w:tc>
          <w:tcPr>
            <w:tcW w:w="1812" w:type="dxa"/>
          </w:tcPr>
          <w:p>
            <w:pPr>
              <w:pStyle w:val="33"/>
            </w:pPr>
          </w:p>
        </w:tc>
        <w:tc>
          <w:tcPr>
            <w:tcW w:w="1812" w:type="dxa"/>
          </w:tcPr>
          <w:p>
            <w:pPr>
              <w:pStyle w:val="33"/>
            </w:pPr>
          </w:p>
        </w:tc>
        <w:tc>
          <w:tcPr>
            <w:tcW w:w="1812" w:type="dxa"/>
          </w:tcPr>
          <w:p>
            <w:pPr>
              <w:pStyle w:val="33"/>
            </w:pPr>
          </w:p>
        </w:tc>
        <w:tc>
          <w:tcPr>
            <w:tcW w:w="1812" w:type="dxa"/>
          </w:tcPr>
          <w:p>
            <w:pPr>
              <w:pStyle w:val="33"/>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12" w:type="dxa"/>
          </w:tcPr>
          <w:p>
            <w:pPr>
              <w:pStyle w:val="33"/>
            </w:pPr>
            <w:r>
              <w:t>运营期</w:t>
            </w:r>
          </w:p>
        </w:tc>
        <w:tc>
          <w:tcPr>
            <w:tcW w:w="1812" w:type="dxa"/>
          </w:tcPr>
          <w:p>
            <w:pPr>
              <w:pStyle w:val="33"/>
            </w:pPr>
            <w:r>
              <w:t>√</w:t>
            </w:r>
          </w:p>
        </w:tc>
        <w:tc>
          <w:tcPr>
            <w:tcW w:w="1812" w:type="dxa"/>
          </w:tcPr>
          <w:p>
            <w:pPr>
              <w:pStyle w:val="33"/>
            </w:pPr>
            <w:r>
              <w:t>√</w:t>
            </w:r>
          </w:p>
        </w:tc>
        <w:tc>
          <w:tcPr>
            <w:tcW w:w="1812" w:type="dxa"/>
          </w:tcPr>
          <w:p>
            <w:pPr>
              <w:pStyle w:val="33"/>
            </w:pPr>
            <w:r>
              <w:t>√</w:t>
            </w:r>
          </w:p>
        </w:tc>
        <w:tc>
          <w:tcPr>
            <w:tcW w:w="1812" w:type="dxa"/>
          </w:tcPr>
          <w:p>
            <w:pPr>
              <w:pStyle w:val="33"/>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812" w:type="dxa"/>
          </w:tcPr>
          <w:p>
            <w:pPr>
              <w:pStyle w:val="33"/>
            </w:pPr>
            <w:r>
              <w:t>服务期满后</w:t>
            </w:r>
          </w:p>
        </w:tc>
        <w:tc>
          <w:tcPr>
            <w:tcW w:w="1812" w:type="dxa"/>
          </w:tcPr>
          <w:p>
            <w:pPr>
              <w:pStyle w:val="33"/>
            </w:pPr>
          </w:p>
        </w:tc>
        <w:tc>
          <w:tcPr>
            <w:tcW w:w="1812" w:type="dxa"/>
          </w:tcPr>
          <w:p>
            <w:pPr>
              <w:pStyle w:val="33"/>
            </w:pPr>
          </w:p>
        </w:tc>
        <w:tc>
          <w:tcPr>
            <w:tcW w:w="1812" w:type="dxa"/>
          </w:tcPr>
          <w:p>
            <w:pPr>
              <w:pStyle w:val="33"/>
            </w:pPr>
          </w:p>
        </w:tc>
        <w:tc>
          <w:tcPr>
            <w:tcW w:w="1812" w:type="dxa"/>
          </w:tcPr>
          <w:p>
            <w:pPr>
              <w:pStyle w:val="33"/>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060" w:type="dxa"/>
            <w:gridSpan w:val="5"/>
          </w:tcPr>
          <w:p>
            <w:pPr>
              <w:pStyle w:val="33"/>
            </w:pPr>
            <w:r>
              <w:t>注：在可能产生的土壤环境影响类型处打“√”，列入未涵盖的可自行设计。</w:t>
            </w:r>
          </w:p>
        </w:tc>
      </w:tr>
    </w:tbl>
    <w:p>
      <w:pPr>
        <w:pStyle w:val="8"/>
      </w:pPr>
      <w:r>
        <w:rPr>
          <w:rFonts w:hint="eastAsia"/>
        </w:rPr>
        <w:t>6.8.2土壤环境影响源及影响因子识别</w:t>
      </w:r>
    </w:p>
    <w:p>
      <w:pPr>
        <w:pStyle w:val="31"/>
      </w:pPr>
      <w:r>
        <w:rPr>
          <w:rFonts w:hint="eastAsia"/>
        </w:rPr>
        <w:t>表6.8-2  建设项目土壤环境影响源及影响因子识别</w:t>
      </w:r>
    </w:p>
    <w:tbl>
      <w:tblPr>
        <w:tblStyle w:val="2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83"/>
        <w:gridCol w:w="2067"/>
        <w:gridCol w:w="1314"/>
        <w:gridCol w:w="2004"/>
        <w:gridCol w:w="1024"/>
        <w:gridCol w:w="13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0" w:type="pct"/>
            <w:vAlign w:val="center"/>
          </w:tcPr>
          <w:p>
            <w:pPr>
              <w:pStyle w:val="32"/>
            </w:pPr>
            <w:r>
              <w:t>污染源</w:t>
            </w:r>
          </w:p>
        </w:tc>
        <w:tc>
          <w:tcPr>
            <w:tcW w:w="1213" w:type="pct"/>
            <w:vAlign w:val="center"/>
          </w:tcPr>
          <w:p>
            <w:pPr>
              <w:pStyle w:val="32"/>
            </w:pPr>
            <w:r>
              <w:t>工艺流程/节点</w:t>
            </w:r>
          </w:p>
        </w:tc>
        <w:tc>
          <w:tcPr>
            <w:tcW w:w="771" w:type="pct"/>
            <w:vAlign w:val="center"/>
          </w:tcPr>
          <w:p>
            <w:pPr>
              <w:pStyle w:val="32"/>
            </w:pPr>
            <w:r>
              <w:t>污染途径</w:t>
            </w:r>
          </w:p>
        </w:tc>
        <w:tc>
          <w:tcPr>
            <w:tcW w:w="1176" w:type="pct"/>
            <w:vAlign w:val="center"/>
          </w:tcPr>
          <w:p>
            <w:pPr>
              <w:pStyle w:val="32"/>
            </w:pPr>
            <w:r>
              <w:t>全部污染物指标</w:t>
            </w:r>
            <w:r>
              <w:rPr>
                <w:vertAlign w:val="superscript"/>
              </w:rPr>
              <w:t>a</w:t>
            </w:r>
          </w:p>
        </w:tc>
        <w:tc>
          <w:tcPr>
            <w:tcW w:w="601" w:type="pct"/>
            <w:vAlign w:val="center"/>
          </w:tcPr>
          <w:p>
            <w:pPr>
              <w:pStyle w:val="32"/>
            </w:pPr>
            <w:r>
              <w:t>特征因子</w:t>
            </w:r>
          </w:p>
        </w:tc>
        <w:tc>
          <w:tcPr>
            <w:tcW w:w="778" w:type="pct"/>
            <w:vAlign w:val="center"/>
          </w:tcPr>
          <w:p>
            <w:pPr>
              <w:pStyle w:val="32"/>
            </w:pPr>
            <w:r>
              <w:t>备注</w:t>
            </w:r>
            <w:r>
              <w:rPr>
                <w:vertAlign w:val="superscript"/>
              </w:rPr>
              <w:t>b</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0" w:type="pct"/>
            <w:vMerge w:val="restart"/>
            <w:vAlign w:val="center"/>
          </w:tcPr>
          <w:p>
            <w:pPr>
              <w:pStyle w:val="32"/>
            </w:pPr>
            <w:r>
              <w:t>车间/场地</w:t>
            </w:r>
          </w:p>
        </w:tc>
        <w:tc>
          <w:tcPr>
            <w:tcW w:w="1213" w:type="pct"/>
            <w:vAlign w:val="center"/>
          </w:tcPr>
          <w:p>
            <w:pPr>
              <w:pStyle w:val="32"/>
            </w:pPr>
            <w:r>
              <w:rPr>
                <w:rFonts w:hint="eastAsia"/>
              </w:rPr>
              <w:t>一期生产车</w:t>
            </w:r>
            <w:r>
              <w:t>间</w:t>
            </w:r>
          </w:p>
        </w:tc>
        <w:tc>
          <w:tcPr>
            <w:tcW w:w="771" w:type="pct"/>
            <w:vAlign w:val="center"/>
          </w:tcPr>
          <w:p>
            <w:pPr>
              <w:pStyle w:val="32"/>
            </w:pPr>
            <w:r>
              <w:t>大气沉降</w:t>
            </w:r>
          </w:p>
        </w:tc>
        <w:tc>
          <w:tcPr>
            <w:tcW w:w="1176" w:type="pct"/>
            <w:vAlign w:val="center"/>
          </w:tcPr>
          <w:p>
            <w:pPr>
              <w:pStyle w:val="32"/>
            </w:pPr>
            <w:r>
              <w:t>颗粒物、SO</w:t>
            </w:r>
            <w:r>
              <w:rPr>
                <w:vertAlign w:val="subscript"/>
              </w:rPr>
              <w:t>2</w:t>
            </w:r>
            <w:r>
              <w:t>、氟化物</w:t>
            </w:r>
          </w:p>
        </w:tc>
        <w:tc>
          <w:tcPr>
            <w:tcW w:w="601" w:type="pct"/>
            <w:vAlign w:val="center"/>
          </w:tcPr>
          <w:p>
            <w:pPr>
              <w:pStyle w:val="32"/>
              <w:rPr>
                <w:rFonts w:hint="eastAsia" w:eastAsia="宋体"/>
                <w:lang w:eastAsia="zh-CN"/>
              </w:rPr>
            </w:pPr>
            <w:r>
              <w:rPr>
                <w:rFonts w:hint="eastAsia"/>
                <w:lang w:val="en-US" w:eastAsia="zh-CN"/>
              </w:rPr>
              <w:t>氟化物</w:t>
            </w:r>
          </w:p>
        </w:tc>
        <w:tc>
          <w:tcPr>
            <w:tcW w:w="778" w:type="pct"/>
            <w:vAlign w:val="center"/>
          </w:tcPr>
          <w:p>
            <w:pPr>
              <w:pStyle w:val="32"/>
            </w:pPr>
            <w:r>
              <w:t>连续、正常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0" w:type="pct"/>
            <w:vMerge w:val="continue"/>
            <w:vAlign w:val="center"/>
          </w:tcPr>
          <w:p>
            <w:pPr>
              <w:pStyle w:val="32"/>
            </w:pPr>
          </w:p>
        </w:tc>
        <w:tc>
          <w:tcPr>
            <w:tcW w:w="1213" w:type="pct"/>
            <w:vAlign w:val="center"/>
          </w:tcPr>
          <w:p>
            <w:pPr>
              <w:pStyle w:val="32"/>
            </w:pPr>
            <w:r>
              <w:rPr>
                <w:rFonts w:hint="eastAsia"/>
              </w:rPr>
              <w:t>一期铝灰分离车间</w:t>
            </w:r>
          </w:p>
        </w:tc>
        <w:tc>
          <w:tcPr>
            <w:tcW w:w="771" w:type="pct"/>
            <w:vAlign w:val="center"/>
          </w:tcPr>
          <w:p>
            <w:pPr>
              <w:pStyle w:val="32"/>
            </w:pPr>
            <w:r>
              <w:t>大气沉降</w:t>
            </w:r>
          </w:p>
        </w:tc>
        <w:tc>
          <w:tcPr>
            <w:tcW w:w="1176" w:type="pct"/>
            <w:vAlign w:val="center"/>
          </w:tcPr>
          <w:p>
            <w:pPr>
              <w:pStyle w:val="32"/>
            </w:pPr>
            <w:r>
              <w:t>颗粒物</w:t>
            </w:r>
          </w:p>
        </w:tc>
        <w:tc>
          <w:tcPr>
            <w:tcW w:w="601" w:type="pct"/>
            <w:vAlign w:val="center"/>
          </w:tcPr>
          <w:p>
            <w:pPr>
              <w:pStyle w:val="32"/>
            </w:pPr>
          </w:p>
        </w:tc>
        <w:tc>
          <w:tcPr>
            <w:tcW w:w="778" w:type="pct"/>
            <w:vAlign w:val="center"/>
          </w:tcPr>
          <w:p>
            <w:pPr>
              <w:pStyle w:val="32"/>
            </w:pPr>
            <w:r>
              <w:t>连续、正常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0" w:type="pct"/>
            <w:vMerge w:val="continue"/>
            <w:vAlign w:val="center"/>
          </w:tcPr>
          <w:p>
            <w:pPr>
              <w:pStyle w:val="32"/>
            </w:pPr>
          </w:p>
        </w:tc>
        <w:tc>
          <w:tcPr>
            <w:tcW w:w="1213" w:type="pct"/>
            <w:vAlign w:val="center"/>
          </w:tcPr>
          <w:p>
            <w:pPr>
              <w:pStyle w:val="32"/>
            </w:pPr>
            <w:r>
              <w:rPr>
                <w:rFonts w:hint="eastAsia"/>
              </w:rPr>
              <w:t>二期生产</w:t>
            </w:r>
            <w:r>
              <w:t>车间</w:t>
            </w:r>
          </w:p>
        </w:tc>
        <w:tc>
          <w:tcPr>
            <w:tcW w:w="771" w:type="pct"/>
            <w:vAlign w:val="center"/>
          </w:tcPr>
          <w:p>
            <w:pPr>
              <w:pStyle w:val="32"/>
            </w:pPr>
            <w:r>
              <w:t>大气沉降</w:t>
            </w:r>
          </w:p>
        </w:tc>
        <w:tc>
          <w:tcPr>
            <w:tcW w:w="1176" w:type="pct"/>
            <w:vAlign w:val="center"/>
          </w:tcPr>
          <w:p>
            <w:pPr>
              <w:pStyle w:val="32"/>
            </w:pPr>
            <w:r>
              <w:t>颗粒物、SO</w:t>
            </w:r>
            <w:r>
              <w:rPr>
                <w:vertAlign w:val="subscript"/>
              </w:rPr>
              <w:t>2</w:t>
            </w:r>
            <w:r>
              <w:t>、氟化物</w:t>
            </w:r>
          </w:p>
        </w:tc>
        <w:tc>
          <w:tcPr>
            <w:tcW w:w="601" w:type="pct"/>
            <w:vAlign w:val="center"/>
          </w:tcPr>
          <w:p>
            <w:pPr>
              <w:pStyle w:val="32"/>
            </w:pPr>
            <w:r>
              <w:rPr>
                <w:rFonts w:hint="eastAsia"/>
                <w:lang w:val="en-US" w:eastAsia="zh-CN"/>
              </w:rPr>
              <w:t>氟化物</w:t>
            </w:r>
          </w:p>
        </w:tc>
        <w:tc>
          <w:tcPr>
            <w:tcW w:w="778" w:type="pct"/>
            <w:vAlign w:val="center"/>
          </w:tcPr>
          <w:p>
            <w:pPr>
              <w:pStyle w:val="32"/>
            </w:pPr>
            <w:r>
              <w:t>连续、正常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60" w:type="pct"/>
            <w:vMerge w:val="continue"/>
            <w:vAlign w:val="center"/>
          </w:tcPr>
          <w:p>
            <w:pPr>
              <w:pStyle w:val="32"/>
            </w:pPr>
          </w:p>
        </w:tc>
        <w:tc>
          <w:tcPr>
            <w:tcW w:w="1213" w:type="pct"/>
            <w:vAlign w:val="center"/>
          </w:tcPr>
          <w:p>
            <w:pPr>
              <w:pStyle w:val="32"/>
            </w:pPr>
            <w:r>
              <w:rPr>
                <w:rFonts w:hint="eastAsia"/>
              </w:rPr>
              <w:t>二期期铝灰分离车间</w:t>
            </w:r>
          </w:p>
        </w:tc>
        <w:tc>
          <w:tcPr>
            <w:tcW w:w="771" w:type="pct"/>
            <w:vAlign w:val="center"/>
          </w:tcPr>
          <w:p>
            <w:pPr>
              <w:pStyle w:val="32"/>
            </w:pPr>
            <w:r>
              <w:t>大气沉降</w:t>
            </w:r>
          </w:p>
        </w:tc>
        <w:tc>
          <w:tcPr>
            <w:tcW w:w="1176" w:type="pct"/>
            <w:vAlign w:val="center"/>
          </w:tcPr>
          <w:p>
            <w:pPr>
              <w:pStyle w:val="32"/>
            </w:pPr>
            <w:r>
              <w:t>颗粒物</w:t>
            </w:r>
          </w:p>
        </w:tc>
        <w:tc>
          <w:tcPr>
            <w:tcW w:w="601" w:type="pct"/>
            <w:vAlign w:val="center"/>
          </w:tcPr>
          <w:p>
            <w:pPr>
              <w:pStyle w:val="32"/>
            </w:pPr>
            <w:r>
              <w:t>-</w:t>
            </w:r>
          </w:p>
        </w:tc>
        <w:tc>
          <w:tcPr>
            <w:tcW w:w="778" w:type="pct"/>
            <w:vAlign w:val="center"/>
          </w:tcPr>
          <w:p>
            <w:pPr>
              <w:pStyle w:val="32"/>
            </w:pPr>
            <w:r>
              <w:t>连续、正常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460" w:type="pct"/>
            <w:vMerge w:val="continue"/>
            <w:vAlign w:val="center"/>
          </w:tcPr>
          <w:p>
            <w:pPr>
              <w:pStyle w:val="32"/>
            </w:pPr>
          </w:p>
        </w:tc>
        <w:tc>
          <w:tcPr>
            <w:tcW w:w="1213" w:type="pct"/>
            <w:vAlign w:val="center"/>
          </w:tcPr>
          <w:p>
            <w:pPr>
              <w:pStyle w:val="32"/>
            </w:pPr>
            <w:r>
              <w:t>危废暂存库</w:t>
            </w:r>
          </w:p>
        </w:tc>
        <w:tc>
          <w:tcPr>
            <w:tcW w:w="771" w:type="pct"/>
            <w:vAlign w:val="center"/>
          </w:tcPr>
          <w:p>
            <w:pPr>
              <w:pStyle w:val="32"/>
            </w:pPr>
            <w:r>
              <w:t>垂直入渗</w:t>
            </w:r>
          </w:p>
        </w:tc>
        <w:tc>
          <w:tcPr>
            <w:tcW w:w="1176" w:type="pct"/>
            <w:vAlign w:val="center"/>
          </w:tcPr>
          <w:p>
            <w:pPr>
              <w:pStyle w:val="32"/>
            </w:pPr>
            <w:r>
              <w:t>氟化物、石油类</w:t>
            </w:r>
          </w:p>
        </w:tc>
        <w:tc>
          <w:tcPr>
            <w:tcW w:w="601" w:type="pct"/>
            <w:vAlign w:val="center"/>
          </w:tcPr>
          <w:p>
            <w:pPr>
              <w:pStyle w:val="32"/>
            </w:pPr>
            <w:r>
              <w:t>-</w:t>
            </w:r>
          </w:p>
        </w:tc>
        <w:tc>
          <w:tcPr>
            <w:tcW w:w="778" w:type="pct"/>
            <w:vAlign w:val="center"/>
          </w:tcPr>
          <w:p>
            <w:pPr>
              <w:pStyle w:val="32"/>
            </w:pPr>
            <w:r>
              <w:t>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460" w:type="pct"/>
            <w:vMerge w:val="continue"/>
            <w:vAlign w:val="center"/>
          </w:tcPr>
          <w:p>
            <w:pPr>
              <w:pStyle w:val="32"/>
            </w:pPr>
          </w:p>
        </w:tc>
        <w:tc>
          <w:tcPr>
            <w:tcW w:w="1213" w:type="pct"/>
            <w:vAlign w:val="center"/>
          </w:tcPr>
          <w:p>
            <w:pPr>
              <w:pStyle w:val="32"/>
            </w:pPr>
            <w:r>
              <w:t>厂区、初期雨水池及废水处理设施</w:t>
            </w:r>
          </w:p>
        </w:tc>
        <w:tc>
          <w:tcPr>
            <w:tcW w:w="771" w:type="pct"/>
            <w:vAlign w:val="center"/>
          </w:tcPr>
          <w:p>
            <w:pPr>
              <w:pStyle w:val="32"/>
            </w:pPr>
            <w:r>
              <w:t>地面漫流、垂直入渗</w:t>
            </w:r>
          </w:p>
        </w:tc>
        <w:tc>
          <w:tcPr>
            <w:tcW w:w="1176" w:type="pct"/>
            <w:vAlign w:val="center"/>
          </w:tcPr>
          <w:p>
            <w:pPr>
              <w:pStyle w:val="32"/>
            </w:pPr>
            <w:r>
              <w:t>颗粒物、</w:t>
            </w:r>
            <w:r>
              <w:rPr>
                <w:rFonts w:hint="eastAsia"/>
              </w:rPr>
              <w:t>石油类、</w:t>
            </w:r>
            <w:r>
              <w:t>氟化物</w:t>
            </w:r>
          </w:p>
        </w:tc>
        <w:tc>
          <w:tcPr>
            <w:tcW w:w="601" w:type="pct"/>
            <w:vAlign w:val="center"/>
          </w:tcPr>
          <w:p>
            <w:pPr>
              <w:pStyle w:val="32"/>
            </w:pPr>
            <w:r>
              <w:t>-</w:t>
            </w:r>
          </w:p>
        </w:tc>
        <w:tc>
          <w:tcPr>
            <w:tcW w:w="778" w:type="pct"/>
            <w:vAlign w:val="center"/>
          </w:tcPr>
          <w:p>
            <w:pPr>
              <w:pStyle w:val="32"/>
            </w:pPr>
            <w:r>
              <w:t>正常、非连续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6"/>
            <w:vAlign w:val="center"/>
          </w:tcPr>
          <w:p>
            <w:pPr>
              <w:pStyle w:val="32"/>
              <w:jc w:val="both"/>
            </w:pPr>
            <w:r>
              <w:t>a根据工程分析结果填写。</w:t>
            </w:r>
          </w:p>
          <w:p>
            <w:pPr>
              <w:pStyle w:val="32"/>
              <w:jc w:val="left"/>
            </w:pPr>
            <w:r>
              <w:t>b应描述污染源特征，如连续、间断、正常、事故等；涉及大气沉降途径的，应识别建设项目周边的土壤环境敏感目标。</w:t>
            </w:r>
          </w:p>
        </w:tc>
      </w:tr>
    </w:tbl>
    <w:p>
      <w:pPr>
        <w:pStyle w:val="7"/>
        <w:ind w:firstLine="480"/>
      </w:pPr>
      <w:r>
        <w:rPr>
          <w:rFonts w:hint="eastAsia"/>
        </w:rPr>
        <w:t>根据上表识别，本项目不涉及《土壤环境质量 农用地土壤污染风险管控标准（试行）》(GB 15618-2018)和《土壤环境质量 建设用地土壤污染风险管控标准（试行）》基本因子和特征因子。根据资料收集和现场踏勘可知，项目周边0.2km范围内涉及敏感目标为耕地、林地。</w:t>
      </w:r>
    </w:p>
    <w:p>
      <w:pPr>
        <w:pStyle w:val="8"/>
      </w:pPr>
      <w:r>
        <w:rPr>
          <w:rFonts w:hint="eastAsia"/>
        </w:rPr>
        <w:t>6.8.3土壤调查</w:t>
      </w:r>
    </w:p>
    <w:p>
      <w:pPr>
        <w:pStyle w:val="7"/>
        <w:ind w:firstLine="480"/>
      </w:pPr>
      <w:r>
        <w:rPr>
          <w:rFonts w:hint="eastAsia"/>
        </w:rPr>
        <w:t>本项目位于砚山工业园区布标片区，不涉及饮用水水源保护区、基本农田保护区、自然保护区、生态旅游区、森林公园、风景名胜区、生态功能保护区等重点保护地区。根据工业园区土地利用规划，项目用地区域规划三类工业用地，见附图。</w:t>
      </w:r>
    </w:p>
    <w:p>
      <w:pPr>
        <w:pStyle w:val="7"/>
        <w:ind w:firstLine="480"/>
        <w:rPr>
          <w:rFonts w:hint="eastAsia"/>
        </w:rPr>
      </w:pPr>
      <w:r>
        <w:rPr>
          <w:rFonts w:hint="eastAsia"/>
        </w:rPr>
        <w:t>根据项目所在工业园区规划，根据工程地质初步勘察报告和云南地矿环境检测中心出具实验数据可知，项目区域土壤pH6.97~7.04，呈中性反应。项目用地内土壤理化特性调查如下：</w:t>
      </w:r>
    </w:p>
    <w:p>
      <w:pPr>
        <w:pStyle w:val="31"/>
        <w:rPr>
          <w:rFonts w:hint="eastAsia"/>
        </w:rPr>
      </w:pPr>
      <w:r>
        <w:rPr>
          <w:rFonts w:hint="eastAsia"/>
        </w:rPr>
        <w:t>表6.8-3  土壤理化特性调查表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2284"/>
        <w:gridCol w:w="1884"/>
        <w:gridCol w:w="1884"/>
        <w:gridCol w:w="1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pct"/>
            <w:gridSpan w:val="2"/>
            <w:vAlign w:val="center"/>
          </w:tcPr>
          <w:p>
            <w:pPr>
              <w:pStyle w:val="33"/>
              <w:bidi w:val="0"/>
              <w:jc w:val="center"/>
              <w:rPr>
                <w:rFonts w:hint="eastAsia" w:eastAsia="宋体"/>
                <w:lang w:val="en-US" w:eastAsia="zh-CN"/>
              </w:rPr>
            </w:pPr>
            <w:r>
              <w:rPr>
                <w:rFonts w:hint="eastAsia"/>
                <w:lang w:val="en-US" w:eastAsia="zh-CN"/>
              </w:rPr>
              <w:t>采样点位</w:t>
            </w:r>
          </w:p>
        </w:tc>
        <w:tc>
          <w:tcPr>
            <w:tcW w:w="3320" w:type="pct"/>
            <w:gridSpan w:val="3"/>
            <w:vAlign w:val="center"/>
          </w:tcPr>
          <w:p>
            <w:pPr>
              <w:pStyle w:val="33"/>
              <w:bidi w:val="0"/>
              <w:jc w:val="center"/>
              <w:rPr>
                <w:rFonts w:hint="eastAsia"/>
              </w:rPr>
            </w:pPr>
            <w:r>
              <w:rPr>
                <w:rFonts w:hint="eastAsia"/>
                <w:lang w:val="en-US" w:eastAsia="zh-CN"/>
              </w:rPr>
              <w:t>厂区中心柱状点（2#柱状）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pct"/>
            <w:gridSpan w:val="2"/>
            <w:vAlign w:val="center"/>
          </w:tcPr>
          <w:p>
            <w:pPr>
              <w:pStyle w:val="33"/>
              <w:bidi w:val="0"/>
              <w:jc w:val="center"/>
              <w:rPr>
                <w:rFonts w:hint="eastAsia" w:eastAsia="宋体"/>
                <w:lang w:val="en-US" w:eastAsia="zh-CN"/>
              </w:rPr>
            </w:pPr>
            <w:r>
              <w:rPr>
                <w:rFonts w:hint="eastAsia"/>
                <w:lang w:val="en-US" w:eastAsia="zh-CN"/>
              </w:rPr>
              <w:t>采样时间</w:t>
            </w:r>
          </w:p>
        </w:tc>
        <w:tc>
          <w:tcPr>
            <w:tcW w:w="3320" w:type="pct"/>
            <w:gridSpan w:val="3"/>
            <w:vAlign w:val="center"/>
          </w:tcPr>
          <w:p>
            <w:pPr>
              <w:pStyle w:val="33"/>
              <w:bidi w:val="0"/>
              <w:jc w:val="center"/>
              <w:rPr>
                <w:rFonts w:hint="default" w:eastAsia="宋体"/>
                <w:lang w:val="en-US" w:eastAsia="zh-CN"/>
              </w:rPr>
            </w:pPr>
            <w:r>
              <w:rPr>
                <w:rFonts w:hint="eastAsia"/>
                <w:lang w:val="en-US" w:eastAsia="zh-CN"/>
              </w:rPr>
              <w:t>2020/3/25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pct"/>
            <w:gridSpan w:val="2"/>
            <w:vAlign w:val="center"/>
          </w:tcPr>
          <w:p>
            <w:pPr>
              <w:pStyle w:val="33"/>
              <w:bidi w:val="0"/>
              <w:jc w:val="center"/>
              <w:rPr>
                <w:rFonts w:hint="eastAsia" w:eastAsia="宋体"/>
                <w:lang w:val="en-US" w:eastAsia="zh-CN"/>
              </w:rPr>
            </w:pPr>
            <w:r>
              <w:rPr>
                <w:rFonts w:hint="eastAsia"/>
                <w:lang w:val="en-US" w:eastAsia="zh-CN"/>
              </w:rPr>
              <w:t>坐标位置</w:t>
            </w:r>
          </w:p>
        </w:tc>
        <w:tc>
          <w:tcPr>
            <w:tcW w:w="3320" w:type="pct"/>
            <w:gridSpan w:val="3"/>
            <w:vAlign w:val="center"/>
          </w:tcPr>
          <w:p>
            <w:pPr>
              <w:pStyle w:val="33"/>
              <w:bidi w:val="0"/>
              <w:jc w:val="center"/>
              <w:rPr>
                <w:rFonts w:hint="default" w:eastAsia="宋体"/>
                <w:lang w:val="en-US" w:eastAsia="zh-CN"/>
              </w:rPr>
            </w:pPr>
            <w:r>
              <w:rPr>
                <w:rFonts w:hint="eastAsia"/>
                <w:lang w:val="en-US" w:eastAsia="zh-CN"/>
              </w:rPr>
              <w:t>E1</w:t>
            </w:r>
            <w:r>
              <w:rPr>
                <w:rFonts w:hint="eastAsia"/>
                <w:u w:val="dotted"/>
                <w:lang w:val="en-US" w:eastAsia="zh-CN"/>
              </w:rPr>
              <w:t>04°22′2.50″，N23°40′22.55″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pct"/>
            <w:gridSpan w:val="2"/>
            <w:vAlign w:val="center"/>
          </w:tcPr>
          <w:p>
            <w:pPr>
              <w:pStyle w:val="33"/>
              <w:bidi w:val="0"/>
              <w:jc w:val="center"/>
              <w:rPr>
                <w:rFonts w:hint="default" w:eastAsia="宋体"/>
                <w:lang w:val="en-US" w:eastAsia="zh-CN"/>
              </w:rPr>
            </w:pPr>
            <w:r>
              <w:rPr>
                <w:rFonts w:hint="eastAsia"/>
                <w:lang w:val="en-US" w:eastAsia="zh-CN"/>
              </w:rPr>
              <w:t>取样深度</w:t>
            </w:r>
          </w:p>
        </w:tc>
        <w:tc>
          <w:tcPr>
            <w:tcW w:w="1105" w:type="pct"/>
            <w:vAlign w:val="center"/>
          </w:tcPr>
          <w:p>
            <w:pPr>
              <w:pStyle w:val="33"/>
              <w:bidi w:val="0"/>
              <w:jc w:val="center"/>
              <w:rPr>
                <w:rFonts w:hint="default" w:eastAsia="宋体"/>
                <w:lang w:val="en-US" w:eastAsia="zh-CN"/>
              </w:rPr>
            </w:pPr>
            <w:r>
              <w:rPr>
                <w:rFonts w:hint="eastAsia"/>
                <w:lang w:val="en-US" w:eastAsia="zh-CN"/>
              </w:rPr>
              <w:t>0-0.5m</w:t>
            </w:r>
          </w:p>
        </w:tc>
        <w:tc>
          <w:tcPr>
            <w:tcW w:w="1105" w:type="pct"/>
            <w:vAlign w:val="center"/>
          </w:tcPr>
          <w:p>
            <w:pPr>
              <w:pStyle w:val="33"/>
              <w:bidi w:val="0"/>
              <w:jc w:val="center"/>
              <w:rPr>
                <w:rFonts w:hint="default" w:eastAsia="宋体"/>
                <w:lang w:val="en-US" w:eastAsia="zh-CN"/>
              </w:rPr>
            </w:pPr>
            <w:r>
              <w:rPr>
                <w:rFonts w:hint="eastAsia"/>
                <w:lang w:val="en-US" w:eastAsia="zh-CN"/>
              </w:rPr>
              <w:t>0.5-1.5m</w:t>
            </w:r>
          </w:p>
        </w:tc>
        <w:tc>
          <w:tcPr>
            <w:tcW w:w="1109" w:type="pct"/>
            <w:vAlign w:val="center"/>
          </w:tcPr>
          <w:p>
            <w:pPr>
              <w:pStyle w:val="33"/>
              <w:bidi w:val="0"/>
              <w:jc w:val="center"/>
              <w:rPr>
                <w:rFonts w:hint="default" w:eastAsia="宋体"/>
                <w:lang w:val="en-US" w:eastAsia="zh-CN"/>
              </w:rPr>
            </w:pPr>
            <w:r>
              <w:rPr>
                <w:rFonts w:hint="eastAsia"/>
                <w:lang w:val="en-US" w:eastAsia="zh-CN"/>
              </w:rPr>
              <w:t>1.5-3.0m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pct"/>
            <w:gridSpan w:val="2"/>
            <w:vAlign w:val="center"/>
          </w:tcPr>
          <w:p>
            <w:pPr>
              <w:pStyle w:val="33"/>
              <w:bidi w:val="0"/>
              <w:jc w:val="center"/>
              <w:rPr>
                <w:rFonts w:hint="eastAsia" w:eastAsia="宋体"/>
                <w:lang w:val="en-US" w:eastAsia="zh-CN"/>
              </w:rPr>
            </w:pPr>
            <w:r>
              <w:rPr>
                <w:rFonts w:hint="eastAsia"/>
                <w:lang w:val="en-US" w:eastAsia="zh-CN"/>
              </w:rPr>
              <w:t>采样编号</w:t>
            </w:r>
          </w:p>
        </w:tc>
        <w:tc>
          <w:tcPr>
            <w:tcW w:w="1105" w:type="pct"/>
            <w:vAlign w:val="center"/>
          </w:tcPr>
          <w:p>
            <w:pPr>
              <w:pStyle w:val="33"/>
              <w:bidi w:val="0"/>
              <w:jc w:val="center"/>
              <w:rPr>
                <w:rFonts w:hint="default" w:eastAsia="宋体"/>
                <w:lang w:val="en-US" w:eastAsia="zh-CN"/>
              </w:rPr>
            </w:pPr>
            <w:r>
              <w:rPr>
                <w:rFonts w:hint="eastAsia"/>
                <w:lang w:val="en-US" w:eastAsia="zh-CN"/>
              </w:rPr>
              <w:t>20TR0325D02-1</w:t>
            </w:r>
          </w:p>
        </w:tc>
        <w:tc>
          <w:tcPr>
            <w:tcW w:w="1105" w:type="pct"/>
            <w:vAlign w:val="center"/>
          </w:tcPr>
          <w:p>
            <w:pPr>
              <w:pStyle w:val="33"/>
              <w:bidi w:val="0"/>
              <w:jc w:val="center"/>
              <w:rPr>
                <w:rFonts w:hint="eastAsia"/>
              </w:rPr>
            </w:pPr>
            <w:r>
              <w:rPr>
                <w:rFonts w:hint="eastAsia"/>
                <w:lang w:val="en-US" w:eastAsia="zh-CN"/>
              </w:rPr>
              <w:t>20TR0325D02-2</w:t>
            </w:r>
          </w:p>
        </w:tc>
        <w:tc>
          <w:tcPr>
            <w:tcW w:w="1109" w:type="pct"/>
            <w:vAlign w:val="center"/>
          </w:tcPr>
          <w:p>
            <w:pPr>
              <w:pStyle w:val="33"/>
              <w:bidi w:val="0"/>
              <w:jc w:val="center"/>
              <w:rPr>
                <w:rFonts w:hint="eastAsia"/>
              </w:rPr>
            </w:pPr>
            <w:r>
              <w:rPr>
                <w:rFonts w:hint="eastAsia"/>
                <w:lang w:val="en-US" w:eastAsia="zh-CN"/>
              </w:rPr>
              <w:t>20TR0325D02-3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pPr>
              <w:pStyle w:val="33"/>
              <w:bidi w:val="0"/>
              <w:jc w:val="center"/>
              <w:rPr>
                <w:rFonts w:hint="default" w:eastAsia="宋体"/>
                <w:lang w:val="en-US" w:eastAsia="zh-CN"/>
              </w:rPr>
            </w:pPr>
            <w:r>
              <w:rPr>
                <w:rFonts w:hint="eastAsia"/>
                <w:lang w:val="en-US" w:eastAsia="zh-CN"/>
              </w:rPr>
              <w:t>现场记录</w:t>
            </w:r>
          </w:p>
        </w:tc>
        <w:tc>
          <w:tcPr>
            <w:tcW w:w="1340" w:type="pct"/>
            <w:vAlign w:val="center"/>
          </w:tcPr>
          <w:p>
            <w:pPr>
              <w:pStyle w:val="33"/>
              <w:bidi w:val="0"/>
              <w:jc w:val="center"/>
              <w:rPr>
                <w:rFonts w:hint="eastAsia" w:eastAsia="宋体"/>
                <w:lang w:val="en-US" w:eastAsia="zh-CN"/>
              </w:rPr>
            </w:pPr>
            <w:r>
              <w:rPr>
                <w:rFonts w:hint="eastAsia"/>
                <w:lang w:val="en-US" w:eastAsia="zh-CN"/>
              </w:rPr>
              <w:t>颜色</w:t>
            </w:r>
          </w:p>
        </w:tc>
        <w:tc>
          <w:tcPr>
            <w:tcW w:w="1105" w:type="pct"/>
            <w:vAlign w:val="center"/>
          </w:tcPr>
          <w:p>
            <w:pPr>
              <w:pStyle w:val="33"/>
              <w:bidi w:val="0"/>
              <w:jc w:val="center"/>
              <w:rPr>
                <w:rFonts w:hint="eastAsia" w:eastAsia="宋体"/>
                <w:lang w:val="en-US" w:eastAsia="zh-CN"/>
              </w:rPr>
            </w:pPr>
            <w:r>
              <w:rPr>
                <w:rFonts w:hint="eastAsia"/>
                <w:lang w:val="en-US" w:eastAsia="zh-CN"/>
              </w:rPr>
              <w:t>浅黄</w:t>
            </w:r>
          </w:p>
        </w:tc>
        <w:tc>
          <w:tcPr>
            <w:tcW w:w="1105" w:type="pct"/>
            <w:vAlign w:val="center"/>
          </w:tcPr>
          <w:p>
            <w:pPr>
              <w:pStyle w:val="33"/>
              <w:bidi w:val="0"/>
              <w:jc w:val="center"/>
              <w:rPr>
                <w:rFonts w:hint="eastAsia" w:eastAsia="宋体"/>
                <w:lang w:val="en-US" w:eastAsia="zh-CN"/>
              </w:rPr>
            </w:pPr>
            <w:r>
              <w:rPr>
                <w:rFonts w:hint="eastAsia"/>
                <w:lang w:val="en-US" w:eastAsia="zh-CN"/>
              </w:rPr>
              <w:t>褐黄</w:t>
            </w:r>
          </w:p>
        </w:tc>
        <w:tc>
          <w:tcPr>
            <w:tcW w:w="1109" w:type="pct"/>
            <w:vAlign w:val="center"/>
          </w:tcPr>
          <w:p>
            <w:pPr>
              <w:pStyle w:val="33"/>
              <w:bidi w:val="0"/>
              <w:jc w:val="center"/>
              <w:rPr>
                <w:rFonts w:hint="default" w:eastAsia="宋体"/>
                <w:lang w:val="en-US" w:eastAsia="zh-CN"/>
              </w:rPr>
            </w:pPr>
            <w:r>
              <w:rPr>
                <w:rFonts w:hint="eastAsia"/>
                <w:lang w:val="en-US" w:eastAsia="zh-CN"/>
              </w:rPr>
              <w:t>褐黄、褐红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eastAsia" w:eastAsia="宋体"/>
                <w:lang w:val="en-US" w:eastAsia="zh-CN"/>
              </w:rPr>
            </w:pPr>
            <w:r>
              <w:rPr>
                <w:rFonts w:hint="eastAsia"/>
                <w:lang w:val="en-US" w:eastAsia="zh-CN"/>
              </w:rPr>
              <w:t>结构</w:t>
            </w:r>
          </w:p>
        </w:tc>
        <w:tc>
          <w:tcPr>
            <w:tcW w:w="1105" w:type="pct"/>
            <w:vAlign w:val="center"/>
          </w:tcPr>
          <w:p>
            <w:pPr>
              <w:pStyle w:val="33"/>
              <w:bidi w:val="0"/>
              <w:jc w:val="center"/>
              <w:rPr>
                <w:rFonts w:hint="eastAsia" w:eastAsia="宋体"/>
                <w:lang w:val="en-US" w:eastAsia="zh-CN"/>
              </w:rPr>
            </w:pPr>
            <w:r>
              <w:rPr>
                <w:rFonts w:hint="eastAsia"/>
                <w:lang w:val="en-US" w:eastAsia="zh-CN"/>
              </w:rPr>
              <w:t>团块</w:t>
            </w:r>
          </w:p>
        </w:tc>
        <w:tc>
          <w:tcPr>
            <w:tcW w:w="1105" w:type="pct"/>
            <w:vAlign w:val="center"/>
          </w:tcPr>
          <w:p>
            <w:pPr>
              <w:pStyle w:val="33"/>
              <w:bidi w:val="0"/>
              <w:jc w:val="center"/>
              <w:rPr>
                <w:rFonts w:hint="eastAsia"/>
              </w:rPr>
            </w:pPr>
            <w:r>
              <w:rPr>
                <w:rFonts w:hint="eastAsia"/>
                <w:lang w:val="en-US" w:eastAsia="zh-CN"/>
              </w:rPr>
              <w:t>团块</w:t>
            </w:r>
          </w:p>
        </w:tc>
        <w:tc>
          <w:tcPr>
            <w:tcW w:w="1109" w:type="pct"/>
            <w:vAlign w:val="center"/>
          </w:tcPr>
          <w:p>
            <w:pPr>
              <w:pStyle w:val="33"/>
              <w:bidi w:val="0"/>
              <w:jc w:val="center"/>
              <w:rPr>
                <w:rFonts w:hint="eastAsia"/>
              </w:rPr>
            </w:pPr>
            <w:r>
              <w:rPr>
                <w:rFonts w:hint="eastAsia"/>
                <w:lang w:val="en-US" w:eastAsia="zh-CN"/>
              </w:rPr>
              <w:t>团块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eastAsia" w:eastAsia="宋体"/>
                <w:lang w:val="en-US" w:eastAsia="zh-CN"/>
              </w:rPr>
            </w:pPr>
            <w:r>
              <w:rPr>
                <w:rFonts w:hint="eastAsia"/>
                <w:lang w:val="en-US" w:eastAsia="zh-CN"/>
              </w:rPr>
              <w:t>砂砾含量</w:t>
            </w:r>
          </w:p>
        </w:tc>
        <w:tc>
          <w:tcPr>
            <w:tcW w:w="1105" w:type="pct"/>
            <w:vAlign w:val="center"/>
          </w:tcPr>
          <w:p>
            <w:pPr>
              <w:pStyle w:val="33"/>
              <w:bidi w:val="0"/>
              <w:jc w:val="center"/>
              <w:rPr>
                <w:rFonts w:hint="default" w:eastAsia="宋体"/>
                <w:lang w:val="en-US" w:eastAsia="zh-CN"/>
              </w:rPr>
            </w:pPr>
            <w:r>
              <w:rPr>
                <w:rFonts w:hint="eastAsia"/>
                <w:lang w:val="en-US" w:eastAsia="zh-CN"/>
              </w:rPr>
              <w:t>粘土</w:t>
            </w:r>
          </w:p>
        </w:tc>
        <w:tc>
          <w:tcPr>
            <w:tcW w:w="1105" w:type="pct"/>
            <w:vAlign w:val="center"/>
          </w:tcPr>
          <w:p>
            <w:pPr>
              <w:pStyle w:val="33"/>
              <w:bidi w:val="0"/>
              <w:jc w:val="center"/>
              <w:rPr>
                <w:rFonts w:hint="eastAsia"/>
              </w:rPr>
            </w:pPr>
            <w:r>
              <w:rPr>
                <w:rFonts w:hint="eastAsia"/>
                <w:lang w:val="en-US" w:eastAsia="zh-CN"/>
              </w:rPr>
              <w:t>粘土</w:t>
            </w:r>
          </w:p>
        </w:tc>
        <w:tc>
          <w:tcPr>
            <w:tcW w:w="1109" w:type="pct"/>
            <w:vAlign w:val="center"/>
          </w:tcPr>
          <w:p>
            <w:pPr>
              <w:pStyle w:val="33"/>
              <w:bidi w:val="0"/>
              <w:jc w:val="center"/>
              <w:rPr>
                <w:rFonts w:hint="eastAsia"/>
              </w:rPr>
            </w:pPr>
            <w:r>
              <w:rPr>
                <w:rFonts w:hint="eastAsia"/>
                <w:lang w:val="en-US" w:eastAsia="zh-CN"/>
              </w:rPr>
              <w:t>粘土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eastAsia" w:eastAsia="宋体"/>
                <w:lang w:val="en-US" w:eastAsia="zh-CN"/>
              </w:rPr>
            </w:pPr>
            <w:r>
              <w:rPr>
                <w:rFonts w:hint="eastAsia"/>
                <w:lang w:val="en-US" w:eastAsia="zh-CN"/>
              </w:rPr>
              <w:t>其他异物</w:t>
            </w:r>
          </w:p>
        </w:tc>
        <w:tc>
          <w:tcPr>
            <w:tcW w:w="1105" w:type="pct"/>
            <w:vAlign w:val="center"/>
          </w:tcPr>
          <w:p>
            <w:pPr>
              <w:pStyle w:val="33"/>
              <w:bidi w:val="0"/>
              <w:jc w:val="center"/>
              <w:rPr>
                <w:rFonts w:hint="default" w:eastAsia="宋体"/>
                <w:lang w:val="en-US" w:eastAsia="zh-CN"/>
              </w:rPr>
            </w:pPr>
            <w:r>
              <w:rPr>
                <w:rFonts w:hint="eastAsia"/>
                <w:lang w:val="en-US" w:eastAsia="zh-CN"/>
              </w:rPr>
              <w:t>＜5%</w:t>
            </w:r>
          </w:p>
        </w:tc>
        <w:tc>
          <w:tcPr>
            <w:tcW w:w="1105" w:type="pct"/>
            <w:vAlign w:val="center"/>
          </w:tcPr>
          <w:p>
            <w:pPr>
              <w:pStyle w:val="33"/>
              <w:bidi w:val="0"/>
              <w:jc w:val="center"/>
              <w:rPr>
                <w:rFonts w:hint="eastAsia"/>
              </w:rPr>
            </w:pPr>
            <w:r>
              <w:rPr>
                <w:rFonts w:hint="eastAsia"/>
                <w:lang w:val="en-US" w:eastAsia="zh-CN"/>
              </w:rPr>
              <w:t>＜5%</w:t>
            </w:r>
          </w:p>
        </w:tc>
        <w:tc>
          <w:tcPr>
            <w:tcW w:w="1109" w:type="pct"/>
            <w:vAlign w:val="center"/>
          </w:tcPr>
          <w:p>
            <w:pPr>
              <w:pStyle w:val="33"/>
              <w:bidi w:val="0"/>
              <w:jc w:val="center"/>
              <w:rPr>
                <w:rFonts w:hint="eastAsia"/>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restart"/>
            <w:vAlign w:val="center"/>
          </w:tcPr>
          <w:p>
            <w:pPr>
              <w:pStyle w:val="33"/>
              <w:bidi w:val="0"/>
              <w:jc w:val="center"/>
              <w:rPr>
                <w:rFonts w:hint="eastAsia" w:eastAsia="宋体"/>
                <w:lang w:val="en-US" w:eastAsia="zh-CN"/>
              </w:rPr>
            </w:pPr>
            <w:r>
              <w:rPr>
                <w:rFonts w:hint="eastAsia"/>
                <w:lang w:val="en-US" w:eastAsia="zh-CN"/>
              </w:rPr>
              <w:t>实验室测定</w:t>
            </w:r>
          </w:p>
        </w:tc>
        <w:tc>
          <w:tcPr>
            <w:tcW w:w="1340" w:type="pct"/>
            <w:vAlign w:val="center"/>
          </w:tcPr>
          <w:p>
            <w:pPr>
              <w:pStyle w:val="33"/>
              <w:bidi w:val="0"/>
              <w:jc w:val="center"/>
              <w:rPr>
                <w:rFonts w:hint="default" w:eastAsia="宋体"/>
                <w:lang w:val="en-US" w:eastAsia="zh-CN"/>
              </w:rPr>
            </w:pPr>
            <w:r>
              <w:rPr>
                <w:rFonts w:hint="eastAsia"/>
                <w:lang w:val="en-US" w:eastAsia="zh-CN"/>
              </w:rPr>
              <w:t>pH值（无量纲）</w:t>
            </w:r>
          </w:p>
        </w:tc>
        <w:tc>
          <w:tcPr>
            <w:tcW w:w="1105" w:type="pct"/>
            <w:vAlign w:val="center"/>
          </w:tcPr>
          <w:p>
            <w:pPr>
              <w:pStyle w:val="33"/>
              <w:bidi w:val="0"/>
              <w:jc w:val="center"/>
              <w:rPr>
                <w:rFonts w:hint="default" w:eastAsia="宋体"/>
                <w:lang w:val="en-US" w:eastAsia="zh-CN"/>
              </w:rPr>
            </w:pPr>
            <w:r>
              <w:rPr>
                <w:rFonts w:hint="eastAsia"/>
                <w:lang w:val="en-US" w:eastAsia="zh-CN"/>
              </w:rPr>
              <w:t>7.01</w:t>
            </w:r>
          </w:p>
        </w:tc>
        <w:tc>
          <w:tcPr>
            <w:tcW w:w="1105" w:type="pct"/>
            <w:vAlign w:val="center"/>
          </w:tcPr>
          <w:p>
            <w:pPr>
              <w:pStyle w:val="33"/>
              <w:bidi w:val="0"/>
              <w:jc w:val="center"/>
              <w:rPr>
                <w:rFonts w:hint="default" w:eastAsia="宋体"/>
                <w:lang w:val="en-US" w:eastAsia="zh-CN"/>
              </w:rPr>
            </w:pPr>
            <w:r>
              <w:rPr>
                <w:rFonts w:hint="eastAsia"/>
                <w:lang w:val="en-US" w:eastAsia="zh-CN"/>
              </w:rPr>
              <w:t>6.97</w:t>
            </w:r>
          </w:p>
        </w:tc>
        <w:tc>
          <w:tcPr>
            <w:tcW w:w="1109" w:type="pct"/>
            <w:vAlign w:val="center"/>
          </w:tcPr>
          <w:p>
            <w:pPr>
              <w:pStyle w:val="33"/>
              <w:bidi w:val="0"/>
              <w:jc w:val="center"/>
              <w:rPr>
                <w:rFonts w:hint="default" w:eastAsia="宋体"/>
                <w:lang w:val="en-US" w:eastAsia="zh-CN"/>
              </w:rPr>
            </w:pPr>
            <w:r>
              <w:rPr>
                <w:rFonts w:hint="eastAsia"/>
                <w:lang w:val="en-US" w:eastAsia="zh-CN"/>
              </w:rPr>
              <w:t>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default" w:eastAsia="宋体"/>
                <w:lang w:val="en-US" w:eastAsia="zh-CN"/>
              </w:rPr>
            </w:pPr>
            <w:r>
              <w:rPr>
                <w:rFonts w:hint="eastAsia"/>
                <w:lang w:val="en-US" w:eastAsia="zh-CN"/>
              </w:rPr>
              <w:t>阳离子交换量（cmol/kg）</w:t>
            </w:r>
          </w:p>
        </w:tc>
        <w:tc>
          <w:tcPr>
            <w:tcW w:w="1105" w:type="pct"/>
            <w:vAlign w:val="center"/>
          </w:tcPr>
          <w:p>
            <w:pPr>
              <w:pStyle w:val="33"/>
              <w:bidi w:val="0"/>
              <w:jc w:val="center"/>
              <w:rPr>
                <w:rFonts w:hint="default" w:eastAsia="宋体"/>
                <w:lang w:val="en-US" w:eastAsia="zh-CN"/>
              </w:rPr>
            </w:pPr>
            <w:r>
              <w:rPr>
                <w:rFonts w:hint="eastAsia"/>
                <w:lang w:val="en-US" w:eastAsia="zh-CN"/>
              </w:rPr>
              <w:t>22.2</w:t>
            </w:r>
          </w:p>
        </w:tc>
        <w:tc>
          <w:tcPr>
            <w:tcW w:w="1105" w:type="pct"/>
            <w:vAlign w:val="center"/>
          </w:tcPr>
          <w:p>
            <w:pPr>
              <w:pStyle w:val="33"/>
              <w:bidi w:val="0"/>
              <w:jc w:val="center"/>
              <w:rPr>
                <w:rFonts w:hint="default" w:eastAsia="宋体"/>
                <w:lang w:val="en-US" w:eastAsia="zh-CN"/>
              </w:rPr>
            </w:pPr>
            <w:r>
              <w:rPr>
                <w:rFonts w:hint="eastAsia"/>
                <w:lang w:val="en-US" w:eastAsia="zh-CN"/>
              </w:rPr>
              <w:t>23.8</w:t>
            </w:r>
          </w:p>
        </w:tc>
        <w:tc>
          <w:tcPr>
            <w:tcW w:w="1109" w:type="pct"/>
            <w:vAlign w:val="center"/>
          </w:tcPr>
          <w:p>
            <w:pPr>
              <w:pStyle w:val="33"/>
              <w:bidi w:val="0"/>
              <w:jc w:val="center"/>
              <w:rPr>
                <w:rFonts w:hint="default" w:eastAsia="宋体"/>
                <w:lang w:val="en-US" w:eastAsia="zh-CN"/>
              </w:rPr>
            </w:pPr>
            <w:r>
              <w:rPr>
                <w:rFonts w:hint="eastAsia"/>
                <w:lang w:val="en-US" w:eastAsia="zh-CN"/>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eastAsia" w:eastAsia="宋体"/>
                <w:lang w:val="en-US" w:eastAsia="zh-CN"/>
              </w:rPr>
            </w:pPr>
            <w:r>
              <w:rPr>
                <w:rFonts w:hint="eastAsia"/>
                <w:lang w:val="en-US" w:eastAsia="zh-CN"/>
              </w:rPr>
              <w:t>氧化还原电位（mV）</w:t>
            </w:r>
          </w:p>
        </w:tc>
        <w:tc>
          <w:tcPr>
            <w:tcW w:w="1105" w:type="pct"/>
            <w:vAlign w:val="center"/>
          </w:tcPr>
          <w:p>
            <w:pPr>
              <w:pStyle w:val="33"/>
              <w:bidi w:val="0"/>
              <w:jc w:val="center"/>
              <w:rPr>
                <w:rFonts w:hint="default" w:eastAsia="宋体"/>
                <w:lang w:val="en-US" w:eastAsia="zh-CN"/>
              </w:rPr>
            </w:pPr>
            <w:r>
              <w:rPr>
                <w:rFonts w:hint="eastAsia"/>
                <w:lang w:val="en-US" w:eastAsia="zh-CN"/>
              </w:rPr>
              <w:t>492</w:t>
            </w:r>
          </w:p>
        </w:tc>
        <w:tc>
          <w:tcPr>
            <w:tcW w:w="1105" w:type="pct"/>
            <w:vAlign w:val="center"/>
          </w:tcPr>
          <w:p>
            <w:pPr>
              <w:pStyle w:val="33"/>
              <w:bidi w:val="0"/>
              <w:jc w:val="center"/>
              <w:rPr>
                <w:rFonts w:hint="default" w:eastAsia="宋体"/>
                <w:lang w:val="en-US" w:eastAsia="zh-CN"/>
              </w:rPr>
            </w:pPr>
            <w:r>
              <w:rPr>
                <w:rFonts w:hint="eastAsia"/>
                <w:lang w:val="en-US" w:eastAsia="zh-CN"/>
              </w:rPr>
              <w:t>501</w:t>
            </w:r>
          </w:p>
        </w:tc>
        <w:tc>
          <w:tcPr>
            <w:tcW w:w="1109" w:type="pct"/>
            <w:vAlign w:val="center"/>
          </w:tcPr>
          <w:p>
            <w:pPr>
              <w:pStyle w:val="33"/>
              <w:bidi w:val="0"/>
              <w:jc w:val="center"/>
              <w:rPr>
                <w:rFonts w:hint="default" w:eastAsia="宋体"/>
                <w:lang w:val="en-US" w:eastAsia="zh-CN"/>
              </w:rPr>
            </w:pPr>
            <w:r>
              <w:rPr>
                <w:rFonts w:hint="eastAsia"/>
                <w:lang w:val="en-US" w:eastAsia="zh-CN"/>
              </w:rPr>
              <w:t>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eastAsia" w:eastAsia="宋体"/>
                <w:lang w:val="en-US" w:eastAsia="zh-CN"/>
              </w:rPr>
            </w:pPr>
            <w:r>
              <w:rPr>
                <w:rFonts w:hint="eastAsia"/>
                <w:lang w:val="en-US" w:eastAsia="zh-CN"/>
              </w:rPr>
              <w:t>饱和导水率（cm/s）</w:t>
            </w:r>
          </w:p>
        </w:tc>
        <w:tc>
          <w:tcPr>
            <w:tcW w:w="1105" w:type="pct"/>
            <w:vAlign w:val="center"/>
          </w:tcPr>
          <w:p>
            <w:pPr>
              <w:pStyle w:val="33"/>
              <w:bidi w:val="0"/>
              <w:jc w:val="center"/>
              <w:rPr>
                <w:rFonts w:hint="default" w:eastAsia="宋体"/>
                <w:lang w:val="en-US" w:eastAsia="zh-CN"/>
              </w:rPr>
            </w:pPr>
            <w:r>
              <w:rPr>
                <w:rFonts w:hint="eastAsia"/>
                <w:lang w:val="en-US" w:eastAsia="zh-CN"/>
              </w:rPr>
              <w:t>0.2</w:t>
            </w:r>
            <w:r>
              <w:rPr>
                <w:rFonts w:hint="default" w:ascii="Times New Roman" w:hAnsi="Times New Roman" w:cs="Times New Roman"/>
                <w:lang w:val="en-US" w:eastAsia="zh-CN"/>
              </w:rPr>
              <w:t>×</w:t>
            </w:r>
            <w:r>
              <w:rPr>
                <w:rFonts w:hint="eastAsia" w:ascii="Times New Roman" w:hAnsi="Times New Roman" w:cs="Times New Roman"/>
                <w:lang w:val="en-US" w:eastAsia="zh-CN"/>
              </w:rPr>
              <w:t>10</w:t>
            </w:r>
            <w:r>
              <w:rPr>
                <w:rFonts w:hint="eastAsia" w:ascii="Times New Roman" w:hAnsi="Times New Roman" w:cs="Times New Roman"/>
                <w:vertAlign w:val="superscript"/>
                <w:lang w:val="en-US" w:eastAsia="zh-CN"/>
              </w:rPr>
              <w:t>-4</w:t>
            </w:r>
          </w:p>
        </w:tc>
        <w:tc>
          <w:tcPr>
            <w:tcW w:w="1105" w:type="pct"/>
            <w:vAlign w:val="center"/>
          </w:tcPr>
          <w:p>
            <w:pPr>
              <w:pStyle w:val="33"/>
              <w:bidi w:val="0"/>
              <w:jc w:val="center"/>
              <w:rPr>
                <w:rFonts w:hint="eastAsia"/>
              </w:rPr>
            </w:pPr>
            <w:r>
              <w:rPr>
                <w:rFonts w:hint="eastAsia"/>
                <w:lang w:val="en-US" w:eastAsia="zh-CN"/>
              </w:rPr>
              <w:t>0.1</w:t>
            </w:r>
            <w:r>
              <w:rPr>
                <w:rFonts w:hint="default" w:ascii="Times New Roman" w:hAnsi="Times New Roman" w:cs="Times New Roman"/>
                <w:lang w:val="en-US" w:eastAsia="zh-CN"/>
              </w:rPr>
              <w:t>×</w:t>
            </w:r>
            <w:r>
              <w:rPr>
                <w:rFonts w:hint="eastAsia" w:ascii="Times New Roman" w:hAnsi="Times New Roman" w:cs="Times New Roman"/>
                <w:lang w:val="en-US" w:eastAsia="zh-CN"/>
              </w:rPr>
              <w:t>10</w:t>
            </w:r>
            <w:r>
              <w:rPr>
                <w:rFonts w:hint="eastAsia" w:ascii="Times New Roman" w:hAnsi="Times New Roman" w:cs="Times New Roman"/>
                <w:vertAlign w:val="superscript"/>
                <w:lang w:val="en-US" w:eastAsia="zh-CN"/>
              </w:rPr>
              <w:t>-4</w:t>
            </w:r>
          </w:p>
        </w:tc>
        <w:tc>
          <w:tcPr>
            <w:tcW w:w="1109" w:type="pct"/>
            <w:vAlign w:val="center"/>
          </w:tcPr>
          <w:p>
            <w:pPr>
              <w:pStyle w:val="33"/>
              <w:bidi w:val="0"/>
              <w:jc w:val="center"/>
              <w:rPr>
                <w:rFonts w:hint="eastAsia"/>
              </w:rPr>
            </w:pPr>
            <w:r>
              <w:rPr>
                <w:rFonts w:hint="eastAsia"/>
                <w:lang w:val="en-US" w:eastAsia="zh-CN"/>
              </w:rPr>
              <w:t>0.1</w:t>
            </w:r>
            <w:r>
              <w:rPr>
                <w:rFonts w:hint="default" w:ascii="Times New Roman" w:hAnsi="Times New Roman" w:cs="Times New Roman"/>
                <w:lang w:val="en-US" w:eastAsia="zh-CN"/>
              </w:rPr>
              <w:t>×</w:t>
            </w:r>
            <w:r>
              <w:rPr>
                <w:rFonts w:hint="eastAsia" w:ascii="Times New Roman" w:hAnsi="Times New Roman" w:cs="Times New Roman"/>
                <w:lang w:val="en-US" w:eastAsia="zh-CN"/>
              </w:rPr>
              <w:t>10</w:t>
            </w:r>
            <w:r>
              <w:rPr>
                <w:rFonts w:hint="eastAsia" w:ascii="Times New Roman" w:hAnsi="Times New Roman" w:cs="Times New Roman"/>
                <w:vertAlign w:val="superscript"/>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eastAsia" w:eastAsia="宋体"/>
                <w:lang w:val="en-US" w:eastAsia="zh-CN"/>
              </w:rPr>
            </w:pPr>
            <w:r>
              <w:rPr>
                <w:rFonts w:hint="eastAsia"/>
                <w:lang w:val="en-US" w:eastAsia="zh-CN"/>
              </w:rPr>
              <w:t>容重（g/cm</w:t>
            </w:r>
            <w:r>
              <w:rPr>
                <w:rFonts w:hint="eastAsia"/>
                <w:vertAlign w:val="superscript"/>
                <w:lang w:val="en-US" w:eastAsia="zh-CN"/>
              </w:rPr>
              <w:t>3</w:t>
            </w:r>
            <w:r>
              <w:rPr>
                <w:rFonts w:hint="eastAsia"/>
                <w:lang w:val="en-US" w:eastAsia="zh-CN"/>
              </w:rPr>
              <w:t>）</w:t>
            </w:r>
          </w:p>
        </w:tc>
        <w:tc>
          <w:tcPr>
            <w:tcW w:w="1105" w:type="pct"/>
            <w:vAlign w:val="center"/>
          </w:tcPr>
          <w:p>
            <w:pPr>
              <w:pStyle w:val="33"/>
              <w:bidi w:val="0"/>
              <w:jc w:val="center"/>
              <w:rPr>
                <w:rFonts w:hint="default" w:eastAsia="宋体"/>
                <w:lang w:val="en-US" w:eastAsia="zh-CN"/>
              </w:rPr>
            </w:pPr>
            <w:r>
              <w:rPr>
                <w:rFonts w:hint="eastAsia"/>
                <w:lang w:val="en-US" w:eastAsia="zh-CN"/>
              </w:rPr>
              <w:t>1.56</w:t>
            </w:r>
          </w:p>
        </w:tc>
        <w:tc>
          <w:tcPr>
            <w:tcW w:w="1105" w:type="pct"/>
            <w:vAlign w:val="center"/>
          </w:tcPr>
          <w:p>
            <w:pPr>
              <w:pStyle w:val="33"/>
              <w:bidi w:val="0"/>
              <w:jc w:val="center"/>
              <w:rPr>
                <w:rFonts w:hint="default" w:eastAsia="宋体"/>
                <w:lang w:val="en-US" w:eastAsia="zh-CN"/>
              </w:rPr>
            </w:pPr>
            <w:r>
              <w:rPr>
                <w:rFonts w:hint="eastAsia"/>
                <w:lang w:val="en-US" w:eastAsia="zh-CN"/>
              </w:rPr>
              <w:t>1.54</w:t>
            </w:r>
          </w:p>
        </w:tc>
        <w:tc>
          <w:tcPr>
            <w:tcW w:w="1109" w:type="pct"/>
            <w:vAlign w:val="center"/>
          </w:tcPr>
          <w:p>
            <w:pPr>
              <w:pStyle w:val="33"/>
              <w:bidi w:val="0"/>
              <w:jc w:val="center"/>
              <w:rPr>
                <w:rFonts w:hint="default" w:eastAsia="宋体"/>
                <w:lang w:val="en-US" w:eastAsia="zh-CN"/>
              </w:rPr>
            </w:pPr>
            <w:r>
              <w:rPr>
                <w:rFonts w:hint="eastAsia"/>
                <w:lang w:val="en-US" w:eastAsia="zh-CN"/>
              </w:rPr>
              <w:t>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9" w:type="pct"/>
            <w:vMerge w:val="continue"/>
            <w:vAlign w:val="center"/>
          </w:tcPr>
          <w:p>
            <w:pPr>
              <w:pStyle w:val="33"/>
              <w:bidi w:val="0"/>
              <w:jc w:val="center"/>
              <w:rPr>
                <w:rFonts w:hint="eastAsia"/>
              </w:rPr>
            </w:pPr>
          </w:p>
        </w:tc>
        <w:tc>
          <w:tcPr>
            <w:tcW w:w="1340" w:type="pct"/>
            <w:vAlign w:val="center"/>
          </w:tcPr>
          <w:p>
            <w:pPr>
              <w:pStyle w:val="33"/>
              <w:bidi w:val="0"/>
              <w:jc w:val="center"/>
              <w:rPr>
                <w:rFonts w:hint="default" w:eastAsia="宋体"/>
                <w:lang w:val="en-US" w:eastAsia="zh-CN"/>
              </w:rPr>
            </w:pPr>
            <w:r>
              <w:rPr>
                <w:rFonts w:hint="eastAsia"/>
                <w:lang w:val="en-US" w:eastAsia="zh-CN"/>
              </w:rPr>
              <w:t>孔隙度Pt（%）</w:t>
            </w:r>
          </w:p>
        </w:tc>
        <w:tc>
          <w:tcPr>
            <w:tcW w:w="1105" w:type="pct"/>
            <w:vAlign w:val="center"/>
          </w:tcPr>
          <w:p>
            <w:pPr>
              <w:pStyle w:val="33"/>
              <w:bidi w:val="0"/>
              <w:jc w:val="center"/>
              <w:rPr>
                <w:rFonts w:hint="default" w:eastAsia="宋体"/>
                <w:lang w:val="en-US" w:eastAsia="zh-CN"/>
              </w:rPr>
            </w:pPr>
            <w:r>
              <w:rPr>
                <w:rFonts w:hint="eastAsia"/>
                <w:lang w:val="en-US" w:eastAsia="zh-CN"/>
              </w:rPr>
              <w:t>46</w:t>
            </w:r>
          </w:p>
        </w:tc>
        <w:tc>
          <w:tcPr>
            <w:tcW w:w="1105" w:type="pct"/>
            <w:vAlign w:val="center"/>
          </w:tcPr>
          <w:p>
            <w:pPr>
              <w:pStyle w:val="33"/>
              <w:bidi w:val="0"/>
              <w:jc w:val="center"/>
              <w:rPr>
                <w:rFonts w:hint="default" w:eastAsia="宋体"/>
                <w:lang w:val="en-US" w:eastAsia="zh-CN"/>
              </w:rPr>
            </w:pPr>
            <w:r>
              <w:rPr>
                <w:rFonts w:hint="eastAsia"/>
                <w:lang w:val="en-US" w:eastAsia="zh-CN"/>
              </w:rPr>
              <w:t>41</w:t>
            </w:r>
          </w:p>
        </w:tc>
        <w:tc>
          <w:tcPr>
            <w:tcW w:w="1109" w:type="pct"/>
            <w:vAlign w:val="center"/>
          </w:tcPr>
          <w:p>
            <w:pPr>
              <w:pStyle w:val="33"/>
              <w:bidi w:val="0"/>
              <w:jc w:val="center"/>
              <w:rPr>
                <w:rFonts w:hint="eastAsia"/>
              </w:rPr>
            </w:pPr>
          </w:p>
        </w:tc>
      </w:tr>
    </w:tbl>
    <w:p>
      <w:pPr>
        <w:pStyle w:val="7"/>
        <w:ind w:firstLine="0" w:firstLineChars="0"/>
      </w:pPr>
    </w:p>
    <w:p>
      <w:pPr>
        <w:pStyle w:val="7"/>
        <w:ind w:firstLine="0" w:firstLineChars="0"/>
      </w:pPr>
      <w:r>
        <w:drawing>
          <wp:inline distT="0" distB="0" distL="0" distR="0">
            <wp:extent cx="5174615" cy="2584450"/>
            <wp:effectExtent l="19050" t="19050" r="26035" b="254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4"/>
                    <a:srcRect t="57623"/>
                    <a:stretch>
                      <a:fillRect/>
                    </a:stretch>
                  </pic:blipFill>
                  <pic:spPr>
                    <a:xfrm>
                      <a:off x="0" y="0"/>
                      <a:ext cx="5174615" cy="2584450"/>
                    </a:xfrm>
                    <a:prstGeom prst="rect">
                      <a:avLst/>
                    </a:prstGeom>
                    <a:ln w="19050" cap="flat" cmpd="sng" algn="ctr">
                      <a:solidFill>
                        <a:sysClr val="windowText" lastClr="000000"/>
                      </a:solidFill>
                      <a:prstDash val="solid"/>
                      <a:round/>
                      <a:headEnd type="none" w="med" len="med"/>
                      <a:tailEnd type="none" w="med" len="med"/>
                    </a:ln>
                  </pic:spPr>
                </pic:pic>
              </a:graphicData>
            </a:graphic>
          </wp:inline>
        </w:drawing>
      </w:r>
    </w:p>
    <w:p>
      <w:pPr>
        <w:pStyle w:val="8"/>
      </w:pPr>
      <w:r>
        <w:rPr>
          <w:rFonts w:hint="eastAsia"/>
        </w:rPr>
        <w:t>6.8.4土壤环境影响分析</w:t>
      </w:r>
    </w:p>
    <w:p>
      <w:pPr>
        <w:pStyle w:val="7"/>
        <w:ind w:firstLine="480"/>
      </w:pPr>
      <w:r>
        <w:rPr>
          <w:rFonts w:hint="eastAsia"/>
        </w:rPr>
        <w:t>本项目特征污染物不涉及《土壤环境质量 农用地土壤污染风险管控标准（试行）》(GB 15618-2018)和《土壤环境质量 建设用地土壤污染风险管控标准（试行）》基本因子和特征因子，但项目排放特征污染物氟化物对土壤会造成一定影响。</w:t>
      </w:r>
    </w:p>
    <w:p>
      <w:pPr>
        <w:pStyle w:val="7"/>
        <w:ind w:firstLine="480"/>
      </w:pPr>
      <w:r>
        <w:rPr>
          <w:rFonts w:hint="eastAsia"/>
        </w:rPr>
        <w:t>项目危险废物暂存库及废水处理设施均按要求进行分区防渗，正常情况下不会渗入土壤中，不会对土壤造成影响。氟广泛存在于土壤中，天然土壤中的氟由于其水溶性不高，对植物生长影响不大。项目排氟对周围土壤环境的污染，主要是以大气扩散沉降的方式进入土壤，在土壤中与某些物质发生物理、化学作用。不同类型土壤对氟的吸收机理不尽相同，土壤中可溶性氟易被水带走及迁移。此外，地表植被的覆盖情况及生长情况也直接影响土壤对氟的吸附量。因此，土壤中氟的增量并非以铝厂排氟量的加数分布计算，而是与氟在土壤中的迁移变化直接相关。</w:t>
      </w:r>
    </w:p>
    <w:p>
      <w:pPr>
        <w:pStyle w:val="7"/>
        <w:ind w:firstLine="480"/>
      </w:pPr>
      <w:r>
        <w:rPr>
          <w:rFonts w:hint="eastAsia"/>
        </w:rPr>
        <w:t>氟在自然土壤中的含量有由表层向深层土壤逐渐集中的趋势，但在氟污染区，表层土壤氟含量则明显高于深层土壤。</w:t>
      </w:r>
    </w:p>
    <w:p>
      <w:pPr>
        <w:pStyle w:val="7"/>
        <w:ind w:firstLine="480"/>
      </w:pPr>
      <w:r>
        <w:rPr>
          <w:rFonts w:hint="eastAsia"/>
        </w:rPr>
        <w:t>根据《环境影响评价技术导则  土壤环境（试行）》（HJ964-2018）附录E：</w:t>
      </w:r>
    </w:p>
    <w:p>
      <w:pPr>
        <w:pStyle w:val="7"/>
        <w:ind w:firstLine="480"/>
      </w:pPr>
      <w:r>
        <w:rPr>
          <w:rFonts w:hint="eastAsia"/>
        </w:rPr>
        <w:t>（1）单位质量土壤中某种物质的增量可用下式计算：</w:t>
      </w:r>
    </w:p>
    <w:p>
      <w:pPr>
        <w:pStyle w:val="7"/>
        <w:ind w:firstLine="0" w:firstLineChars="0"/>
        <w:jc w:val="center"/>
      </w:pPr>
      <w:r>
        <w:t>△S=n（Is-Ls-Rs）/（ρ</w:t>
      </w:r>
      <w:r>
        <w:rPr>
          <w:vertAlign w:val="subscript"/>
        </w:rPr>
        <w:t>b</w:t>
      </w:r>
      <w:r>
        <w:t>×A×D）</w:t>
      </w:r>
    </w:p>
    <w:p>
      <w:pPr>
        <w:pStyle w:val="7"/>
        <w:ind w:firstLine="480"/>
      </w:pPr>
      <w:r>
        <w:t>式中：△S——单位质量表层土壤中某种物质的增量，g/kg；</w:t>
      </w:r>
    </w:p>
    <w:p>
      <w:pPr>
        <w:pStyle w:val="7"/>
        <w:ind w:firstLine="480"/>
      </w:pPr>
      <w:r>
        <w:t xml:space="preserve">       Is——预测评价范围内单位年份表层土壤中某种物质的输入量，g。取</w:t>
      </w:r>
      <w:r>
        <w:rPr>
          <w:rFonts w:hint="eastAsia"/>
        </w:rPr>
        <w:t>2.1</w:t>
      </w:r>
      <w:r>
        <w:t>×10</w:t>
      </w:r>
      <w:r>
        <w:rPr>
          <w:rFonts w:hint="eastAsia"/>
          <w:vertAlign w:val="superscript"/>
        </w:rPr>
        <w:t>4</w:t>
      </w:r>
      <w:r>
        <w:t>g/a；</w:t>
      </w:r>
    </w:p>
    <w:p>
      <w:pPr>
        <w:pStyle w:val="7"/>
        <w:ind w:firstLine="480"/>
      </w:pPr>
      <w:r>
        <w:t xml:space="preserve">       Ls——预测评价范围内单位年份表层土壤中某种物质经淋溶排除的量，g。取值0，不考虑；</w:t>
      </w:r>
    </w:p>
    <w:p>
      <w:pPr>
        <w:pStyle w:val="7"/>
        <w:ind w:firstLine="1440" w:firstLineChars="600"/>
      </w:pPr>
      <w:r>
        <w:t>Rs——预测评价范围内单位年份表层土壤中某种物质经径流排除的量，g。取值0，不考虑；</w:t>
      </w:r>
    </w:p>
    <w:p>
      <w:pPr>
        <w:pStyle w:val="7"/>
        <w:ind w:firstLine="480"/>
      </w:pPr>
      <w:r>
        <w:t xml:space="preserve">        ρ</w:t>
      </w:r>
      <w:r>
        <w:rPr>
          <w:vertAlign w:val="subscript"/>
        </w:rPr>
        <w:t>b</w:t>
      </w:r>
      <w:r>
        <w:t>——表层土壤容重，</w:t>
      </w:r>
      <w:r>
        <w:rPr>
          <w:szCs w:val="21"/>
        </w:rPr>
        <w:t>1.5</w:t>
      </w:r>
      <w:r>
        <w:rPr>
          <w:rFonts w:hint="eastAsia"/>
          <w:szCs w:val="21"/>
        </w:rPr>
        <w:t>6</w:t>
      </w:r>
      <w:r>
        <w:rPr>
          <w:szCs w:val="21"/>
        </w:rPr>
        <w:t>×10</w:t>
      </w:r>
      <w:r>
        <w:rPr>
          <w:szCs w:val="21"/>
          <w:vertAlign w:val="superscript"/>
        </w:rPr>
        <w:t>3</w:t>
      </w:r>
      <w:r>
        <w:t>kg/m</w:t>
      </w:r>
      <w:r>
        <w:rPr>
          <w:vertAlign w:val="superscript"/>
        </w:rPr>
        <w:t>3</w:t>
      </w:r>
      <w:r>
        <w:t>；</w:t>
      </w:r>
    </w:p>
    <w:p>
      <w:pPr>
        <w:pStyle w:val="7"/>
        <w:ind w:firstLine="480"/>
      </w:pPr>
      <w:r>
        <w:t xml:space="preserve">        A——预测评价范围，m</w:t>
      </w:r>
      <w:r>
        <w:rPr>
          <w:vertAlign w:val="superscript"/>
        </w:rPr>
        <w:t>2</w:t>
      </w:r>
      <w:r>
        <w:t>；</w:t>
      </w:r>
      <w:r>
        <w:rPr>
          <w:rFonts w:hint="eastAsia"/>
        </w:rPr>
        <w:t>本次为31.94</w:t>
      </w:r>
      <w:r>
        <w:rPr>
          <w:kern w:val="0"/>
          <w:lang w:val="zh-CN"/>
        </w:rPr>
        <w:t>hm</w:t>
      </w:r>
      <w:r>
        <w:rPr>
          <w:kern w:val="0"/>
          <w:vertAlign w:val="superscript"/>
          <w:lang w:val="zh-CN"/>
        </w:rPr>
        <w:t>2</w:t>
      </w:r>
      <w:r>
        <w:rPr>
          <w:rFonts w:hint="eastAsia"/>
          <w:kern w:val="0"/>
          <w:lang w:val="zh-CN"/>
        </w:rPr>
        <w:t>（319400</w:t>
      </w:r>
      <w:r>
        <w:rPr>
          <w:kern w:val="0"/>
          <w:lang w:val="zh-CN"/>
        </w:rPr>
        <w:t xml:space="preserve"> m</w:t>
      </w:r>
      <w:r>
        <w:rPr>
          <w:kern w:val="0"/>
          <w:vertAlign w:val="superscript"/>
          <w:lang w:val="zh-CN"/>
        </w:rPr>
        <w:t>2</w:t>
      </w:r>
      <w:r>
        <w:rPr>
          <w:rFonts w:hint="eastAsia"/>
          <w:kern w:val="0"/>
          <w:lang w:val="zh-CN"/>
        </w:rPr>
        <w:t>）</w:t>
      </w:r>
    </w:p>
    <w:p>
      <w:pPr>
        <w:pStyle w:val="7"/>
        <w:ind w:firstLine="480"/>
      </w:pPr>
      <w:r>
        <w:t xml:space="preserve">        D——表层土壤深度，一般去0.2m，可根据实际情况适当调整；</w:t>
      </w:r>
    </w:p>
    <w:p>
      <w:pPr>
        <w:pStyle w:val="7"/>
        <w:ind w:firstLine="480"/>
      </w:pPr>
      <w:r>
        <w:t xml:space="preserve">        n——持续年份，a。取20a。</w:t>
      </w:r>
    </w:p>
    <w:p>
      <w:pPr>
        <w:pStyle w:val="7"/>
        <w:ind w:firstLine="480"/>
      </w:pPr>
      <w:r>
        <w:t>（2）单位质量土壤中某种物质的预测值可根据其增量叠加现状值进行计算，公式如下：</w:t>
      </w:r>
    </w:p>
    <w:p>
      <w:pPr>
        <w:widowControl/>
        <w:spacing w:line="360" w:lineRule="auto"/>
        <w:jc w:val="center"/>
      </w:pPr>
      <w:r>
        <w:t>S=S</w:t>
      </w:r>
      <w:r>
        <w:rPr>
          <w:vertAlign w:val="subscript"/>
        </w:rPr>
        <w:t>b</w:t>
      </w:r>
      <w:r>
        <w:t>+△S</w:t>
      </w:r>
    </w:p>
    <w:p>
      <w:pPr>
        <w:pStyle w:val="7"/>
        <w:ind w:firstLine="480"/>
      </w:pPr>
      <w:r>
        <w:t>式中：S——单位质量土壤中某种物质的预测值，g/kg；</w:t>
      </w:r>
    </w:p>
    <w:p>
      <w:pPr>
        <w:pStyle w:val="7"/>
        <w:ind w:firstLine="480"/>
        <w:rPr>
          <w:rFonts w:hint="eastAsia"/>
          <w:highlight w:val="none"/>
          <w:u w:color="FF0000"/>
          <w:lang w:eastAsia="zh-CN"/>
        </w:rPr>
      </w:pPr>
      <w:r>
        <w:t xml:space="preserve">      S</w:t>
      </w:r>
      <w:r>
        <w:rPr>
          <w:vertAlign w:val="subscript"/>
        </w:rPr>
        <w:t>b</w:t>
      </w:r>
      <w:r>
        <w:t>——单位质量表层土壤中某种物质的现状值，g/kg。</w:t>
      </w:r>
      <w:r>
        <w:rPr>
          <w:highlight w:val="none"/>
        </w:rPr>
        <w:t>取</w:t>
      </w:r>
      <w:r>
        <w:rPr>
          <w:rFonts w:hint="eastAsia"/>
          <w:highlight w:val="none"/>
          <w:lang w:val="en-US" w:eastAsia="zh-CN"/>
        </w:rPr>
        <w:t>1228</w:t>
      </w:r>
      <w:r>
        <w:rPr>
          <w:highlight w:val="none"/>
        </w:rPr>
        <w:t>m</w:t>
      </w:r>
      <w:r>
        <w:rPr>
          <w:highlight w:val="none"/>
          <w:u w:color="FF0000"/>
        </w:rPr>
        <w:t>g/kg</w:t>
      </w:r>
      <w:r>
        <w:rPr>
          <w:rFonts w:hint="eastAsia"/>
          <w:highlight w:val="none"/>
          <w:u w:color="FF0000"/>
          <w:lang w:eastAsia="zh-CN"/>
        </w:rPr>
        <w:t>（</w:t>
      </w:r>
      <w:r>
        <w:rPr>
          <w:rFonts w:hint="eastAsia"/>
          <w:highlight w:val="none"/>
          <w:u w:color="FF0000"/>
          <w:lang w:val="en-US" w:eastAsia="zh-CN"/>
        </w:rPr>
        <w:t>现状监测最大值</w:t>
      </w:r>
      <w:r>
        <w:rPr>
          <w:rFonts w:hint="eastAsia"/>
          <w:highlight w:val="none"/>
          <w:u w:color="FF0000"/>
          <w:lang w:eastAsia="zh-CN"/>
        </w:rPr>
        <w:t>）。</w:t>
      </w:r>
    </w:p>
    <w:p>
      <w:pPr>
        <w:pStyle w:val="7"/>
        <w:ind w:firstLine="480"/>
        <w:rPr>
          <w:bCs/>
        </w:rPr>
      </w:pPr>
      <w:r>
        <w:rPr>
          <w:bCs/>
        </w:rPr>
        <w:t>根据上述计算</w:t>
      </w:r>
      <w:r>
        <w:t>△S=</w:t>
      </w:r>
      <w:r>
        <w:rPr>
          <w:rFonts w:hint="eastAsia"/>
        </w:rPr>
        <w:t>4.21</w:t>
      </w:r>
      <w:r>
        <w:rPr>
          <w:u w:color="FF0000"/>
        </w:rPr>
        <w:t>m</w:t>
      </w:r>
      <w:r>
        <w:rPr>
          <w:bCs/>
        </w:rPr>
        <w:t>g/kg，</w:t>
      </w:r>
      <w:r>
        <w:t>S=</w:t>
      </w:r>
      <w:r>
        <w:rPr>
          <w:rFonts w:hint="eastAsia"/>
          <w:lang w:val="en-US" w:eastAsia="zh-CN"/>
        </w:rPr>
        <w:t>1232.21</w:t>
      </w:r>
      <w:r>
        <w:rPr>
          <w:u w:color="FF0000"/>
        </w:rPr>
        <w:t>m</w:t>
      </w:r>
      <w:r>
        <w:rPr>
          <w:bCs/>
        </w:rPr>
        <w:t>g/kg。</w:t>
      </w:r>
    </w:p>
    <w:p>
      <w:pPr>
        <w:pStyle w:val="7"/>
        <w:ind w:firstLine="480"/>
        <w:rPr>
          <w:rFonts w:hint="eastAsia" w:eastAsia="宋体"/>
          <w:lang w:eastAsia="zh-CN"/>
        </w:rPr>
      </w:pPr>
      <w:r>
        <w:t>据环评预测，本项目20年土壤中积累氟化物预测值为</w:t>
      </w:r>
      <w:r>
        <w:rPr>
          <w:rFonts w:hint="eastAsia"/>
          <w:lang w:val="en-US" w:eastAsia="zh-CN"/>
        </w:rPr>
        <w:t>1232.21</w:t>
      </w:r>
      <w:r>
        <w:t>mg/kg</w:t>
      </w:r>
      <w:r>
        <w:rPr>
          <w:rFonts w:hint="eastAsia"/>
          <w:lang w:eastAsia="zh-CN"/>
        </w:rPr>
        <w:t>。</w:t>
      </w:r>
      <w:r>
        <w:t>20年土壤中积累氟化物</w:t>
      </w:r>
      <w:r>
        <w:rPr>
          <w:rFonts w:hint="eastAsia"/>
        </w:rPr>
        <w:t>增量</w:t>
      </w:r>
      <w:r>
        <w:rPr>
          <w:rFonts w:hint="eastAsia"/>
          <w:lang w:val="en-US" w:eastAsia="zh-CN"/>
        </w:rPr>
        <w:t>为</w:t>
      </w:r>
      <w:r>
        <w:rPr>
          <w:rFonts w:hint="eastAsia"/>
        </w:rPr>
        <w:t>4.21</w:t>
      </w:r>
      <w:r>
        <w:rPr>
          <w:u w:color="FF0000"/>
        </w:rPr>
        <w:t>m</w:t>
      </w:r>
      <w:r>
        <w:rPr>
          <w:bCs/>
        </w:rPr>
        <w:t>g/kg</w:t>
      </w:r>
      <w:r>
        <w:rPr>
          <w:rFonts w:hint="eastAsia"/>
          <w:bCs/>
          <w:lang w:eastAsia="zh-CN"/>
        </w:rPr>
        <w:t>，</w:t>
      </w:r>
      <w:r>
        <w:rPr>
          <w:rFonts w:hint="eastAsia"/>
          <w:bCs/>
          <w:lang w:val="en-US" w:eastAsia="zh-CN"/>
        </w:rPr>
        <w:t>占预测值0.34%；每年平均输入量0.211</w:t>
      </w:r>
      <w:r>
        <w:rPr>
          <w:u w:color="FF0000"/>
        </w:rPr>
        <w:t>m</w:t>
      </w:r>
      <w:r>
        <w:rPr>
          <w:bCs/>
        </w:rPr>
        <w:t>g/kg</w:t>
      </w:r>
      <w:r>
        <w:rPr>
          <w:rFonts w:hint="eastAsia"/>
          <w:bCs/>
          <w:lang w:eastAsia="zh-CN"/>
        </w:rPr>
        <w:t>，</w:t>
      </w:r>
      <w:r>
        <w:rPr>
          <w:rFonts w:hint="eastAsia"/>
          <w:bCs/>
          <w:lang w:val="en-US" w:eastAsia="zh-CN"/>
        </w:rPr>
        <w:t>20年增长率为0.018%。</w:t>
      </w:r>
      <w:r>
        <w:t>项目建设对土壤环境影响较小</w:t>
      </w:r>
      <w:r>
        <w:rPr>
          <w:rFonts w:hint="eastAsia"/>
          <w:lang w:eastAsia="zh-CN"/>
        </w:rPr>
        <w:t>。</w:t>
      </w:r>
    </w:p>
    <w:p>
      <w:pPr>
        <w:pStyle w:val="8"/>
        <w:bidi w:val="0"/>
        <w:rPr>
          <w:rFonts w:hint="eastAsia"/>
        </w:rPr>
      </w:pPr>
      <w:r>
        <w:rPr>
          <w:rFonts w:hint="eastAsia"/>
          <w:lang w:val="en-US" w:eastAsia="zh-CN"/>
        </w:rPr>
        <w:t>6.8</w:t>
      </w:r>
      <w:r>
        <w:rPr>
          <w:rFonts w:hint="eastAsia"/>
        </w:rPr>
        <w:t>.5土壤环境保护措施</w:t>
      </w:r>
    </w:p>
    <w:p>
      <w:pPr>
        <w:pStyle w:val="7"/>
        <w:ind w:firstLine="480"/>
        <w:rPr>
          <w:rFonts w:hint="eastAsia"/>
        </w:rPr>
      </w:pPr>
      <w:r>
        <w:rPr>
          <w:rFonts w:hint="eastAsia"/>
        </w:rPr>
        <w:t>按照《中华人民共和国水污染防治法》和《中华人民共和国环境影响评价法》的相关规定，土壤污染防治应当坚持预防为主、保护优先、分类管理、风险管控、污染担责、公众参与的原则。本项目从污染物的产生、入渗、扩散、应急响应进行控制，采取的土壤环境保护措施主要为：</w:t>
      </w:r>
    </w:p>
    <w:p>
      <w:pPr>
        <w:pStyle w:val="7"/>
        <w:ind w:firstLine="480"/>
        <w:rPr>
          <w:rFonts w:hint="eastAsia"/>
        </w:rPr>
      </w:pPr>
      <w:r>
        <w:rPr>
          <w:rFonts w:hint="eastAsia"/>
        </w:rPr>
        <w:t>源头控制措施：严格按照国家相关规范，对管道、设备及相关构筑物采取相应的措施，以防止和降低污水的跑、冒、滴、漏；管线敷设尽量采用“可视化”原则；严禁渗坑渗井排放，所有场地全部硬化和密封，严禁下渗污染；保持污染源底部的清洁干燥；通过规划布局调整结构来控制污染。</w:t>
      </w:r>
    </w:p>
    <w:p>
      <w:pPr>
        <w:pStyle w:val="7"/>
        <w:ind w:firstLine="480"/>
        <w:rPr>
          <w:rFonts w:hint="eastAsia"/>
        </w:rPr>
      </w:pPr>
      <w:r>
        <w:rPr>
          <w:rFonts w:hint="eastAsia"/>
        </w:rPr>
        <w:t>过程阻断措施：监控污染源污染状况，设置检修时间及检修周期。</w:t>
      </w:r>
    </w:p>
    <w:p>
      <w:pPr>
        <w:pStyle w:val="7"/>
        <w:ind w:firstLine="480"/>
        <w:rPr>
          <w:rFonts w:hint="eastAsia"/>
        </w:rPr>
      </w:pPr>
      <w:r>
        <w:rPr>
          <w:rFonts w:hint="eastAsia"/>
        </w:rPr>
        <w:t>分区防控措施：划分重点防渗区（氯气站、污水处理站、循环水池、初期雨水收集池、</w:t>
      </w:r>
      <w:r>
        <w:rPr>
          <w:rFonts w:hint="eastAsia" w:ascii="宋体" w:hAnsi="宋体"/>
        </w:rPr>
        <w:t>化粪池、隔油池、</w:t>
      </w:r>
      <w:r>
        <w:rPr>
          <w:rFonts w:hint="eastAsia"/>
        </w:rPr>
        <w:t>危废暂存间、铝灰分离车间等区域）、一般防渗区（主要包括原材料库、加工车间、货场、成品仓库、综合站房等区域）和简单区（除重点污染防治区、一般污染防治区外的</w:t>
      </w:r>
      <w:r>
        <w:rPr>
          <w:rFonts w:hint="eastAsia"/>
          <w:lang w:eastAsia="zh-CN"/>
        </w:rPr>
        <w:t>其他</w:t>
      </w:r>
      <w:r>
        <w:rPr>
          <w:rFonts w:hint="eastAsia"/>
        </w:rPr>
        <w:t>建筑区，包括办公区、道路、绿化区等），并加强厂区绿化。</w:t>
      </w:r>
    </w:p>
    <w:p>
      <w:pPr>
        <w:pStyle w:val="7"/>
        <w:ind w:firstLine="480"/>
        <w:rPr>
          <w:rFonts w:hint="eastAsia"/>
        </w:rPr>
      </w:pPr>
      <w:r>
        <w:rPr>
          <w:rFonts w:hint="eastAsia"/>
        </w:rPr>
        <w:t>应急响应措施：设立土壤监测小组，对土壤环境监测和管理，建立有关规章制度和岗位责任制，制定风险预警方案。</w:t>
      </w:r>
    </w:p>
    <w:p>
      <w:pPr>
        <w:pStyle w:val="8"/>
        <w:bidi w:val="0"/>
        <w:rPr>
          <w:rFonts w:hint="eastAsia"/>
        </w:rPr>
      </w:pPr>
      <w:r>
        <w:rPr>
          <w:rFonts w:hint="eastAsia"/>
          <w:lang w:val="en-US" w:eastAsia="zh-CN"/>
        </w:rPr>
        <w:t>6.8</w:t>
      </w:r>
      <w:r>
        <w:rPr>
          <w:rFonts w:hint="eastAsia"/>
        </w:rPr>
        <w:t>.6土壤环境跟踪监测计划</w:t>
      </w:r>
    </w:p>
    <w:p>
      <w:pPr>
        <w:pStyle w:val="7"/>
        <w:ind w:firstLine="480"/>
        <w:rPr>
          <w:rFonts w:hint="eastAsia"/>
          <w:color w:val="auto"/>
        </w:rPr>
      </w:pPr>
      <w:r>
        <w:rPr>
          <w:rFonts w:hint="eastAsia"/>
          <w:color w:val="auto"/>
        </w:rPr>
        <w:t>本项目跟踪监测对象共</w:t>
      </w:r>
      <w:r>
        <w:rPr>
          <w:rFonts w:hint="eastAsia"/>
          <w:color w:val="auto"/>
          <w:lang w:val="en-US" w:eastAsia="zh-CN"/>
        </w:rPr>
        <w:t>4</w:t>
      </w:r>
      <w:r>
        <w:rPr>
          <w:rFonts w:hint="eastAsia"/>
          <w:color w:val="auto"/>
        </w:rPr>
        <w:t>个，其中占地范围内</w:t>
      </w:r>
      <w:r>
        <w:rPr>
          <w:rFonts w:hint="eastAsia"/>
          <w:color w:val="auto"/>
          <w:lang w:val="en-US" w:eastAsia="zh-CN"/>
        </w:rPr>
        <w:t>3</w:t>
      </w:r>
      <w:r>
        <w:rPr>
          <w:rFonts w:hint="eastAsia"/>
          <w:color w:val="auto"/>
        </w:rPr>
        <w:t>个，分别为</w:t>
      </w:r>
      <w:r>
        <w:rPr>
          <w:rFonts w:hint="eastAsia"/>
          <w:color w:val="auto"/>
          <w:lang w:val="en-US" w:eastAsia="zh-CN"/>
        </w:rPr>
        <w:t>危废暂存间</w:t>
      </w:r>
      <w:r>
        <w:rPr>
          <w:rFonts w:hint="eastAsia"/>
          <w:color w:val="auto"/>
        </w:rPr>
        <w:t>、</w:t>
      </w:r>
      <w:r>
        <w:rPr>
          <w:rFonts w:hint="eastAsia"/>
          <w:color w:val="auto"/>
          <w:lang w:val="en-US" w:eastAsia="zh-CN"/>
        </w:rPr>
        <w:t>冷却循环水池</w:t>
      </w:r>
      <w:r>
        <w:rPr>
          <w:rFonts w:hint="eastAsia"/>
          <w:color w:val="auto"/>
        </w:rPr>
        <w:t>、自建污水处理站区域土壤，监测深度为0-3m，均取柱状样进行跟踪监测；占地范围外监测对象</w:t>
      </w:r>
      <w:r>
        <w:rPr>
          <w:rFonts w:hint="eastAsia"/>
          <w:color w:val="auto"/>
          <w:lang w:val="en-US" w:eastAsia="zh-CN"/>
        </w:rPr>
        <w:t>1</w:t>
      </w:r>
      <w:r>
        <w:rPr>
          <w:rFonts w:hint="eastAsia"/>
          <w:color w:val="auto"/>
        </w:rPr>
        <w:t>个，分别为项目场地西</w:t>
      </w:r>
      <w:r>
        <w:rPr>
          <w:rFonts w:hint="eastAsia"/>
          <w:color w:val="auto"/>
          <w:lang w:val="en-US" w:eastAsia="zh-CN"/>
        </w:rPr>
        <w:t>南</w:t>
      </w:r>
      <w:r>
        <w:rPr>
          <w:rFonts w:hint="eastAsia"/>
          <w:color w:val="auto"/>
        </w:rPr>
        <w:t>侧</w:t>
      </w:r>
      <w:r>
        <w:rPr>
          <w:rFonts w:hint="eastAsia"/>
          <w:color w:val="auto"/>
          <w:lang w:val="en-US" w:eastAsia="zh-CN"/>
        </w:rPr>
        <w:t>耕地</w:t>
      </w:r>
      <w:r>
        <w:rPr>
          <w:rFonts w:hint="eastAsia"/>
          <w:color w:val="auto"/>
        </w:rPr>
        <w:t>，取表层样进行跟踪监测。本项目土壤跟踪监测</w:t>
      </w:r>
      <w:r>
        <w:rPr>
          <w:rFonts w:hint="eastAsia"/>
          <w:color w:val="auto"/>
          <w:lang w:eastAsia="zh-CN"/>
        </w:rPr>
        <w:t>，</w:t>
      </w:r>
      <w:r>
        <w:rPr>
          <w:rFonts w:hint="eastAsia"/>
          <w:color w:val="auto"/>
        </w:rPr>
        <w:t>深层土壤每5年监测一次，表层土壤每年监测一次</w:t>
      </w:r>
      <w:r>
        <w:rPr>
          <w:rFonts w:hint="eastAsia"/>
          <w:color w:val="auto"/>
          <w:lang w:eastAsia="zh-CN"/>
        </w:rPr>
        <w:t>，</w:t>
      </w:r>
      <w:r>
        <w:rPr>
          <w:rFonts w:hint="eastAsia"/>
          <w:color w:val="auto"/>
        </w:rPr>
        <w:t>跟踪监测建议委托有资质的监测单位开展，监测结果需向社会公开。</w:t>
      </w:r>
    </w:p>
    <w:p>
      <w:pPr>
        <w:pStyle w:val="31"/>
        <w:rPr>
          <w:rFonts w:hint="eastAsia"/>
          <w:color w:val="auto"/>
        </w:rPr>
      </w:pPr>
      <w:r>
        <w:rPr>
          <w:rFonts w:hint="eastAsia"/>
          <w:color w:val="auto"/>
        </w:rPr>
        <w:t>表6.</w:t>
      </w:r>
      <w:r>
        <w:rPr>
          <w:rFonts w:hint="eastAsia"/>
          <w:color w:val="auto"/>
          <w:lang w:val="en-US" w:eastAsia="zh-CN"/>
        </w:rPr>
        <w:t>8-4</w:t>
      </w:r>
      <w:r>
        <w:rPr>
          <w:color w:val="auto"/>
        </w:rPr>
        <w:t xml:space="preserve"> </w:t>
      </w:r>
      <w:r>
        <w:rPr>
          <w:rFonts w:hint="eastAsia"/>
          <w:color w:val="auto"/>
        </w:rPr>
        <w:t xml:space="preserve"> 土壤环境跟踪监测计划表</w:t>
      </w:r>
    </w:p>
    <w:tbl>
      <w:tblPr>
        <w:tblStyle w:val="27"/>
        <w:tblW w:w="524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22"/>
        <w:gridCol w:w="1368"/>
        <w:gridCol w:w="4530"/>
        <w:gridCol w:w="676"/>
        <w:gridCol w:w="9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5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32"/>
              <w:rPr>
                <w:color w:val="auto"/>
              </w:rPr>
            </w:pPr>
            <w:r>
              <w:rPr>
                <w:rFonts w:hint="eastAsia"/>
                <w:color w:val="auto"/>
              </w:rPr>
              <w:t xml:space="preserve">监测点 </w:t>
            </w:r>
          </w:p>
        </w:tc>
        <w:tc>
          <w:tcPr>
            <w:tcW w:w="253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color w:val="auto"/>
                <w:highlight w:val="none"/>
              </w:rPr>
            </w:pPr>
            <w:r>
              <w:rPr>
                <w:rFonts w:hint="eastAsia"/>
                <w:color w:val="auto"/>
                <w:highlight w:val="none"/>
              </w:rPr>
              <w:t xml:space="preserve">监测指标 </w:t>
            </w:r>
          </w:p>
        </w:tc>
        <w:tc>
          <w:tcPr>
            <w:tcW w:w="37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color w:val="auto"/>
                <w:highlight w:val="none"/>
              </w:rPr>
            </w:pPr>
            <w:r>
              <w:rPr>
                <w:rFonts w:hint="eastAsia"/>
                <w:color w:val="auto"/>
                <w:highlight w:val="none"/>
              </w:rPr>
              <w:t>监测频次</w:t>
            </w:r>
          </w:p>
        </w:tc>
        <w:tc>
          <w:tcPr>
            <w:tcW w:w="5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color w:val="auto"/>
                <w:highlight w:val="none"/>
              </w:rPr>
            </w:pPr>
            <w:r>
              <w:rPr>
                <w:rFonts w:hint="eastAsia"/>
                <w:color w:val="auto"/>
                <w:highlight w:val="none"/>
              </w:rPr>
              <w:t>执行标准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eastAsia" w:eastAsia="宋体"/>
                <w:color w:val="auto"/>
                <w:lang w:eastAsia="zh-CN"/>
              </w:rPr>
            </w:pPr>
            <w:r>
              <w:rPr>
                <w:rFonts w:hint="eastAsia"/>
                <w:color w:val="auto"/>
                <w:lang w:val="en-US" w:eastAsia="zh-CN"/>
              </w:rPr>
              <w:t>危废暂存间</w:t>
            </w:r>
          </w:p>
        </w:tc>
        <w:tc>
          <w:tcPr>
            <w:tcW w:w="764" w:type="pct"/>
            <w:vMerge w:val="restart"/>
            <w:tcBorders>
              <w:top w:val="single" w:color="auto" w:sz="4" w:space="0"/>
              <w:left w:val="single" w:color="auto" w:sz="4" w:space="0"/>
              <w:right w:val="single" w:color="auto" w:sz="4" w:space="0"/>
            </w:tcBorders>
            <w:shd w:val="clear" w:color="auto" w:fill="auto"/>
            <w:vAlign w:val="center"/>
          </w:tcPr>
          <w:p>
            <w:pPr>
              <w:pStyle w:val="32"/>
              <w:rPr>
                <w:color w:val="auto"/>
              </w:rPr>
            </w:pPr>
            <w:r>
              <w:rPr>
                <w:color w:val="auto"/>
              </w:rPr>
              <w:t>柱状样</w:t>
            </w:r>
            <w:r>
              <w:rPr>
                <w:rFonts w:hint="eastAsia"/>
                <w:color w:val="auto"/>
                <w:lang w:val="en-US" w:eastAsia="zh-CN"/>
              </w:rPr>
              <w:t>各</w:t>
            </w:r>
            <w:r>
              <w:rPr>
                <w:color w:val="auto"/>
              </w:rPr>
              <w:t>1个（0~0.5m、0.5~1.5m、1.5~3m）</w:t>
            </w:r>
          </w:p>
        </w:tc>
        <w:tc>
          <w:tcPr>
            <w:tcW w:w="2532" w:type="pct"/>
            <w:vMerge w:val="restart"/>
            <w:tcBorders>
              <w:top w:val="single" w:color="auto" w:sz="4" w:space="0"/>
              <w:left w:val="single" w:color="auto" w:sz="4" w:space="0"/>
              <w:right w:val="single" w:color="auto" w:sz="4" w:space="0"/>
            </w:tcBorders>
            <w:shd w:val="clear" w:color="auto" w:fill="auto"/>
            <w:vAlign w:val="center"/>
          </w:tcPr>
          <w:p>
            <w:pPr>
              <w:pStyle w:val="32"/>
              <w:jc w:val="center"/>
              <w:rPr>
                <w:color w:val="auto"/>
                <w:highlight w:val="none"/>
              </w:rPr>
            </w:pPr>
            <w:r>
              <w:rPr>
                <w:rFonts w:hint="eastAsia"/>
                <w:color w:val="auto"/>
                <w:highlight w:val="none"/>
              </w:rPr>
              <w:t>pH值、砷、镉、六价铬、铜、铅、汞、镍、锌、四氯化碳、氯仿、氯甲烷、1,1-二氯乙烷、1,2-二氯乙烷、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氟化物</w:t>
            </w:r>
          </w:p>
        </w:tc>
        <w:tc>
          <w:tcPr>
            <w:tcW w:w="377" w:type="pct"/>
            <w:vMerge w:val="restart"/>
            <w:tcBorders>
              <w:top w:val="single" w:color="auto" w:sz="4" w:space="0"/>
              <w:left w:val="single" w:color="auto" w:sz="4" w:space="0"/>
              <w:right w:val="single" w:color="auto" w:sz="4" w:space="0"/>
            </w:tcBorders>
            <w:shd w:val="clear" w:color="auto" w:fill="auto"/>
            <w:vAlign w:val="center"/>
          </w:tcPr>
          <w:p>
            <w:pPr>
              <w:pStyle w:val="32"/>
              <w:bidi w:val="0"/>
              <w:rPr>
                <w:rFonts w:hint="default"/>
              </w:rPr>
            </w:pPr>
            <w:r>
              <w:rPr>
                <w:rFonts w:hint="eastAsia"/>
                <w:lang w:val="en-US" w:eastAsia="zh-CN"/>
              </w:rPr>
              <w:t>深层土壤每5年监测一次，表层土壤</w:t>
            </w:r>
            <w:r>
              <w:rPr>
                <w:rFonts w:hint="default"/>
              </w:rPr>
              <w:t>每年监测</w:t>
            </w:r>
          </w:p>
          <w:p>
            <w:pPr>
              <w:pStyle w:val="32"/>
              <w:bidi w:val="0"/>
              <w:rPr>
                <w:color w:val="auto"/>
                <w:highlight w:val="none"/>
              </w:rPr>
            </w:pPr>
            <w:r>
              <w:rPr>
                <w:rFonts w:hint="default"/>
              </w:rPr>
              <w:t>一次</w:t>
            </w:r>
          </w:p>
        </w:tc>
        <w:tc>
          <w:tcPr>
            <w:tcW w:w="529" w:type="pct"/>
            <w:vMerge w:val="restart"/>
            <w:tcBorders>
              <w:top w:val="single" w:color="auto" w:sz="4" w:space="0"/>
              <w:left w:val="single" w:color="auto" w:sz="4" w:space="0"/>
              <w:right w:val="single" w:color="auto" w:sz="4" w:space="0"/>
            </w:tcBorders>
            <w:shd w:val="clear" w:color="auto" w:fill="auto"/>
            <w:vAlign w:val="center"/>
          </w:tcPr>
          <w:p>
            <w:pPr>
              <w:pStyle w:val="32"/>
              <w:rPr>
                <w:color w:val="auto"/>
                <w:highlight w:val="none"/>
              </w:rPr>
            </w:pPr>
            <w:r>
              <w:rPr>
                <w:rFonts w:hint="eastAsia"/>
                <w:color w:val="auto"/>
                <w:highlight w:val="none"/>
              </w:rPr>
              <w:t>GB36600-2018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jc w:val="center"/>
              <w:rPr>
                <w:rFonts w:hint="default"/>
                <w:color w:val="auto"/>
                <w:lang w:val="en-US" w:eastAsia="zh-CN"/>
              </w:rPr>
            </w:pPr>
            <w:r>
              <w:rPr>
                <w:rFonts w:hint="eastAsia"/>
                <w:color w:val="auto"/>
                <w:lang w:val="en-US" w:eastAsia="zh-CN"/>
              </w:rPr>
              <w:t>冷却循环水池</w:t>
            </w:r>
          </w:p>
        </w:tc>
        <w:tc>
          <w:tcPr>
            <w:tcW w:w="764" w:type="pct"/>
            <w:vMerge w:val="continue"/>
            <w:tcBorders>
              <w:left w:val="single" w:color="auto" w:sz="4" w:space="0"/>
              <w:right w:val="single" w:color="auto" w:sz="4" w:space="0"/>
            </w:tcBorders>
            <w:shd w:val="clear" w:color="auto" w:fill="auto"/>
            <w:vAlign w:val="center"/>
          </w:tcPr>
          <w:p>
            <w:pPr>
              <w:pStyle w:val="32"/>
              <w:rPr>
                <w:color w:val="auto"/>
              </w:rPr>
            </w:pPr>
          </w:p>
        </w:tc>
        <w:tc>
          <w:tcPr>
            <w:tcW w:w="2532" w:type="pct"/>
            <w:vMerge w:val="continue"/>
            <w:tcBorders>
              <w:left w:val="single" w:color="auto" w:sz="4" w:space="0"/>
              <w:right w:val="single" w:color="auto" w:sz="4" w:space="0"/>
            </w:tcBorders>
            <w:shd w:val="clear" w:color="auto" w:fill="auto"/>
            <w:vAlign w:val="center"/>
          </w:tcPr>
          <w:p>
            <w:pPr>
              <w:pStyle w:val="32"/>
              <w:rPr>
                <w:rFonts w:hint="eastAsia"/>
                <w:color w:val="auto"/>
                <w:highlight w:val="none"/>
              </w:rPr>
            </w:pPr>
          </w:p>
        </w:tc>
        <w:tc>
          <w:tcPr>
            <w:tcW w:w="377" w:type="pct"/>
            <w:vMerge w:val="continue"/>
            <w:tcBorders>
              <w:left w:val="single" w:color="auto" w:sz="4" w:space="0"/>
              <w:right w:val="single" w:color="auto" w:sz="4" w:space="0"/>
            </w:tcBorders>
            <w:shd w:val="clear" w:color="auto" w:fill="auto"/>
            <w:vAlign w:val="center"/>
          </w:tcPr>
          <w:p>
            <w:pPr>
              <w:pStyle w:val="32"/>
              <w:rPr>
                <w:rFonts w:hint="eastAsia"/>
                <w:color w:val="auto"/>
                <w:highlight w:val="none"/>
              </w:rPr>
            </w:pPr>
          </w:p>
        </w:tc>
        <w:tc>
          <w:tcPr>
            <w:tcW w:w="529" w:type="pct"/>
            <w:vMerge w:val="continue"/>
            <w:tcBorders>
              <w:left w:val="single" w:color="auto" w:sz="4" w:space="0"/>
              <w:right w:val="single" w:color="auto" w:sz="4" w:space="0"/>
            </w:tcBorders>
            <w:shd w:val="clear" w:color="auto" w:fill="auto"/>
            <w:vAlign w:val="center"/>
          </w:tcPr>
          <w:p>
            <w:pPr>
              <w:pStyle w:val="32"/>
              <w:rPr>
                <w:rFonts w:hint="eastAsia"/>
                <w:color w:val="auto"/>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default" w:eastAsia="宋体"/>
                <w:color w:val="auto"/>
                <w:lang w:val="en-US" w:eastAsia="zh-CN"/>
              </w:rPr>
            </w:pPr>
            <w:r>
              <w:rPr>
                <w:rFonts w:hint="eastAsia"/>
                <w:color w:val="auto"/>
                <w:lang w:val="en-US" w:eastAsia="zh-CN"/>
              </w:rPr>
              <w:t>污水处理站</w:t>
            </w:r>
          </w:p>
        </w:tc>
        <w:tc>
          <w:tcPr>
            <w:tcW w:w="764" w:type="pct"/>
            <w:vMerge w:val="continue"/>
            <w:tcBorders>
              <w:left w:val="single" w:color="auto" w:sz="4" w:space="0"/>
              <w:right w:val="single" w:color="auto" w:sz="4" w:space="0"/>
            </w:tcBorders>
            <w:shd w:val="clear" w:color="auto" w:fill="auto"/>
            <w:vAlign w:val="center"/>
          </w:tcPr>
          <w:p>
            <w:pPr>
              <w:pStyle w:val="32"/>
              <w:rPr>
                <w:color w:val="auto"/>
              </w:rPr>
            </w:pPr>
          </w:p>
        </w:tc>
        <w:tc>
          <w:tcPr>
            <w:tcW w:w="2532" w:type="pct"/>
            <w:vMerge w:val="continue"/>
            <w:tcBorders>
              <w:left w:val="single" w:color="auto" w:sz="4" w:space="0"/>
              <w:right w:val="single" w:color="auto" w:sz="4" w:space="0"/>
            </w:tcBorders>
            <w:shd w:val="clear" w:color="auto" w:fill="auto"/>
            <w:vAlign w:val="center"/>
          </w:tcPr>
          <w:p>
            <w:pPr>
              <w:pStyle w:val="32"/>
              <w:rPr>
                <w:color w:val="auto"/>
                <w:highlight w:val="yellow"/>
              </w:rPr>
            </w:pPr>
          </w:p>
        </w:tc>
        <w:tc>
          <w:tcPr>
            <w:tcW w:w="377" w:type="pct"/>
            <w:vMerge w:val="continue"/>
            <w:tcBorders>
              <w:left w:val="single" w:color="auto" w:sz="4" w:space="0"/>
              <w:right w:val="single" w:color="auto" w:sz="4" w:space="0"/>
            </w:tcBorders>
            <w:shd w:val="clear" w:color="auto" w:fill="auto"/>
            <w:vAlign w:val="center"/>
          </w:tcPr>
          <w:p>
            <w:pPr>
              <w:pStyle w:val="32"/>
              <w:rPr>
                <w:color w:val="auto"/>
                <w:highlight w:val="yellow"/>
              </w:rPr>
            </w:pPr>
          </w:p>
        </w:tc>
        <w:tc>
          <w:tcPr>
            <w:tcW w:w="529" w:type="pct"/>
            <w:vMerge w:val="continue"/>
            <w:tcBorders>
              <w:left w:val="single" w:color="auto" w:sz="4" w:space="0"/>
              <w:bottom w:val="single" w:color="auto" w:sz="4" w:space="0"/>
              <w:right w:val="single" w:color="auto" w:sz="4" w:space="0"/>
            </w:tcBorders>
            <w:shd w:val="clear" w:color="auto" w:fill="auto"/>
            <w:vAlign w:val="center"/>
          </w:tcPr>
          <w:p>
            <w:pPr>
              <w:pStyle w:val="32"/>
              <w:rPr>
                <w:color w:val="auto"/>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9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rPr>
                <w:rFonts w:hint="eastAsia" w:eastAsia="宋体"/>
                <w:color w:val="auto"/>
                <w:lang w:val="en-US" w:eastAsia="zh-CN"/>
              </w:rPr>
            </w:pPr>
            <w:r>
              <w:rPr>
                <w:rFonts w:hint="eastAsia"/>
                <w:color w:val="auto"/>
                <w:lang w:val="en-US" w:eastAsia="zh-CN"/>
              </w:rPr>
              <w:t>西南</w:t>
            </w:r>
            <w:r>
              <w:rPr>
                <w:color w:val="auto"/>
              </w:rPr>
              <w:t>侧</w:t>
            </w:r>
            <w:r>
              <w:rPr>
                <w:rFonts w:hint="eastAsia"/>
                <w:color w:val="auto"/>
                <w:lang w:val="en-US" w:eastAsia="zh-CN"/>
              </w:rPr>
              <w:t>1</w:t>
            </w:r>
            <w:r>
              <w:rPr>
                <w:color w:val="auto"/>
              </w:rPr>
              <w:t>00m处</w:t>
            </w:r>
            <w:r>
              <w:rPr>
                <w:rFonts w:hint="eastAsia"/>
                <w:color w:val="auto"/>
                <w:lang w:val="en-US" w:eastAsia="zh-CN"/>
              </w:rPr>
              <w:t>耕地</w:t>
            </w:r>
          </w:p>
        </w:tc>
        <w:tc>
          <w:tcPr>
            <w:tcW w:w="764" w:type="pct"/>
            <w:tcBorders>
              <w:left w:val="single" w:color="auto" w:sz="4" w:space="0"/>
              <w:right w:val="single" w:color="auto" w:sz="4" w:space="0"/>
            </w:tcBorders>
            <w:shd w:val="clear" w:color="auto" w:fill="auto"/>
            <w:vAlign w:val="center"/>
          </w:tcPr>
          <w:p>
            <w:pPr>
              <w:pStyle w:val="32"/>
              <w:rPr>
                <w:color w:val="auto"/>
              </w:rPr>
            </w:pPr>
            <w:r>
              <w:rPr>
                <w:rFonts w:hint="eastAsia"/>
                <w:color w:val="auto"/>
              </w:rPr>
              <w:t>表层样1个（</w:t>
            </w:r>
            <w:r>
              <w:rPr>
                <w:color w:val="auto"/>
              </w:rPr>
              <w:t>0～0.2m</w:t>
            </w:r>
            <w:r>
              <w:rPr>
                <w:rFonts w:hint="eastAsia"/>
                <w:color w:val="auto"/>
              </w:rPr>
              <w:t>）</w:t>
            </w:r>
          </w:p>
        </w:tc>
        <w:tc>
          <w:tcPr>
            <w:tcW w:w="2532" w:type="pct"/>
            <w:tcBorders>
              <w:left w:val="single" w:color="auto" w:sz="4" w:space="0"/>
              <w:right w:val="single" w:color="auto" w:sz="4" w:space="0"/>
            </w:tcBorders>
            <w:shd w:val="clear" w:color="auto" w:fill="auto"/>
            <w:vAlign w:val="center"/>
          </w:tcPr>
          <w:p>
            <w:pPr>
              <w:pStyle w:val="32"/>
              <w:rPr>
                <w:color w:val="auto"/>
                <w:highlight w:val="yellow"/>
              </w:rPr>
            </w:pPr>
            <w:r>
              <w:rPr>
                <w:rFonts w:hint="eastAsia"/>
                <w:color w:val="auto"/>
                <w:highlight w:val="none"/>
              </w:rPr>
              <w:t>pH、镉、汞、砷、铅、总铬、铜、镍、锌和氟化物</w:t>
            </w:r>
          </w:p>
        </w:tc>
        <w:tc>
          <w:tcPr>
            <w:tcW w:w="377" w:type="pct"/>
            <w:vMerge w:val="continue"/>
            <w:tcBorders>
              <w:left w:val="single" w:color="auto" w:sz="4" w:space="0"/>
              <w:right w:val="single" w:color="auto" w:sz="4" w:space="0"/>
            </w:tcBorders>
            <w:shd w:val="clear" w:color="auto" w:fill="auto"/>
            <w:vAlign w:val="center"/>
          </w:tcPr>
          <w:p>
            <w:pPr>
              <w:pStyle w:val="32"/>
              <w:rPr>
                <w:color w:val="auto"/>
                <w:highlight w:val="yellow"/>
              </w:rPr>
            </w:pPr>
          </w:p>
        </w:tc>
        <w:tc>
          <w:tcPr>
            <w:tcW w:w="529" w:type="pct"/>
            <w:tcBorders>
              <w:top w:val="single" w:color="auto" w:sz="4" w:space="0"/>
              <w:left w:val="single" w:color="auto" w:sz="4" w:space="0"/>
              <w:right w:val="single" w:color="auto" w:sz="4" w:space="0"/>
            </w:tcBorders>
            <w:shd w:val="clear" w:color="auto" w:fill="auto"/>
            <w:vAlign w:val="center"/>
          </w:tcPr>
          <w:p>
            <w:pPr>
              <w:pStyle w:val="32"/>
              <w:rPr>
                <w:color w:val="auto"/>
                <w:highlight w:val="none"/>
              </w:rPr>
            </w:pPr>
            <w:r>
              <w:rPr>
                <w:rFonts w:hint="eastAsia"/>
                <w:color w:val="auto"/>
                <w:highlight w:val="none"/>
              </w:rPr>
              <w:t>GB15618-2018</w:t>
            </w:r>
          </w:p>
        </w:tc>
      </w:tr>
    </w:tbl>
    <w:p>
      <w:pPr>
        <w:pStyle w:val="8"/>
        <w:bidi w:val="0"/>
        <w:rPr>
          <w:rFonts w:hint="eastAsia"/>
        </w:rPr>
      </w:pPr>
      <w:r>
        <w:rPr>
          <w:rFonts w:hint="eastAsia"/>
          <w:lang w:val="en-US" w:eastAsia="zh-CN"/>
        </w:rPr>
        <w:t>6.8.7</w:t>
      </w:r>
      <w:r>
        <w:rPr>
          <w:rFonts w:hint="eastAsia"/>
        </w:rPr>
        <w:t>土壤评价结论</w:t>
      </w:r>
    </w:p>
    <w:p>
      <w:pPr>
        <w:pStyle w:val="7"/>
        <w:ind w:firstLine="480"/>
        <w:rPr>
          <w:rFonts w:hint="eastAsia" w:eastAsia="宋体"/>
          <w:lang w:eastAsia="zh-CN"/>
        </w:rPr>
      </w:pPr>
      <w:r>
        <w:rPr>
          <w:rFonts w:hint="eastAsia"/>
          <w:color w:val="auto"/>
        </w:rPr>
        <w:t>本项目占地范围及评价范围内各监测点位的各监测项目的监测值均低于相应标准的风险筛选值，对人体健康的风险可忽略。本项目评价范围内土壤环境质量现状良好。本次评价通过定量的办法，从大气沉降分析项目运营对土壤环境的影响，企业运行20年，项目评价范围内土壤中的</w:t>
      </w:r>
      <w:r>
        <w:rPr>
          <w:rFonts w:hint="eastAsia"/>
          <w:color w:val="auto"/>
          <w:lang w:val="en-US" w:eastAsia="zh-CN"/>
        </w:rPr>
        <w:t>氟化物</w:t>
      </w:r>
      <w:r>
        <w:rPr>
          <w:rFonts w:hint="eastAsia"/>
          <w:color w:val="auto"/>
        </w:rPr>
        <w:t>沉降量为</w:t>
      </w:r>
      <w:r>
        <w:rPr>
          <w:rFonts w:hint="eastAsia"/>
          <w:color w:val="auto"/>
          <w:lang w:val="en-US" w:eastAsia="zh-CN"/>
        </w:rPr>
        <w:t>4.21</w:t>
      </w:r>
      <w:r>
        <w:rPr>
          <w:rFonts w:hint="eastAsia"/>
          <w:color w:val="auto"/>
        </w:rPr>
        <w:t>mg/kg，</w:t>
      </w:r>
      <w:r>
        <w:t>20年土壤中积累氟化物预测值为</w:t>
      </w:r>
      <w:r>
        <w:rPr>
          <w:rFonts w:hint="eastAsia"/>
          <w:lang w:val="en-US" w:eastAsia="zh-CN"/>
        </w:rPr>
        <w:t>1232.21</w:t>
      </w:r>
      <w:r>
        <w:t>mg/kg</w:t>
      </w:r>
      <w:r>
        <w:rPr>
          <w:rFonts w:hint="eastAsia"/>
          <w:lang w:eastAsia="zh-CN"/>
        </w:rPr>
        <w:t>。</w:t>
      </w:r>
      <w:r>
        <w:t>20年土壤中积累氟化物</w:t>
      </w:r>
      <w:r>
        <w:rPr>
          <w:rFonts w:hint="eastAsia"/>
        </w:rPr>
        <w:t>增量</w:t>
      </w:r>
      <w:r>
        <w:rPr>
          <w:rFonts w:hint="eastAsia"/>
          <w:lang w:val="en-US" w:eastAsia="zh-CN"/>
        </w:rPr>
        <w:t>为</w:t>
      </w:r>
      <w:r>
        <w:rPr>
          <w:rFonts w:hint="eastAsia"/>
        </w:rPr>
        <w:t>4.21</w:t>
      </w:r>
      <w:r>
        <w:rPr>
          <w:u w:color="FF0000"/>
        </w:rPr>
        <w:t>m</w:t>
      </w:r>
      <w:r>
        <w:rPr>
          <w:bCs/>
        </w:rPr>
        <w:t>g/kg</w:t>
      </w:r>
      <w:r>
        <w:rPr>
          <w:rFonts w:hint="eastAsia"/>
          <w:bCs/>
          <w:lang w:eastAsia="zh-CN"/>
        </w:rPr>
        <w:t>，</w:t>
      </w:r>
      <w:r>
        <w:rPr>
          <w:rFonts w:hint="eastAsia"/>
          <w:bCs/>
          <w:lang w:val="en-US" w:eastAsia="zh-CN"/>
        </w:rPr>
        <w:t>占预测值0.34%；每年平均输入量0.211</w:t>
      </w:r>
      <w:r>
        <w:rPr>
          <w:u w:color="FF0000"/>
        </w:rPr>
        <w:t>m</w:t>
      </w:r>
      <w:r>
        <w:rPr>
          <w:bCs/>
        </w:rPr>
        <w:t>g/kg</w:t>
      </w:r>
      <w:r>
        <w:rPr>
          <w:rFonts w:hint="eastAsia"/>
          <w:bCs/>
          <w:lang w:eastAsia="zh-CN"/>
        </w:rPr>
        <w:t>，</w:t>
      </w:r>
      <w:r>
        <w:rPr>
          <w:rFonts w:hint="eastAsia"/>
          <w:bCs/>
          <w:lang w:val="en-US" w:eastAsia="zh-CN"/>
        </w:rPr>
        <w:t>20年增长率为0.018%。</w:t>
      </w:r>
      <w:r>
        <w:t>项目建设对土壤环境影响较小</w:t>
      </w:r>
      <w:r>
        <w:rPr>
          <w:rFonts w:hint="eastAsia"/>
          <w:lang w:eastAsia="zh-CN"/>
        </w:rPr>
        <w:t>。</w:t>
      </w:r>
    </w:p>
    <w:p>
      <w:pPr>
        <w:pStyle w:val="7"/>
        <w:ind w:firstLine="480"/>
        <w:rPr>
          <w:rFonts w:hint="eastAsia"/>
          <w:color w:val="auto"/>
        </w:rPr>
      </w:pPr>
      <w:r>
        <w:rPr>
          <w:rFonts w:hint="eastAsia"/>
          <w:color w:val="auto"/>
        </w:rPr>
        <w:t>本项目生产运营期大气沉降途径对土壤环境的影响是可接受的。本次评价要求项目采取严格有效的污染防控措施和完善的监测与应急处理方案，有效地发现和防范非正常情况的发生，使影响程度降低至土壤环境可以接受的程度。</w:t>
      </w:r>
    </w:p>
    <w:p>
      <w:pPr>
        <w:pStyle w:val="7"/>
        <w:ind w:firstLine="480"/>
        <w:rPr>
          <w:rFonts w:hint="default" w:eastAsia="宋体"/>
          <w:lang w:val="en-US" w:eastAsia="zh-CN"/>
        </w:rPr>
      </w:pPr>
      <w:r>
        <w:rPr>
          <w:rFonts w:hint="eastAsia"/>
          <w:lang w:val="en-US" w:eastAsia="zh-CN"/>
        </w:rPr>
        <w:t>土壤环境影响评价自查表见附表5。</w:t>
      </w:r>
    </w:p>
    <w:p>
      <w:pPr>
        <w:pStyle w:val="5"/>
      </w:pPr>
      <w:bookmarkStart w:id="149" w:name="_Toc1880"/>
      <w:r>
        <w:rPr>
          <w:rFonts w:hint="eastAsia"/>
        </w:rPr>
        <w:t>6.9铝水运输过程中影响分析</w:t>
      </w:r>
      <w:bookmarkEnd w:id="149"/>
    </w:p>
    <w:p>
      <w:pPr>
        <w:pStyle w:val="7"/>
        <w:ind w:firstLine="480"/>
      </w:pPr>
      <w:r>
        <w:rPr>
          <w:rFonts w:hint="eastAsia"/>
        </w:rPr>
        <w:t>本项目生产用铝水来自位于项目厂区东侧的云南宏泰新型材料有限公司，该公司主要产品为铝水、重熔用普通铝锭。项目所需铝水通过运载能力为10t的铝水抬包车进行运输，运输抬包车时速不高于10km/h，运输距离约为</w:t>
      </w:r>
      <w:r>
        <w:rPr>
          <w:rFonts w:hint="eastAsia"/>
          <w:lang w:val="en-US" w:eastAsia="zh-CN"/>
        </w:rPr>
        <w:t>5</w:t>
      </w:r>
      <w:r>
        <w:rPr>
          <w:rFonts w:hint="eastAsia"/>
        </w:rPr>
        <w:t>00m。由于运输距离较短，且采用真空密封的抬包车运输，运输过程中不会对环境造成显著影响。</w:t>
      </w:r>
    </w:p>
    <w:p>
      <w:pPr>
        <w:pStyle w:val="7"/>
        <w:ind w:firstLine="480"/>
      </w:pPr>
      <w:r>
        <w:rPr>
          <w:rFonts w:hint="eastAsia"/>
        </w:rPr>
        <w:t>另外项目用原铝水抬包车运输过程中如发生事故，熔融的高温铝液遇水发生反应形成大量水蒸汽，体积急剧膨胀，会发生剧烈爆炸。车间熔保炉静置的高温铝液遇水发生反应形成大量水蒸汽，体积急剧膨胀，会发生剧烈爆炸。</w:t>
      </w:r>
    </w:p>
    <w:p>
      <w:pPr>
        <w:pStyle w:val="7"/>
        <w:ind w:firstLine="480"/>
      </w:pPr>
      <w:r>
        <w:rPr>
          <w:rFonts w:hint="eastAsia"/>
        </w:rPr>
        <w:t>因此，项目铝水抬包车运输、生产过程中需提前做好预案，严格按照规定路线行驶，本项目所在厂区生产车间距离项目原铝水供给方云南宏泰新型材料有限公司距离较近，只要能够严格按照正确的操作方法进行操作，严禁水混入铝液中，铝水在贮存和生产过程中泄漏及爆炸的几率很小。</w:t>
      </w:r>
    </w:p>
    <w:p>
      <w:pPr>
        <w:pStyle w:val="7"/>
        <w:ind w:firstLine="480"/>
        <w:sectPr>
          <w:pgSz w:w="11906" w:h="16838"/>
          <w:pgMar w:top="1440" w:right="1800" w:bottom="1440" w:left="1800" w:header="851" w:footer="992" w:gutter="0"/>
          <w:cols w:space="425" w:num="1"/>
          <w:docGrid w:type="lines" w:linePitch="312" w:charSpace="0"/>
        </w:sectPr>
      </w:pPr>
    </w:p>
    <w:p>
      <w:pPr>
        <w:pStyle w:val="4"/>
      </w:pPr>
      <w:bookmarkStart w:id="150" w:name="_Toc15643"/>
      <w:r>
        <w:rPr>
          <w:rFonts w:hint="eastAsia"/>
        </w:rPr>
        <w:t>7</w:t>
      </w:r>
      <w:r>
        <w:rPr>
          <w:rFonts w:hint="eastAsia"/>
          <w:lang w:val="en-US" w:eastAsia="zh-CN"/>
        </w:rPr>
        <w:t xml:space="preserve"> </w:t>
      </w:r>
      <w:r>
        <w:rPr>
          <w:rFonts w:hint="eastAsia"/>
        </w:rPr>
        <w:t>环境风险评价</w:t>
      </w:r>
      <w:bookmarkEnd w:id="150"/>
    </w:p>
    <w:p>
      <w:pPr>
        <w:pStyle w:val="7"/>
        <w:ind w:firstLine="480"/>
      </w:pPr>
      <w:r>
        <w:rPr>
          <w:rFonts w:hint="eastAsia"/>
        </w:rPr>
        <w:t>环境风险是指突发性事故对环境造成的危害程度及可能性。建设项目环境风险评价是以突发性事故导致的危险物质环境急性损害防控为目标，对建设项目的环境风险进行分析、预测和评估，提出风险预防、控制、减缓措施，明确环境风险健康及应急建议要求，为建设项目环境风险防控提供科学依据。</w:t>
      </w:r>
    </w:p>
    <w:p>
      <w:pPr>
        <w:pStyle w:val="5"/>
      </w:pPr>
      <w:bookmarkStart w:id="151" w:name="_Toc5483"/>
      <w:r>
        <w:rPr>
          <w:rFonts w:hint="eastAsia"/>
        </w:rPr>
        <w:t>7.1风险调查</w:t>
      </w:r>
      <w:bookmarkEnd w:id="151"/>
    </w:p>
    <w:p>
      <w:pPr>
        <w:pStyle w:val="8"/>
      </w:pPr>
      <w:r>
        <w:rPr>
          <w:rFonts w:hint="eastAsia"/>
        </w:rPr>
        <w:t>7.1.1建设项目风险源调查</w:t>
      </w:r>
    </w:p>
    <w:p>
      <w:pPr>
        <w:pStyle w:val="7"/>
        <w:ind w:firstLine="480"/>
      </w:pPr>
      <w:r>
        <w:rPr>
          <w:rFonts w:hint="eastAsia"/>
        </w:rPr>
        <w:t>本项目使用原辅料、燃料，生产产品及产生“三废”见工程分析部分。对照《建设项目环境风险评价技术导则》（HJ169-2018）附录B，</w:t>
      </w:r>
      <w:r>
        <w:t>项目涉及危险物质有</w:t>
      </w:r>
      <w:r>
        <w:rPr>
          <w:rFonts w:hint="eastAsia"/>
        </w:rPr>
        <w:t>氯气</w:t>
      </w:r>
      <w:r>
        <w:t>、</w:t>
      </w:r>
      <w:r>
        <w:rPr>
          <w:rFonts w:hint="eastAsia"/>
        </w:rPr>
        <w:t>盐酸、氢氟酸</w:t>
      </w:r>
      <w:r>
        <w:t>、</w:t>
      </w:r>
      <w:r>
        <w:rPr>
          <w:rFonts w:hint="eastAsia"/>
        </w:rPr>
        <w:t>硝酸、天然气、液化石油气</w:t>
      </w:r>
      <w:r>
        <w:t>。</w:t>
      </w:r>
    </w:p>
    <w:p>
      <w:pPr>
        <w:spacing w:line="360" w:lineRule="auto"/>
        <w:ind w:firstLine="480" w:firstLineChars="200"/>
        <w:jc w:val="left"/>
      </w:pPr>
      <w:r>
        <w:t>项目涉及危险物质特性如下：</w:t>
      </w:r>
    </w:p>
    <w:p>
      <w:pPr>
        <w:pStyle w:val="31"/>
      </w:pPr>
      <w:r>
        <w:t>表</w:t>
      </w:r>
      <w:r>
        <w:rPr>
          <w:rFonts w:hint="eastAsia"/>
        </w:rPr>
        <w:t>7</w:t>
      </w:r>
      <w:r>
        <w:t>.1-</w:t>
      </w:r>
      <w:r>
        <w:rPr>
          <w:rFonts w:hint="eastAsia"/>
        </w:rPr>
        <w:t xml:space="preserve">1 </w:t>
      </w:r>
      <w:r>
        <w:t xml:space="preserve"> </w:t>
      </w:r>
      <w:r>
        <w:rPr>
          <w:rFonts w:hint="eastAsia"/>
        </w:rPr>
        <w:t>液氯</w:t>
      </w:r>
      <w:r>
        <w:t>危险特性识别</w:t>
      </w:r>
    </w:p>
    <w:tbl>
      <w:tblPr>
        <w:tblStyle w:val="27"/>
        <w:tblW w:w="514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18"/>
        <w:gridCol w:w="1256"/>
        <w:gridCol w:w="1042"/>
        <w:gridCol w:w="286"/>
        <w:gridCol w:w="605"/>
        <w:gridCol w:w="868"/>
        <w:gridCol w:w="977"/>
        <w:gridCol w:w="1948"/>
        <w:gridCol w:w="96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41" w:hRule="atLeast"/>
          <w:jc w:val="center"/>
        </w:trPr>
        <w:tc>
          <w:tcPr>
            <w:tcW w:w="467" w:type="pct"/>
            <w:vMerge w:val="restart"/>
            <w:vAlign w:val="center"/>
          </w:tcPr>
          <w:p>
            <w:pPr>
              <w:pStyle w:val="33"/>
            </w:pPr>
            <w:r>
              <w:t>标识</w:t>
            </w:r>
          </w:p>
        </w:tc>
        <w:tc>
          <w:tcPr>
            <w:tcW w:w="2870" w:type="pct"/>
            <w:gridSpan w:val="6"/>
            <w:vAlign w:val="center"/>
          </w:tcPr>
          <w:p>
            <w:pPr>
              <w:pStyle w:val="33"/>
            </w:pPr>
            <w:r>
              <w:t>中文名：氯；液氯；氯气</w:t>
            </w:r>
          </w:p>
        </w:tc>
        <w:tc>
          <w:tcPr>
            <w:tcW w:w="1662" w:type="pct"/>
            <w:gridSpan w:val="2"/>
            <w:vAlign w:val="center"/>
          </w:tcPr>
          <w:p>
            <w:pPr>
              <w:pStyle w:val="33"/>
            </w:pPr>
            <w:r>
              <w:t>危险货物编号：23002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18" w:hRule="atLeast"/>
          <w:jc w:val="center"/>
        </w:trPr>
        <w:tc>
          <w:tcPr>
            <w:tcW w:w="467" w:type="pct"/>
            <w:vMerge w:val="continue"/>
            <w:vAlign w:val="center"/>
          </w:tcPr>
          <w:p>
            <w:pPr>
              <w:pStyle w:val="33"/>
            </w:pPr>
          </w:p>
        </w:tc>
        <w:tc>
          <w:tcPr>
            <w:tcW w:w="2870" w:type="pct"/>
            <w:gridSpan w:val="6"/>
            <w:vAlign w:val="center"/>
          </w:tcPr>
          <w:p>
            <w:pPr>
              <w:pStyle w:val="33"/>
            </w:pPr>
            <w:r>
              <w:t>英文名：chlorine</w:t>
            </w:r>
          </w:p>
        </w:tc>
        <w:tc>
          <w:tcPr>
            <w:tcW w:w="1662" w:type="pct"/>
            <w:gridSpan w:val="2"/>
            <w:vAlign w:val="center"/>
          </w:tcPr>
          <w:p>
            <w:pPr>
              <w:pStyle w:val="33"/>
            </w:pPr>
            <w:r>
              <w:t>UN编号：1017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07" w:hRule="atLeast"/>
          <w:jc w:val="center"/>
        </w:trPr>
        <w:tc>
          <w:tcPr>
            <w:tcW w:w="467" w:type="pct"/>
            <w:vMerge w:val="continue"/>
            <w:vAlign w:val="center"/>
          </w:tcPr>
          <w:p>
            <w:pPr>
              <w:pStyle w:val="33"/>
            </w:pPr>
          </w:p>
        </w:tc>
        <w:tc>
          <w:tcPr>
            <w:tcW w:w="1473" w:type="pct"/>
            <w:gridSpan w:val="3"/>
            <w:vAlign w:val="center"/>
          </w:tcPr>
          <w:p>
            <w:pPr>
              <w:pStyle w:val="33"/>
            </w:pPr>
            <w:r>
              <w:t>分子式：Cl</w:t>
            </w:r>
            <w:r>
              <w:rPr>
                <w:vertAlign w:val="subscript"/>
              </w:rPr>
              <w:t>2</w:t>
            </w:r>
          </w:p>
        </w:tc>
        <w:tc>
          <w:tcPr>
            <w:tcW w:w="1397" w:type="pct"/>
            <w:gridSpan w:val="3"/>
            <w:vAlign w:val="center"/>
          </w:tcPr>
          <w:p>
            <w:pPr>
              <w:pStyle w:val="33"/>
            </w:pPr>
            <w:r>
              <w:t>分子量：70.91</w:t>
            </w:r>
          </w:p>
        </w:tc>
        <w:tc>
          <w:tcPr>
            <w:tcW w:w="1662" w:type="pct"/>
            <w:gridSpan w:val="2"/>
            <w:vAlign w:val="center"/>
          </w:tcPr>
          <w:p>
            <w:pPr>
              <w:pStyle w:val="33"/>
            </w:pPr>
            <w:r>
              <w:t>CAS号：7782-50-5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38" w:hRule="atLeast"/>
          <w:jc w:val="center"/>
        </w:trPr>
        <w:tc>
          <w:tcPr>
            <w:tcW w:w="467" w:type="pct"/>
            <w:vMerge w:val="restart"/>
            <w:vAlign w:val="center"/>
          </w:tcPr>
          <w:p>
            <w:pPr>
              <w:pStyle w:val="33"/>
            </w:pPr>
            <w:r>
              <w:t>理化性质</w:t>
            </w:r>
          </w:p>
        </w:tc>
        <w:tc>
          <w:tcPr>
            <w:tcW w:w="716" w:type="pct"/>
            <w:vAlign w:val="center"/>
          </w:tcPr>
          <w:p>
            <w:pPr>
              <w:pStyle w:val="33"/>
            </w:pPr>
            <w:r>
              <w:t>外观与性状</w:t>
            </w:r>
          </w:p>
        </w:tc>
        <w:tc>
          <w:tcPr>
            <w:tcW w:w="3815" w:type="pct"/>
            <w:gridSpan w:val="7"/>
            <w:vAlign w:val="center"/>
          </w:tcPr>
          <w:p>
            <w:pPr>
              <w:pStyle w:val="33"/>
            </w:pPr>
            <w:r>
              <w:t>黄绿色有强刺激性气味气体；液态氯为金黄色。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6" w:hRule="atLeast"/>
          <w:jc w:val="center"/>
        </w:trPr>
        <w:tc>
          <w:tcPr>
            <w:tcW w:w="467" w:type="pct"/>
            <w:vMerge w:val="continue"/>
            <w:vAlign w:val="center"/>
          </w:tcPr>
          <w:p>
            <w:pPr>
              <w:pStyle w:val="33"/>
            </w:pPr>
          </w:p>
        </w:tc>
        <w:tc>
          <w:tcPr>
            <w:tcW w:w="716" w:type="pct"/>
            <w:vAlign w:val="center"/>
          </w:tcPr>
          <w:p>
            <w:pPr>
              <w:pStyle w:val="33"/>
            </w:pPr>
            <w:r>
              <w:t>熔点（℃）</w:t>
            </w:r>
          </w:p>
        </w:tc>
        <w:tc>
          <w:tcPr>
            <w:tcW w:w="594" w:type="pct"/>
            <w:vAlign w:val="center"/>
          </w:tcPr>
          <w:p>
            <w:pPr>
              <w:pStyle w:val="33"/>
            </w:pPr>
            <w:r>
              <w:t>-102</w:t>
            </w:r>
          </w:p>
        </w:tc>
        <w:tc>
          <w:tcPr>
            <w:tcW w:w="1003" w:type="pct"/>
            <w:gridSpan w:val="3"/>
            <w:vAlign w:val="center"/>
          </w:tcPr>
          <w:p>
            <w:pPr>
              <w:pStyle w:val="33"/>
            </w:pPr>
            <w:r>
              <w:t>相对密度(水=1)</w:t>
            </w:r>
          </w:p>
        </w:tc>
        <w:tc>
          <w:tcPr>
            <w:tcW w:w="556" w:type="pct"/>
            <w:vAlign w:val="center"/>
          </w:tcPr>
          <w:p>
            <w:pPr>
              <w:pStyle w:val="33"/>
            </w:pPr>
            <w:r>
              <w:t>3.214</w:t>
            </w:r>
          </w:p>
        </w:tc>
        <w:tc>
          <w:tcPr>
            <w:tcW w:w="1111" w:type="pct"/>
            <w:vAlign w:val="center"/>
          </w:tcPr>
          <w:p>
            <w:pPr>
              <w:pStyle w:val="33"/>
            </w:pPr>
            <w:r>
              <w:t>相对密度(空气=1)</w:t>
            </w:r>
          </w:p>
        </w:tc>
        <w:tc>
          <w:tcPr>
            <w:tcW w:w="550" w:type="pct"/>
            <w:vAlign w:val="center"/>
          </w:tcPr>
          <w:p>
            <w:pPr>
              <w:pStyle w:val="33"/>
            </w:pPr>
            <w:r>
              <w:t>2.49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4" w:hRule="atLeast"/>
          <w:jc w:val="center"/>
        </w:trPr>
        <w:tc>
          <w:tcPr>
            <w:tcW w:w="467" w:type="pct"/>
            <w:vMerge w:val="continue"/>
            <w:vAlign w:val="center"/>
          </w:tcPr>
          <w:p>
            <w:pPr>
              <w:pStyle w:val="33"/>
            </w:pPr>
          </w:p>
        </w:tc>
        <w:tc>
          <w:tcPr>
            <w:tcW w:w="716" w:type="pct"/>
            <w:vAlign w:val="center"/>
          </w:tcPr>
          <w:p>
            <w:pPr>
              <w:pStyle w:val="33"/>
            </w:pPr>
            <w:r>
              <w:t>沸点（℃）</w:t>
            </w:r>
          </w:p>
        </w:tc>
        <w:tc>
          <w:tcPr>
            <w:tcW w:w="594" w:type="pct"/>
            <w:vAlign w:val="center"/>
          </w:tcPr>
          <w:p>
            <w:pPr>
              <w:pStyle w:val="33"/>
            </w:pPr>
            <w:r>
              <w:t>-34.6</w:t>
            </w:r>
          </w:p>
        </w:tc>
        <w:tc>
          <w:tcPr>
            <w:tcW w:w="1559" w:type="pct"/>
            <w:gridSpan w:val="4"/>
            <w:vAlign w:val="center"/>
          </w:tcPr>
          <w:p>
            <w:pPr>
              <w:pStyle w:val="33"/>
            </w:pPr>
            <w:r>
              <w:t>饱和蒸气压（kPa）</w:t>
            </w:r>
          </w:p>
        </w:tc>
        <w:tc>
          <w:tcPr>
            <w:tcW w:w="1662" w:type="pct"/>
            <w:gridSpan w:val="2"/>
            <w:vAlign w:val="center"/>
          </w:tcPr>
          <w:p>
            <w:pPr>
              <w:pStyle w:val="33"/>
            </w:pPr>
            <w:r>
              <w:t>640/20℃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51" w:hRule="atLeast"/>
          <w:jc w:val="center"/>
        </w:trPr>
        <w:tc>
          <w:tcPr>
            <w:tcW w:w="467" w:type="pct"/>
            <w:vMerge w:val="continue"/>
            <w:vAlign w:val="center"/>
          </w:tcPr>
          <w:p>
            <w:pPr>
              <w:pStyle w:val="33"/>
            </w:pPr>
          </w:p>
        </w:tc>
        <w:tc>
          <w:tcPr>
            <w:tcW w:w="716" w:type="pct"/>
            <w:vAlign w:val="center"/>
          </w:tcPr>
          <w:p>
            <w:pPr>
              <w:pStyle w:val="33"/>
            </w:pPr>
            <w:r>
              <w:t>溶解性</w:t>
            </w:r>
          </w:p>
        </w:tc>
        <w:tc>
          <w:tcPr>
            <w:tcW w:w="3815" w:type="pct"/>
            <w:gridSpan w:val="7"/>
            <w:vAlign w:val="center"/>
          </w:tcPr>
          <w:p>
            <w:pPr>
              <w:pStyle w:val="33"/>
            </w:pPr>
            <w:r>
              <w:t>溶于水、碱液。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14" w:hRule="atLeast"/>
          <w:jc w:val="center"/>
        </w:trPr>
        <w:tc>
          <w:tcPr>
            <w:tcW w:w="467" w:type="pct"/>
            <w:vMerge w:val="restart"/>
            <w:vAlign w:val="center"/>
          </w:tcPr>
          <w:p>
            <w:pPr>
              <w:pStyle w:val="33"/>
            </w:pPr>
            <w:r>
              <w:t>毒性及健康危害</w:t>
            </w:r>
          </w:p>
        </w:tc>
        <w:tc>
          <w:tcPr>
            <w:tcW w:w="716" w:type="pct"/>
            <w:vAlign w:val="center"/>
          </w:tcPr>
          <w:p>
            <w:pPr>
              <w:pStyle w:val="33"/>
            </w:pPr>
            <w:r>
              <w:t>接触限值</w:t>
            </w:r>
          </w:p>
        </w:tc>
        <w:tc>
          <w:tcPr>
            <w:tcW w:w="2153" w:type="pct"/>
            <w:gridSpan w:val="5"/>
            <w:vAlign w:val="center"/>
          </w:tcPr>
          <w:p>
            <w:pPr>
              <w:pStyle w:val="33"/>
            </w:pPr>
            <w:r>
              <w:t>MAC(mg/m3)</w:t>
            </w:r>
          </w:p>
        </w:tc>
        <w:tc>
          <w:tcPr>
            <w:tcW w:w="1662" w:type="pct"/>
            <w:gridSpan w:val="2"/>
            <w:vAlign w:val="center"/>
          </w:tcPr>
          <w:p>
            <w:pPr>
              <w:pStyle w:val="33"/>
            </w:pPr>
            <w: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6" w:hRule="atLeast"/>
          <w:jc w:val="center"/>
        </w:trPr>
        <w:tc>
          <w:tcPr>
            <w:tcW w:w="467" w:type="pct"/>
            <w:vMerge w:val="continue"/>
            <w:vAlign w:val="center"/>
          </w:tcPr>
          <w:p>
            <w:pPr>
              <w:pStyle w:val="33"/>
            </w:pPr>
          </w:p>
        </w:tc>
        <w:tc>
          <w:tcPr>
            <w:tcW w:w="716" w:type="pct"/>
            <w:vAlign w:val="center"/>
          </w:tcPr>
          <w:p>
            <w:pPr>
              <w:pStyle w:val="33"/>
            </w:pPr>
            <w:r>
              <w:t>侵入途径</w:t>
            </w:r>
          </w:p>
        </w:tc>
        <w:tc>
          <w:tcPr>
            <w:tcW w:w="3815" w:type="pct"/>
            <w:gridSpan w:val="7"/>
            <w:vAlign w:val="center"/>
          </w:tcPr>
          <w:p>
            <w:pPr>
              <w:pStyle w:val="33"/>
            </w:pPr>
            <w:r>
              <w:t>吸入。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08" w:hRule="atLeast"/>
          <w:jc w:val="center"/>
        </w:trPr>
        <w:tc>
          <w:tcPr>
            <w:tcW w:w="467" w:type="pct"/>
            <w:vMerge w:val="continue"/>
            <w:vAlign w:val="center"/>
          </w:tcPr>
          <w:p>
            <w:pPr>
              <w:pStyle w:val="33"/>
            </w:pPr>
          </w:p>
        </w:tc>
        <w:tc>
          <w:tcPr>
            <w:tcW w:w="716" w:type="pct"/>
            <w:vAlign w:val="center"/>
          </w:tcPr>
          <w:p>
            <w:pPr>
              <w:pStyle w:val="33"/>
            </w:pPr>
            <w:r>
              <w:t>毒性</w:t>
            </w:r>
          </w:p>
        </w:tc>
        <w:tc>
          <w:tcPr>
            <w:tcW w:w="3815" w:type="pct"/>
            <w:gridSpan w:val="7"/>
            <w:vAlign w:val="center"/>
          </w:tcPr>
          <w:p>
            <w:pPr>
              <w:pStyle w:val="33"/>
            </w:pPr>
            <w:r>
              <w:t>LC50：850 mg/m3 ，1小时(大鼠吸入)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422" w:hRule="atLeast"/>
          <w:jc w:val="center"/>
        </w:trPr>
        <w:tc>
          <w:tcPr>
            <w:tcW w:w="467" w:type="pct"/>
            <w:vMerge w:val="continue"/>
            <w:vAlign w:val="center"/>
          </w:tcPr>
          <w:p>
            <w:pPr>
              <w:pStyle w:val="33"/>
            </w:pPr>
          </w:p>
        </w:tc>
        <w:tc>
          <w:tcPr>
            <w:tcW w:w="716" w:type="pct"/>
            <w:vAlign w:val="center"/>
          </w:tcPr>
          <w:p>
            <w:pPr>
              <w:pStyle w:val="33"/>
            </w:pPr>
            <w:r>
              <w:t>健康危害</w:t>
            </w:r>
          </w:p>
        </w:tc>
        <w:tc>
          <w:tcPr>
            <w:tcW w:w="3815" w:type="pct"/>
            <w:gridSpan w:val="7"/>
            <w:vAlign w:val="center"/>
          </w:tcPr>
          <w:p>
            <w:pPr>
              <w:pStyle w:val="33"/>
            </w:pPr>
            <w:r>
              <w:t>对眼、呼吸道粘膜有刺激作用。急性中毒：轻度者有流泪、咳嗽、咳少量痰、胸闷，出现气管炎的表现；中度中毒发生支气管肺炎或间质性肺水肿，病人除有上述症状的加重外，出现呼吸困难、轻度紫绀等；重者发生肺水肿、昏迷和休克，可出现气胸、纵隔气肿等并发症。吸入极高浓度的氯气，可引起迷走神经反射性心跳骤停或喉头痉挛而发生“电击样”死亡。皮肤接触液氯或高浓度氯，在暴露部位可有灼伤或急性皮炎。慢性影响：长期低浓度接触，可引起慢性支气管炎、支气管哮喘等；可引起职业性痤疮及牙齿酸蚀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149" w:hRule="atLeast"/>
          <w:jc w:val="center"/>
        </w:trPr>
        <w:tc>
          <w:tcPr>
            <w:tcW w:w="467" w:type="pct"/>
            <w:vMerge w:val="continue"/>
            <w:vAlign w:val="center"/>
          </w:tcPr>
          <w:p>
            <w:pPr>
              <w:pStyle w:val="33"/>
            </w:pPr>
          </w:p>
        </w:tc>
        <w:tc>
          <w:tcPr>
            <w:tcW w:w="716" w:type="pct"/>
            <w:vAlign w:val="center"/>
          </w:tcPr>
          <w:p>
            <w:pPr>
              <w:pStyle w:val="33"/>
            </w:pPr>
            <w:r>
              <w:t>急救方法</w:t>
            </w:r>
          </w:p>
        </w:tc>
        <w:tc>
          <w:tcPr>
            <w:tcW w:w="3815" w:type="pct"/>
            <w:gridSpan w:val="7"/>
            <w:vAlign w:val="center"/>
          </w:tcPr>
          <w:p>
            <w:pPr>
              <w:pStyle w:val="33"/>
            </w:pPr>
            <w:r>
              <w:t>皮肤接触：立即脱去被污染的衣着，用大量清水冲洗。就医。眼睛接触：提起眼睑，用流动清水或生理盐水冲洗。吸入：迅速脱离现场至空气新鲜处。呼吸心跳停止时，立即进行人工呼吸和胸外心脏按压术。就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72" w:hRule="atLeast"/>
          <w:jc w:val="center"/>
        </w:trPr>
        <w:tc>
          <w:tcPr>
            <w:tcW w:w="467" w:type="pct"/>
            <w:vMerge w:val="restart"/>
            <w:vAlign w:val="center"/>
          </w:tcPr>
          <w:p>
            <w:pPr>
              <w:pStyle w:val="33"/>
            </w:pPr>
            <w:r>
              <w:t>燃烧爆炸危险性</w:t>
            </w:r>
          </w:p>
        </w:tc>
        <w:tc>
          <w:tcPr>
            <w:tcW w:w="716" w:type="pct"/>
            <w:vAlign w:val="center"/>
          </w:tcPr>
          <w:p>
            <w:pPr>
              <w:pStyle w:val="33"/>
            </w:pPr>
            <w:r>
              <w:t>燃烧性</w:t>
            </w:r>
          </w:p>
        </w:tc>
        <w:tc>
          <w:tcPr>
            <w:tcW w:w="1102" w:type="pct"/>
            <w:gridSpan w:val="3"/>
            <w:vAlign w:val="center"/>
          </w:tcPr>
          <w:p>
            <w:pPr>
              <w:pStyle w:val="33"/>
            </w:pPr>
            <w:r>
              <w:t>不燃</w:t>
            </w:r>
          </w:p>
        </w:tc>
        <w:tc>
          <w:tcPr>
            <w:tcW w:w="1051" w:type="pct"/>
            <w:gridSpan w:val="2"/>
            <w:vAlign w:val="center"/>
          </w:tcPr>
          <w:p>
            <w:pPr>
              <w:pStyle w:val="33"/>
            </w:pPr>
            <w:r>
              <w:t>燃烧分解物</w:t>
            </w:r>
          </w:p>
        </w:tc>
        <w:tc>
          <w:tcPr>
            <w:tcW w:w="1662" w:type="pct"/>
            <w:gridSpan w:val="2"/>
            <w:vAlign w:val="center"/>
          </w:tcPr>
          <w:p>
            <w:pPr>
              <w:pStyle w:val="33"/>
            </w:pPr>
            <w:r>
              <w:t>氯化氢</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24" w:hRule="atLeast"/>
          <w:jc w:val="center"/>
        </w:trPr>
        <w:tc>
          <w:tcPr>
            <w:tcW w:w="467" w:type="pct"/>
            <w:vMerge w:val="continue"/>
            <w:vAlign w:val="center"/>
          </w:tcPr>
          <w:p>
            <w:pPr>
              <w:pStyle w:val="33"/>
            </w:pPr>
          </w:p>
        </w:tc>
        <w:tc>
          <w:tcPr>
            <w:tcW w:w="716" w:type="pct"/>
            <w:vAlign w:val="center"/>
          </w:tcPr>
          <w:p>
            <w:pPr>
              <w:pStyle w:val="33"/>
            </w:pPr>
            <w:r>
              <w:t>闪点(℃)</w:t>
            </w:r>
          </w:p>
        </w:tc>
        <w:tc>
          <w:tcPr>
            <w:tcW w:w="1102" w:type="pct"/>
            <w:gridSpan w:val="3"/>
            <w:vAlign w:val="center"/>
          </w:tcPr>
          <w:p>
            <w:pPr>
              <w:pStyle w:val="33"/>
            </w:pPr>
            <w:r>
              <w:t>/</w:t>
            </w:r>
          </w:p>
        </w:tc>
        <w:tc>
          <w:tcPr>
            <w:tcW w:w="1051" w:type="pct"/>
            <w:gridSpan w:val="2"/>
            <w:vAlign w:val="center"/>
          </w:tcPr>
          <w:p>
            <w:pPr>
              <w:pStyle w:val="33"/>
            </w:pPr>
            <w:r>
              <w:t>爆炸上限（v%）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6" w:hRule="atLeast"/>
          <w:jc w:val="center"/>
        </w:trPr>
        <w:tc>
          <w:tcPr>
            <w:tcW w:w="467" w:type="pct"/>
            <w:vMerge w:val="continue"/>
            <w:vAlign w:val="center"/>
          </w:tcPr>
          <w:p>
            <w:pPr>
              <w:pStyle w:val="33"/>
            </w:pPr>
          </w:p>
        </w:tc>
        <w:tc>
          <w:tcPr>
            <w:tcW w:w="716" w:type="pct"/>
            <w:vAlign w:val="center"/>
          </w:tcPr>
          <w:p>
            <w:pPr>
              <w:pStyle w:val="33"/>
            </w:pPr>
            <w:r>
              <w:t>引燃温度(℃)</w:t>
            </w:r>
          </w:p>
        </w:tc>
        <w:tc>
          <w:tcPr>
            <w:tcW w:w="1102" w:type="pct"/>
            <w:gridSpan w:val="3"/>
            <w:vAlign w:val="center"/>
          </w:tcPr>
          <w:p>
            <w:pPr>
              <w:pStyle w:val="33"/>
            </w:pPr>
            <w:r>
              <w:t>/</w:t>
            </w:r>
          </w:p>
        </w:tc>
        <w:tc>
          <w:tcPr>
            <w:tcW w:w="1051" w:type="pct"/>
            <w:gridSpan w:val="2"/>
            <w:vAlign w:val="center"/>
          </w:tcPr>
          <w:p>
            <w:pPr>
              <w:pStyle w:val="33"/>
            </w:pPr>
            <w:r>
              <w:t>爆炸下限（v%）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548" w:hRule="atLeast"/>
          <w:jc w:val="center"/>
        </w:trPr>
        <w:tc>
          <w:tcPr>
            <w:tcW w:w="467" w:type="pct"/>
            <w:vMerge w:val="continue"/>
            <w:vAlign w:val="center"/>
          </w:tcPr>
          <w:p>
            <w:pPr>
              <w:pStyle w:val="33"/>
            </w:pPr>
          </w:p>
        </w:tc>
        <w:tc>
          <w:tcPr>
            <w:tcW w:w="716" w:type="pct"/>
            <w:vAlign w:val="center"/>
          </w:tcPr>
          <w:p>
            <w:pPr>
              <w:pStyle w:val="33"/>
            </w:pPr>
            <w:r>
              <w:t>危险特性</w:t>
            </w:r>
          </w:p>
        </w:tc>
        <w:tc>
          <w:tcPr>
            <w:tcW w:w="3815" w:type="pct"/>
            <w:gridSpan w:val="7"/>
            <w:vAlign w:val="center"/>
          </w:tcPr>
          <w:p>
            <w:pPr>
              <w:pStyle w:val="33"/>
            </w:pPr>
            <w:r>
              <w:t>本品不会燃烧，但可助燃。一般可燃物大都能在氯气中燃烧，一般易燃气体或蒸气也都能与氯气形成爆炸性混合物。氯气能与许多化学品如乙炔、松节油、乙醚、氨、燃料气、烃类、氢气、金属粉末等猛烈反应发生爆炸或生成爆炸性物质。它几乎对金属和非金属都有腐蚀作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22" w:hRule="atLeast"/>
          <w:jc w:val="center"/>
        </w:trPr>
        <w:tc>
          <w:tcPr>
            <w:tcW w:w="467" w:type="pct"/>
            <w:vMerge w:val="continue"/>
            <w:vAlign w:val="center"/>
          </w:tcPr>
          <w:p>
            <w:pPr>
              <w:pStyle w:val="33"/>
            </w:pPr>
          </w:p>
        </w:tc>
        <w:tc>
          <w:tcPr>
            <w:tcW w:w="716" w:type="pct"/>
            <w:vAlign w:val="center"/>
          </w:tcPr>
          <w:p>
            <w:pPr>
              <w:pStyle w:val="33"/>
            </w:pPr>
            <w:r>
              <w:t>储运条件</w:t>
            </w:r>
          </w:p>
          <w:p>
            <w:pPr>
              <w:pStyle w:val="33"/>
            </w:pPr>
            <w:r>
              <w:t>与泄漏处理</w:t>
            </w:r>
          </w:p>
        </w:tc>
        <w:tc>
          <w:tcPr>
            <w:tcW w:w="3815" w:type="pct"/>
            <w:gridSpan w:val="7"/>
            <w:vAlign w:val="center"/>
          </w:tcPr>
          <w:p>
            <w:pPr>
              <w:pStyle w:val="33"/>
            </w:pPr>
            <w:r>
              <w:t>储运条件：储存于阴凉、通风仓间内。远离火种、热源。防止阳光直射。应与易燃或可燃物、</w:t>
            </w:r>
            <w:r>
              <w:rPr>
                <w:rFonts w:hint="eastAsia"/>
                <w:lang w:eastAsia="zh-CN"/>
              </w:rPr>
              <w:t>金属粉末</w:t>
            </w:r>
            <w:r>
              <w:t>等分开存放。不可混储混运。搬运时要轻装轻卸，防止钢瓶或附件损坏。泄漏处理：迅速撤离泄漏污染区人员至上风处，并立即进行隔离，小泄漏时隔离150米，大泄漏时隔离450米，严格限制出入。建议应急处理人员戴自给正压式呼吸器，穿防毒服。尽可能切断泄漏源。合理通风，加速扩散。喷雾状水稀释、溶解。构筑围堤或挖坑收容产生的大量废水。如有可能，用管道将泄漏物导至还原剂(酸式硫酸钠或酸式碳酸钠)溶液。也可以将漏气钢瓶浸入石灰乳液中。漏气容器要妥善处理，修复、检验后再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21" w:hRule="atLeast"/>
          <w:jc w:val="center"/>
        </w:trPr>
        <w:tc>
          <w:tcPr>
            <w:tcW w:w="467" w:type="pct"/>
            <w:vMerge w:val="continue"/>
            <w:vAlign w:val="center"/>
          </w:tcPr>
          <w:p>
            <w:pPr>
              <w:pStyle w:val="33"/>
            </w:pPr>
          </w:p>
        </w:tc>
        <w:tc>
          <w:tcPr>
            <w:tcW w:w="716" w:type="pct"/>
            <w:vAlign w:val="center"/>
          </w:tcPr>
          <w:p>
            <w:pPr>
              <w:pStyle w:val="33"/>
            </w:pPr>
            <w:r>
              <w:t>灭火方法</w:t>
            </w:r>
          </w:p>
        </w:tc>
        <w:tc>
          <w:tcPr>
            <w:tcW w:w="3815" w:type="pct"/>
            <w:gridSpan w:val="7"/>
            <w:vAlign w:val="center"/>
          </w:tcPr>
          <w:p>
            <w:pPr>
              <w:pStyle w:val="33"/>
            </w:pPr>
            <w:r>
              <w:t>用雾状水、泡沫、干粉灭火。</w:t>
            </w:r>
          </w:p>
        </w:tc>
      </w:tr>
    </w:tbl>
    <w:p>
      <w:pPr>
        <w:pStyle w:val="31"/>
      </w:pPr>
      <w:r>
        <w:t>表</w:t>
      </w:r>
      <w:r>
        <w:rPr>
          <w:rFonts w:hint="eastAsia"/>
        </w:rPr>
        <w:t>7</w:t>
      </w:r>
      <w:r>
        <w:t>.1-</w:t>
      </w:r>
      <w:r>
        <w:rPr>
          <w:rFonts w:hint="eastAsia"/>
        </w:rPr>
        <w:t>2</w:t>
      </w:r>
      <w:r>
        <w:t xml:space="preserve"> </w:t>
      </w:r>
      <w:r>
        <w:rPr>
          <w:rFonts w:hint="eastAsia"/>
        </w:rPr>
        <w:t>硝酸</w:t>
      </w:r>
      <w:r>
        <w:t>危险特性识别</w:t>
      </w:r>
    </w:p>
    <w:tbl>
      <w:tblPr>
        <w:tblStyle w:val="27"/>
        <w:tblW w:w="514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18"/>
        <w:gridCol w:w="1256"/>
        <w:gridCol w:w="1042"/>
        <w:gridCol w:w="286"/>
        <w:gridCol w:w="605"/>
        <w:gridCol w:w="868"/>
        <w:gridCol w:w="977"/>
        <w:gridCol w:w="1948"/>
        <w:gridCol w:w="96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标识</w:t>
            </w:r>
          </w:p>
        </w:tc>
        <w:tc>
          <w:tcPr>
            <w:tcW w:w="2870" w:type="pct"/>
            <w:gridSpan w:val="6"/>
            <w:vAlign w:val="center"/>
          </w:tcPr>
          <w:p>
            <w:pPr>
              <w:pStyle w:val="33"/>
            </w:pPr>
            <w:r>
              <w:rPr>
                <w:rFonts w:hint="eastAsia"/>
              </w:rPr>
              <w:t>中文名：硝酸；硝酸氢；硝漒水</w:t>
            </w:r>
          </w:p>
        </w:tc>
        <w:tc>
          <w:tcPr>
            <w:tcW w:w="1662" w:type="pct"/>
            <w:gridSpan w:val="2"/>
            <w:vAlign w:val="center"/>
          </w:tcPr>
          <w:p>
            <w:pPr>
              <w:pStyle w:val="33"/>
            </w:pPr>
            <w:r>
              <w:t>危险货物编号：</w:t>
            </w:r>
            <w:r>
              <w:rPr>
                <w:rFonts w:hint="eastAsia"/>
              </w:rPr>
              <w:t>81002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2870" w:type="pct"/>
            <w:gridSpan w:val="6"/>
            <w:vAlign w:val="center"/>
          </w:tcPr>
          <w:p>
            <w:pPr>
              <w:pStyle w:val="33"/>
            </w:pPr>
            <w:r>
              <w:t>英文名：</w:t>
            </w:r>
            <w:r>
              <w:rPr>
                <w:rFonts w:hint="eastAsia"/>
              </w:rPr>
              <w:t>Nitric acid</w:t>
            </w:r>
          </w:p>
        </w:tc>
        <w:tc>
          <w:tcPr>
            <w:tcW w:w="1662" w:type="pct"/>
            <w:gridSpan w:val="2"/>
            <w:vAlign w:val="center"/>
          </w:tcPr>
          <w:p>
            <w:pPr>
              <w:pStyle w:val="33"/>
            </w:pPr>
            <w:r>
              <w:t>UN编号：</w:t>
            </w:r>
            <w:r>
              <w:rPr>
                <w:rFonts w:hint="eastAsia"/>
              </w:rPr>
              <w:t>2031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1473" w:type="pct"/>
            <w:gridSpan w:val="3"/>
            <w:vAlign w:val="center"/>
          </w:tcPr>
          <w:p>
            <w:pPr>
              <w:pStyle w:val="33"/>
            </w:pPr>
            <w:r>
              <w:t>分子式：</w:t>
            </w:r>
            <w:r>
              <w:rPr>
                <w:rFonts w:hint="eastAsia"/>
              </w:rPr>
              <w:t>HNO</w:t>
            </w:r>
            <w:r>
              <w:rPr>
                <w:rFonts w:hint="eastAsia"/>
                <w:vertAlign w:val="subscript"/>
              </w:rPr>
              <w:t>3</w:t>
            </w:r>
          </w:p>
        </w:tc>
        <w:tc>
          <w:tcPr>
            <w:tcW w:w="1397" w:type="pct"/>
            <w:gridSpan w:val="3"/>
            <w:vAlign w:val="center"/>
          </w:tcPr>
          <w:p>
            <w:pPr>
              <w:pStyle w:val="33"/>
            </w:pPr>
            <w:r>
              <w:t>分子量：</w:t>
            </w:r>
            <w:r>
              <w:rPr>
                <w:rFonts w:hint="eastAsia"/>
              </w:rPr>
              <w:t>63.01</w:t>
            </w:r>
          </w:p>
        </w:tc>
        <w:tc>
          <w:tcPr>
            <w:tcW w:w="1662" w:type="pct"/>
            <w:gridSpan w:val="2"/>
            <w:vAlign w:val="center"/>
          </w:tcPr>
          <w:p>
            <w:pPr>
              <w:pStyle w:val="33"/>
            </w:pPr>
            <w:r>
              <w:t>CAS号：</w:t>
            </w:r>
            <w:r>
              <w:rPr>
                <w:rFonts w:hint="eastAsia"/>
              </w:rPr>
              <w:t>7697-37-2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理化性质</w:t>
            </w:r>
          </w:p>
        </w:tc>
        <w:tc>
          <w:tcPr>
            <w:tcW w:w="716" w:type="pct"/>
            <w:vAlign w:val="center"/>
          </w:tcPr>
          <w:p>
            <w:pPr>
              <w:pStyle w:val="33"/>
            </w:pPr>
            <w:r>
              <w:t>外观与性状</w:t>
            </w:r>
          </w:p>
        </w:tc>
        <w:tc>
          <w:tcPr>
            <w:tcW w:w="3815" w:type="pct"/>
            <w:gridSpan w:val="7"/>
            <w:vAlign w:val="center"/>
          </w:tcPr>
          <w:p>
            <w:pPr>
              <w:pStyle w:val="33"/>
            </w:pPr>
            <w:r>
              <w:rPr>
                <w:rFonts w:hint="eastAsia"/>
              </w:rPr>
              <w:t>纯品为无色透明发烟液体，有酸味。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熔点（℃）</w:t>
            </w:r>
          </w:p>
        </w:tc>
        <w:tc>
          <w:tcPr>
            <w:tcW w:w="594" w:type="pct"/>
            <w:vAlign w:val="center"/>
          </w:tcPr>
          <w:p>
            <w:pPr>
              <w:pStyle w:val="33"/>
            </w:pPr>
            <w:r>
              <w:t>-</w:t>
            </w:r>
            <w:r>
              <w:rPr>
                <w:rFonts w:hint="eastAsia"/>
              </w:rPr>
              <w:t>4</w:t>
            </w:r>
            <w:r>
              <w:t>2</w:t>
            </w:r>
          </w:p>
        </w:tc>
        <w:tc>
          <w:tcPr>
            <w:tcW w:w="1003" w:type="pct"/>
            <w:gridSpan w:val="3"/>
            <w:vAlign w:val="center"/>
          </w:tcPr>
          <w:p>
            <w:pPr>
              <w:pStyle w:val="33"/>
            </w:pPr>
            <w:r>
              <w:t>相对密度(水=1)</w:t>
            </w:r>
          </w:p>
        </w:tc>
        <w:tc>
          <w:tcPr>
            <w:tcW w:w="556" w:type="pct"/>
            <w:vAlign w:val="center"/>
          </w:tcPr>
          <w:p>
            <w:pPr>
              <w:pStyle w:val="33"/>
            </w:pPr>
            <w:r>
              <w:rPr>
                <w:rFonts w:hint="eastAsia"/>
              </w:rPr>
              <w:t>1.5</w:t>
            </w:r>
          </w:p>
        </w:tc>
        <w:tc>
          <w:tcPr>
            <w:tcW w:w="1111" w:type="pct"/>
            <w:vAlign w:val="center"/>
          </w:tcPr>
          <w:p>
            <w:pPr>
              <w:pStyle w:val="33"/>
            </w:pPr>
            <w:r>
              <w:t>相对密度(空气=1)</w:t>
            </w:r>
          </w:p>
        </w:tc>
        <w:tc>
          <w:tcPr>
            <w:tcW w:w="550" w:type="pct"/>
            <w:vAlign w:val="center"/>
          </w:tcPr>
          <w:p>
            <w:pPr>
              <w:pStyle w:val="33"/>
            </w:pPr>
            <w:r>
              <w:t>2.</w:t>
            </w:r>
            <w:r>
              <w:rPr>
                <w:rFonts w:hint="eastAsia"/>
              </w:rPr>
              <w:t>17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沸点（℃）</w:t>
            </w:r>
          </w:p>
        </w:tc>
        <w:tc>
          <w:tcPr>
            <w:tcW w:w="594" w:type="pct"/>
            <w:vAlign w:val="center"/>
          </w:tcPr>
          <w:p>
            <w:pPr>
              <w:pStyle w:val="33"/>
            </w:pPr>
            <w:r>
              <w:rPr>
                <w:rFonts w:hint="eastAsia"/>
              </w:rPr>
              <w:t>86</w:t>
            </w:r>
          </w:p>
        </w:tc>
        <w:tc>
          <w:tcPr>
            <w:tcW w:w="1559" w:type="pct"/>
            <w:gridSpan w:val="4"/>
            <w:vAlign w:val="center"/>
          </w:tcPr>
          <w:p>
            <w:pPr>
              <w:pStyle w:val="33"/>
            </w:pPr>
            <w:r>
              <w:t>饱和蒸气压（kPa）</w:t>
            </w:r>
          </w:p>
        </w:tc>
        <w:tc>
          <w:tcPr>
            <w:tcW w:w="1662" w:type="pct"/>
            <w:gridSpan w:val="2"/>
            <w:vAlign w:val="center"/>
          </w:tcPr>
          <w:p>
            <w:pPr>
              <w:pStyle w:val="33"/>
            </w:pPr>
            <w:r>
              <w:rPr>
                <w:rFonts w:hint="eastAsia"/>
              </w:rPr>
              <w:t>4.4</w:t>
            </w:r>
            <w:r>
              <w:t>/20℃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溶解性</w:t>
            </w:r>
          </w:p>
        </w:tc>
        <w:tc>
          <w:tcPr>
            <w:tcW w:w="3815" w:type="pct"/>
            <w:gridSpan w:val="7"/>
            <w:vAlign w:val="center"/>
          </w:tcPr>
          <w:p>
            <w:pPr>
              <w:pStyle w:val="33"/>
            </w:pPr>
            <w:r>
              <w:rPr>
                <w:rFonts w:hint="eastAsia"/>
              </w:rPr>
              <w:t>与水混溶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毒性及健康危害</w:t>
            </w:r>
          </w:p>
        </w:tc>
        <w:tc>
          <w:tcPr>
            <w:tcW w:w="716" w:type="pct"/>
            <w:vAlign w:val="center"/>
          </w:tcPr>
          <w:p>
            <w:pPr>
              <w:pStyle w:val="33"/>
            </w:pPr>
            <w:r>
              <w:t>接触限值</w:t>
            </w:r>
          </w:p>
        </w:tc>
        <w:tc>
          <w:tcPr>
            <w:tcW w:w="2153" w:type="pct"/>
            <w:gridSpan w:val="5"/>
            <w:vAlign w:val="center"/>
          </w:tcPr>
          <w:p>
            <w:pPr>
              <w:pStyle w:val="33"/>
            </w:pPr>
            <w:r>
              <w:t>MAC(mg/m3)</w:t>
            </w:r>
          </w:p>
        </w:tc>
        <w:tc>
          <w:tcPr>
            <w:tcW w:w="1662" w:type="pct"/>
            <w:gridSpan w:val="2"/>
            <w:vAlign w:val="center"/>
          </w:tcPr>
          <w:p>
            <w:pPr>
              <w:pStyle w:val="33"/>
            </w:pPr>
            <w: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侵入途径</w:t>
            </w:r>
          </w:p>
        </w:tc>
        <w:tc>
          <w:tcPr>
            <w:tcW w:w="3815" w:type="pct"/>
            <w:gridSpan w:val="7"/>
            <w:vAlign w:val="center"/>
          </w:tcPr>
          <w:p>
            <w:pPr>
              <w:pStyle w:val="33"/>
            </w:pPr>
            <w:r>
              <w:rPr>
                <w:rFonts w:hint="eastAsia"/>
              </w:rPr>
              <w:t>吸入、食入、经皮吸收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毒性</w:t>
            </w:r>
          </w:p>
        </w:tc>
        <w:tc>
          <w:tcPr>
            <w:tcW w:w="3815" w:type="pct"/>
            <w:gridSpan w:val="7"/>
            <w:vAlign w:val="center"/>
          </w:tcPr>
          <w:p>
            <w:pPr>
              <w:pStyle w:val="33"/>
            </w:pPr>
            <w:r>
              <w:rPr>
                <w:rFonts w:hint="eastAsia"/>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健康危害</w:t>
            </w:r>
          </w:p>
        </w:tc>
        <w:tc>
          <w:tcPr>
            <w:tcW w:w="3815" w:type="pct"/>
            <w:gridSpan w:val="7"/>
            <w:vAlign w:val="center"/>
          </w:tcPr>
          <w:p>
            <w:pPr>
              <w:pStyle w:val="33"/>
            </w:pPr>
            <w:r>
              <w:rPr>
                <w:rFonts w:hint="eastAsia"/>
              </w:rPr>
              <w:t>其蒸气有刺激作用，引起粘膜和上呼吸道的刺激症状。如流泪、咽喉刺激感、呛咳、并伴有头痛、头晕、胸闷等。长期接触可引起牙齿酸蚀 症，皮肤接触引起灼伤。口服硝酸，引起上消化道剧痛、烧灼伤以至形成溃疡；严重者可能有胃穿孔、腹膜炎、喉痉挛、肾损害、休克以至窒息等。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急救方法</w:t>
            </w:r>
          </w:p>
        </w:tc>
        <w:tc>
          <w:tcPr>
            <w:tcW w:w="3815" w:type="pct"/>
            <w:gridSpan w:val="7"/>
            <w:vAlign w:val="center"/>
          </w:tcPr>
          <w:p>
            <w:pPr>
              <w:pStyle w:val="33"/>
            </w:pPr>
            <w:r>
              <w:rPr>
                <w:rFonts w:hint="eastAsia"/>
              </w:rPr>
              <w:t>皮肤接触：立即用水冲洗至少15分钟。或用2%碳酸氢钠溶液冲洗。若有灼伤，就医治疗。眼睛接触：立即提起眼睑，用流动清水或生理盐水冲洗至少15分钟。就医。吸入：迅速脱离现场至空气新鲜处。呼吸困难时给输氧。给予2-4%碳酸氢钠溶液雾化吸入。就医。食入：误服者给牛奶、蛋清、植物油等口服，不可催吐。立即就医</w:t>
            </w: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燃烧爆炸危险性</w:t>
            </w:r>
          </w:p>
        </w:tc>
        <w:tc>
          <w:tcPr>
            <w:tcW w:w="716" w:type="pct"/>
            <w:vAlign w:val="center"/>
          </w:tcPr>
          <w:p>
            <w:pPr>
              <w:pStyle w:val="33"/>
            </w:pPr>
            <w:r>
              <w:t>燃烧性</w:t>
            </w:r>
          </w:p>
        </w:tc>
        <w:tc>
          <w:tcPr>
            <w:tcW w:w="1102" w:type="pct"/>
            <w:gridSpan w:val="3"/>
            <w:vAlign w:val="center"/>
          </w:tcPr>
          <w:p>
            <w:pPr>
              <w:pStyle w:val="33"/>
            </w:pPr>
            <w:r>
              <w:t>不燃</w:t>
            </w:r>
          </w:p>
        </w:tc>
        <w:tc>
          <w:tcPr>
            <w:tcW w:w="1051" w:type="pct"/>
            <w:gridSpan w:val="2"/>
            <w:vAlign w:val="center"/>
          </w:tcPr>
          <w:p>
            <w:pPr>
              <w:pStyle w:val="33"/>
            </w:pPr>
            <w:r>
              <w:t>燃烧分解物</w:t>
            </w:r>
          </w:p>
        </w:tc>
        <w:tc>
          <w:tcPr>
            <w:tcW w:w="1662" w:type="pct"/>
            <w:gridSpan w:val="2"/>
            <w:vAlign w:val="center"/>
          </w:tcPr>
          <w:p>
            <w:pPr>
              <w:pStyle w:val="33"/>
            </w:pPr>
            <w:r>
              <w:rPr>
                <w:rFonts w:hint="eastAsia"/>
              </w:rPr>
              <w:t>氧化氮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闪点(℃)</w:t>
            </w:r>
          </w:p>
        </w:tc>
        <w:tc>
          <w:tcPr>
            <w:tcW w:w="1102" w:type="pct"/>
            <w:gridSpan w:val="3"/>
            <w:vAlign w:val="center"/>
          </w:tcPr>
          <w:p>
            <w:pPr>
              <w:pStyle w:val="33"/>
            </w:pPr>
            <w:r>
              <w:t>/</w:t>
            </w:r>
          </w:p>
        </w:tc>
        <w:tc>
          <w:tcPr>
            <w:tcW w:w="1051" w:type="pct"/>
            <w:gridSpan w:val="2"/>
            <w:vAlign w:val="center"/>
          </w:tcPr>
          <w:p>
            <w:pPr>
              <w:pStyle w:val="33"/>
            </w:pPr>
            <w:r>
              <w:t>爆炸上限（v%）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引燃温度(℃)</w:t>
            </w:r>
          </w:p>
        </w:tc>
        <w:tc>
          <w:tcPr>
            <w:tcW w:w="1102" w:type="pct"/>
            <w:gridSpan w:val="3"/>
            <w:vAlign w:val="center"/>
          </w:tcPr>
          <w:p>
            <w:pPr>
              <w:pStyle w:val="33"/>
            </w:pPr>
            <w:r>
              <w:t>/</w:t>
            </w:r>
          </w:p>
        </w:tc>
        <w:tc>
          <w:tcPr>
            <w:tcW w:w="1051" w:type="pct"/>
            <w:gridSpan w:val="2"/>
            <w:vAlign w:val="center"/>
          </w:tcPr>
          <w:p>
            <w:pPr>
              <w:pStyle w:val="33"/>
            </w:pPr>
            <w:r>
              <w:t>爆炸下限（v%）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危险特性</w:t>
            </w:r>
          </w:p>
        </w:tc>
        <w:tc>
          <w:tcPr>
            <w:tcW w:w="3815" w:type="pct"/>
            <w:gridSpan w:val="7"/>
            <w:vAlign w:val="center"/>
          </w:tcPr>
          <w:p>
            <w:pPr>
              <w:pStyle w:val="33"/>
            </w:pPr>
            <w:r>
              <w:rPr>
                <w:rFonts w:hint="eastAsia"/>
              </w:rPr>
              <w:t>强氧化剂。能与多种物质如金属粉末、电石、硫化氢、松节油等猛烈反应，甚至发生爆炸。与还原剂、可燃物如糖、纤维素、木屑、棉花、稻草或废纱头等接触，引起燃烧并散发出剧毒的棕色烟雾。具有强腐蚀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储运条件</w:t>
            </w:r>
          </w:p>
          <w:p>
            <w:pPr>
              <w:pStyle w:val="33"/>
            </w:pPr>
            <w:r>
              <w:t>与泄漏处理</w:t>
            </w:r>
          </w:p>
        </w:tc>
        <w:tc>
          <w:tcPr>
            <w:tcW w:w="3815" w:type="pct"/>
            <w:gridSpan w:val="7"/>
            <w:vAlign w:val="center"/>
          </w:tcPr>
          <w:p>
            <w:pPr>
              <w:pStyle w:val="33"/>
            </w:pPr>
            <w:r>
              <w:rPr>
                <w:rFonts w:hint="eastAsia"/>
              </w:rPr>
              <w:t>储运条件：储存于阴凉、干燥、通风处。应与易燃、可燃物，碱类、金属粉末等分开存放。不可混储混运。搬运时要轻装轻卸，防止包装及容  器损坏。分装和搬运作业要注意个人防护。运输按规定路线行驶，勿在  居民区和人口稠密区停留。泄漏处理 ：迅速撤离泄漏污染区人员至安全区，并进行隔离，严格限制出入。建议应急处理人员戴自给正压式呼吸器，穿防酸碱工作服。从上风处进入现场。尽可能切断泄漏源。防止流入下水道、排洪沟等限制性空间。不要直接接触泄漏物，勿使泄漏物与可燃物质(木材、纸、油等)接触，在确保安全情况下堵漏。喷水雾能减少蒸发但不要使水进入储存容器内。小量泄漏：将地面洒上苏打灰，然后用大量水冲洗，洗水稀释后放入废水系统。大量泄漏：构筑围堤或挖坑收容。喷雾状水冷却和稀释蒸汽、保护现场人员、把泄漏物稀释成不燃物。用泵转移至槽车或专用收集器内，回收或运至废物处理场所处</w:t>
            </w:r>
          </w:p>
          <w:p>
            <w:pPr>
              <w:pStyle w:val="33"/>
            </w:pPr>
            <w:r>
              <w:rPr>
                <w:rFonts w:hint="eastAsia"/>
              </w:rPr>
              <w:t>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灭火方法</w:t>
            </w:r>
          </w:p>
        </w:tc>
        <w:tc>
          <w:tcPr>
            <w:tcW w:w="3815" w:type="pct"/>
            <w:gridSpan w:val="7"/>
            <w:vAlign w:val="center"/>
          </w:tcPr>
          <w:p>
            <w:pPr>
              <w:pStyle w:val="33"/>
            </w:pPr>
            <w:r>
              <w:rPr>
                <w:rFonts w:hint="eastAsia"/>
              </w:rPr>
              <w:t>用二氧化碳、砂土、雾状水、火场周围可用的灭火介质灭火。</w:t>
            </w:r>
          </w:p>
        </w:tc>
      </w:tr>
    </w:tbl>
    <w:p>
      <w:pPr>
        <w:pStyle w:val="31"/>
      </w:pPr>
      <w:r>
        <w:t>表</w:t>
      </w:r>
      <w:r>
        <w:rPr>
          <w:rFonts w:hint="eastAsia"/>
        </w:rPr>
        <w:t>7</w:t>
      </w:r>
      <w:r>
        <w:t>.1-</w:t>
      </w:r>
      <w:r>
        <w:rPr>
          <w:rFonts w:hint="eastAsia"/>
        </w:rPr>
        <w:t>3</w:t>
      </w:r>
      <w:r>
        <w:t xml:space="preserve"> </w:t>
      </w:r>
      <w:r>
        <w:rPr>
          <w:rFonts w:hint="eastAsia"/>
        </w:rPr>
        <w:t>盐酸</w:t>
      </w:r>
      <w:r>
        <w:t>危险特性识别</w:t>
      </w:r>
    </w:p>
    <w:tbl>
      <w:tblPr>
        <w:tblStyle w:val="27"/>
        <w:tblW w:w="9179"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476"/>
        <w:gridCol w:w="1558"/>
        <w:gridCol w:w="1202"/>
        <w:gridCol w:w="255"/>
        <w:gridCol w:w="163"/>
        <w:gridCol w:w="1561"/>
        <w:gridCol w:w="959"/>
        <w:gridCol w:w="180"/>
        <w:gridCol w:w="1922"/>
        <w:gridCol w:w="903"/>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6"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标识</w:t>
            </w:r>
          </w:p>
        </w:tc>
        <w:tc>
          <w:tcPr>
            <w:tcW w:w="5698" w:type="dxa"/>
            <w:gridSpan w:val="6"/>
            <w:tcBorders>
              <w:top w:val="single" w:color="auto" w:sz="6" w:space="0"/>
              <w:left w:val="single" w:color="auto" w:sz="6" w:space="0"/>
              <w:bottom w:val="single" w:color="auto" w:sz="6" w:space="0"/>
              <w:right w:val="single" w:color="auto" w:sz="6" w:space="0"/>
            </w:tcBorders>
            <w:vAlign w:val="center"/>
          </w:tcPr>
          <w:p>
            <w:pPr>
              <w:pStyle w:val="33"/>
            </w:pPr>
            <w:r>
              <w:t>中文名：盐酸；氢氯酸</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危险货物编号：81013</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5698" w:type="dxa"/>
            <w:gridSpan w:val="6"/>
            <w:tcBorders>
              <w:top w:val="single" w:color="auto" w:sz="6" w:space="0"/>
              <w:left w:val="single" w:color="auto" w:sz="6" w:space="0"/>
              <w:bottom w:val="single" w:color="auto" w:sz="6" w:space="0"/>
              <w:right w:val="single" w:color="auto" w:sz="6" w:space="0"/>
            </w:tcBorders>
            <w:vAlign w:val="center"/>
          </w:tcPr>
          <w:p>
            <w:pPr>
              <w:pStyle w:val="33"/>
            </w:pPr>
            <w:r>
              <w:t>英文名：Hydrochloric acid；Chlorohydric acid</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UN编号：1789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3"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3015" w:type="dxa"/>
            <w:gridSpan w:val="3"/>
            <w:tcBorders>
              <w:top w:val="single" w:color="auto" w:sz="6" w:space="0"/>
              <w:left w:val="single" w:color="auto" w:sz="6" w:space="0"/>
              <w:bottom w:val="single" w:color="auto" w:sz="6" w:space="0"/>
              <w:right w:val="single" w:color="auto" w:sz="6" w:space="0"/>
            </w:tcBorders>
            <w:vAlign w:val="center"/>
          </w:tcPr>
          <w:p>
            <w:pPr>
              <w:pStyle w:val="33"/>
            </w:pPr>
            <w:r>
              <w:t>分子式：HCl</w:t>
            </w:r>
          </w:p>
        </w:tc>
        <w:tc>
          <w:tcPr>
            <w:tcW w:w="2683" w:type="dxa"/>
            <w:gridSpan w:val="3"/>
            <w:tcBorders>
              <w:top w:val="single" w:color="auto" w:sz="6" w:space="0"/>
              <w:left w:val="single" w:color="auto" w:sz="6" w:space="0"/>
              <w:bottom w:val="single" w:color="auto" w:sz="6" w:space="0"/>
              <w:right w:val="single" w:color="auto" w:sz="6" w:space="0"/>
            </w:tcBorders>
            <w:vAlign w:val="center"/>
          </w:tcPr>
          <w:p>
            <w:pPr>
              <w:pStyle w:val="33"/>
            </w:pPr>
            <w:r>
              <w:t>分子量：36.46</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CAS号：7647-01-0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5"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理化性质</w:t>
            </w: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外观与性状</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无色或微黄色发烟液体，有刺鼻的酸味。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7"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熔点（℃）</w:t>
            </w:r>
          </w:p>
        </w:tc>
        <w:tc>
          <w:tcPr>
            <w:tcW w:w="1202" w:type="dxa"/>
            <w:tcBorders>
              <w:top w:val="single" w:color="auto" w:sz="6" w:space="0"/>
              <w:left w:val="single" w:color="auto" w:sz="6" w:space="0"/>
              <w:bottom w:val="single" w:color="auto" w:sz="6" w:space="0"/>
              <w:right w:val="single" w:color="auto" w:sz="6" w:space="0"/>
            </w:tcBorders>
            <w:vAlign w:val="center"/>
          </w:tcPr>
          <w:p>
            <w:pPr>
              <w:pStyle w:val="33"/>
            </w:pPr>
            <w:r>
              <w:t>-114.8</w:t>
            </w:r>
          </w:p>
        </w:tc>
        <w:tc>
          <w:tcPr>
            <w:tcW w:w="1979" w:type="dxa"/>
            <w:gridSpan w:val="3"/>
            <w:tcBorders>
              <w:top w:val="single" w:color="auto" w:sz="6" w:space="0"/>
              <w:left w:val="single" w:color="auto" w:sz="6" w:space="0"/>
              <w:bottom w:val="single" w:color="auto" w:sz="6" w:space="0"/>
              <w:right w:val="single" w:color="auto" w:sz="6" w:space="0"/>
            </w:tcBorders>
            <w:vAlign w:val="center"/>
          </w:tcPr>
          <w:p>
            <w:pPr>
              <w:pStyle w:val="33"/>
            </w:pPr>
            <w:r>
              <w:t>相对密度(水=1)</w:t>
            </w:r>
          </w:p>
        </w:tc>
        <w:tc>
          <w:tcPr>
            <w:tcW w:w="959" w:type="dxa"/>
            <w:tcBorders>
              <w:top w:val="single" w:color="auto" w:sz="6" w:space="0"/>
              <w:left w:val="single" w:color="auto" w:sz="6" w:space="0"/>
              <w:bottom w:val="single" w:color="auto" w:sz="6" w:space="0"/>
              <w:right w:val="single" w:color="auto" w:sz="6" w:space="0"/>
            </w:tcBorders>
            <w:vAlign w:val="center"/>
          </w:tcPr>
          <w:p>
            <w:pPr>
              <w:pStyle w:val="33"/>
            </w:pPr>
            <w:r>
              <w:t>1.20</w:t>
            </w:r>
          </w:p>
        </w:tc>
        <w:tc>
          <w:tcPr>
            <w:tcW w:w="2102" w:type="dxa"/>
            <w:gridSpan w:val="2"/>
            <w:tcBorders>
              <w:top w:val="single" w:color="auto" w:sz="6" w:space="0"/>
              <w:left w:val="single" w:color="auto" w:sz="6" w:space="0"/>
              <w:bottom w:val="single" w:color="auto" w:sz="6" w:space="0"/>
              <w:right w:val="single" w:color="auto" w:sz="6" w:space="0"/>
            </w:tcBorders>
            <w:vAlign w:val="center"/>
          </w:tcPr>
          <w:p>
            <w:pPr>
              <w:pStyle w:val="33"/>
            </w:pPr>
            <w:r>
              <w:t>相对密度(空气=1)</w:t>
            </w:r>
          </w:p>
        </w:tc>
        <w:tc>
          <w:tcPr>
            <w:tcW w:w="903" w:type="dxa"/>
            <w:tcBorders>
              <w:top w:val="single" w:color="auto" w:sz="6" w:space="0"/>
              <w:left w:val="single" w:color="auto" w:sz="6" w:space="0"/>
              <w:bottom w:val="single" w:color="auto" w:sz="6" w:space="0"/>
              <w:right w:val="single" w:color="auto" w:sz="6" w:space="0"/>
            </w:tcBorders>
            <w:vAlign w:val="center"/>
          </w:tcPr>
          <w:p>
            <w:pPr>
              <w:pStyle w:val="33"/>
            </w:pPr>
            <w:r>
              <w:t>1.26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沸点（℃）</w:t>
            </w:r>
          </w:p>
        </w:tc>
        <w:tc>
          <w:tcPr>
            <w:tcW w:w="1202" w:type="dxa"/>
            <w:tcBorders>
              <w:top w:val="single" w:color="auto" w:sz="6" w:space="0"/>
              <w:left w:val="single" w:color="auto" w:sz="6" w:space="0"/>
              <w:bottom w:val="single" w:color="auto" w:sz="6" w:space="0"/>
              <w:right w:val="single" w:color="auto" w:sz="6" w:space="0"/>
            </w:tcBorders>
            <w:vAlign w:val="center"/>
          </w:tcPr>
          <w:p>
            <w:pPr>
              <w:pStyle w:val="33"/>
            </w:pPr>
            <w:r>
              <w:t>108.6</w:t>
            </w:r>
          </w:p>
        </w:tc>
        <w:tc>
          <w:tcPr>
            <w:tcW w:w="2938" w:type="dxa"/>
            <w:gridSpan w:val="4"/>
            <w:tcBorders>
              <w:top w:val="single" w:color="auto" w:sz="6" w:space="0"/>
              <w:left w:val="single" w:color="auto" w:sz="6" w:space="0"/>
              <w:bottom w:val="single" w:color="auto" w:sz="6" w:space="0"/>
              <w:right w:val="single" w:color="auto" w:sz="6" w:space="0"/>
            </w:tcBorders>
            <w:vAlign w:val="center"/>
          </w:tcPr>
          <w:p>
            <w:pPr>
              <w:pStyle w:val="33"/>
            </w:pPr>
            <w:r>
              <w:t>饱和蒸气压（kPa）</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30.66/21℃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溶解性</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与水混溶，溶于碱液。</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8"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毒性及健康危害</w:t>
            </w: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侵入途径</w:t>
            </w:r>
          </w:p>
        </w:tc>
        <w:tc>
          <w:tcPr>
            <w:tcW w:w="7145" w:type="dxa"/>
            <w:gridSpan w:val="8"/>
            <w:tcBorders>
              <w:top w:val="single" w:color="auto" w:sz="6" w:space="0"/>
              <w:left w:val="single" w:color="auto" w:sz="6" w:space="0"/>
              <w:bottom w:val="single" w:color="auto" w:sz="6" w:space="0"/>
              <w:right w:val="single" w:color="auto" w:sz="4" w:space="0"/>
            </w:tcBorders>
            <w:vAlign w:val="center"/>
          </w:tcPr>
          <w:p>
            <w:pPr>
              <w:pStyle w:val="33"/>
            </w:pPr>
            <w:r>
              <w:rPr>
                <w:rFonts w:hint="eastAsia"/>
              </w:rPr>
              <w:t>吸入、食入、经皮吸收</w:t>
            </w:r>
            <w: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6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毒性</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 xml:space="preserve"> LD50：900mg/kg(兔经口)；</w:t>
            </w:r>
          </w:p>
          <w:p>
            <w:pPr>
              <w:pStyle w:val="33"/>
            </w:pPr>
            <w:r>
              <w:t xml:space="preserve"> LC50：3124ppm，1小时(大鼠吸入)</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34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4" w:space="0"/>
              <w:right w:val="single" w:color="auto" w:sz="6" w:space="0"/>
            </w:tcBorders>
            <w:vAlign w:val="center"/>
          </w:tcPr>
          <w:p>
            <w:pPr>
              <w:pStyle w:val="33"/>
            </w:pPr>
            <w:r>
              <w:t>健康危害</w:t>
            </w:r>
          </w:p>
        </w:tc>
        <w:tc>
          <w:tcPr>
            <w:tcW w:w="7145" w:type="dxa"/>
            <w:gridSpan w:val="8"/>
            <w:tcBorders>
              <w:top w:val="single" w:color="auto" w:sz="6" w:space="0"/>
              <w:left w:val="single" w:color="auto" w:sz="6" w:space="0"/>
              <w:bottom w:val="single" w:color="auto" w:sz="4" w:space="0"/>
              <w:right w:val="single" w:color="auto" w:sz="6" w:space="0"/>
            </w:tcBorders>
            <w:vAlign w:val="center"/>
          </w:tcPr>
          <w:p>
            <w:pPr>
              <w:pStyle w:val="33"/>
            </w:pPr>
            <w:r>
              <w:t>接触其蒸气或烟雾，可引起急性中毒，出现眼结膜炎，鼻及口腔粘膜有烧灼感，鼻衄、齿龈出血，气管炎等。误服可引起消化道灼伤、溃疡形成，有可能引起胃穿孔、腹膜炎等。眼和皮肤接触可致灼伤。慢性影响：长期接触，引起慢性鼻炎、慢性支气管炎、牙齿酸蚀症及皮肤损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4" w:space="0"/>
              <w:left w:val="single" w:color="auto" w:sz="6" w:space="0"/>
              <w:bottom w:val="single" w:color="auto" w:sz="6" w:space="0"/>
              <w:right w:val="single" w:color="auto" w:sz="6" w:space="0"/>
            </w:tcBorders>
            <w:vAlign w:val="center"/>
          </w:tcPr>
          <w:p>
            <w:pPr>
              <w:pStyle w:val="33"/>
            </w:pPr>
            <w:r>
              <w:t>急救方法</w:t>
            </w:r>
          </w:p>
        </w:tc>
        <w:tc>
          <w:tcPr>
            <w:tcW w:w="7145" w:type="dxa"/>
            <w:gridSpan w:val="8"/>
            <w:tcBorders>
              <w:top w:val="single" w:color="auto" w:sz="4" w:space="0"/>
              <w:left w:val="single" w:color="auto" w:sz="6" w:space="0"/>
              <w:bottom w:val="single" w:color="auto" w:sz="6" w:space="0"/>
              <w:right w:val="single" w:color="auto" w:sz="6" w:space="0"/>
            </w:tcBorders>
            <w:vAlign w:val="center"/>
          </w:tcPr>
          <w:p>
            <w:pPr>
              <w:pStyle w:val="33"/>
            </w:pPr>
            <w:r>
              <w:t>皮肤接触：立即用水冲洗至少15分钟。或用2%碳酸氢钠溶液冲洗。若有灼伤，就医治疗。眼睛接触：立即提起眼睑，用流动清水冲洗10分钟或用2%碳酸氢钠溶液冲洗。吸入：迅速脱离现场至空气新鲜处。呼吸困难时给输氧。给予2-4%碳酸氢钠溶液雾化吸入。就医。食入：误服者立即漱口，给牛奶、蛋清、植物油等口服，不可催吐。立即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22"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燃烧爆炸危险性</w:t>
            </w: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燃烧性</w:t>
            </w:r>
          </w:p>
        </w:tc>
        <w:tc>
          <w:tcPr>
            <w:tcW w:w="1620" w:type="dxa"/>
            <w:gridSpan w:val="3"/>
            <w:tcBorders>
              <w:top w:val="single" w:color="auto" w:sz="6" w:space="0"/>
              <w:left w:val="single" w:color="auto" w:sz="6" w:space="0"/>
              <w:bottom w:val="single" w:color="auto" w:sz="6" w:space="0"/>
              <w:right w:val="single" w:color="auto" w:sz="6" w:space="0"/>
            </w:tcBorders>
            <w:vAlign w:val="center"/>
          </w:tcPr>
          <w:p>
            <w:pPr>
              <w:pStyle w:val="33"/>
            </w:pPr>
            <w:r>
              <w:t>不燃</w:t>
            </w:r>
          </w:p>
        </w:tc>
        <w:tc>
          <w:tcPr>
            <w:tcW w:w="2700" w:type="dxa"/>
            <w:gridSpan w:val="3"/>
            <w:tcBorders>
              <w:top w:val="single" w:color="auto" w:sz="6" w:space="0"/>
              <w:left w:val="single" w:color="auto" w:sz="6" w:space="0"/>
              <w:bottom w:val="single" w:color="auto" w:sz="6" w:space="0"/>
              <w:right w:val="single" w:color="auto" w:sz="6" w:space="0"/>
            </w:tcBorders>
            <w:vAlign w:val="center"/>
          </w:tcPr>
          <w:p>
            <w:pPr>
              <w:pStyle w:val="33"/>
            </w:pPr>
            <w:r>
              <w:t>燃烧分解物</w:t>
            </w:r>
          </w:p>
        </w:tc>
        <w:tc>
          <w:tcPr>
            <w:tcW w:w="2825" w:type="dxa"/>
            <w:gridSpan w:val="2"/>
            <w:tcBorders>
              <w:top w:val="single" w:color="auto" w:sz="6" w:space="0"/>
              <w:left w:val="single" w:color="auto" w:sz="6" w:space="0"/>
              <w:bottom w:val="single" w:color="auto" w:sz="6" w:space="0"/>
              <w:right w:val="single" w:color="auto" w:sz="6" w:space="0"/>
            </w:tcBorders>
            <w:vAlign w:val="center"/>
          </w:tcPr>
          <w:p>
            <w:pPr>
              <w:pStyle w:val="33"/>
            </w:pPr>
            <w:r>
              <w:t>氯化氢。</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0"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闪点(℃)</w:t>
            </w:r>
          </w:p>
        </w:tc>
        <w:tc>
          <w:tcPr>
            <w:tcW w:w="1620" w:type="dxa"/>
            <w:gridSpan w:val="3"/>
            <w:tcBorders>
              <w:top w:val="single" w:color="auto" w:sz="6" w:space="0"/>
              <w:left w:val="single" w:color="auto" w:sz="6" w:space="0"/>
              <w:bottom w:val="single" w:color="auto" w:sz="6" w:space="0"/>
              <w:right w:val="single" w:color="auto" w:sz="6" w:space="0"/>
            </w:tcBorders>
            <w:vAlign w:val="center"/>
          </w:tcPr>
          <w:p>
            <w:pPr>
              <w:pStyle w:val="33"/>
            </w:pPr>
            <w:r>
              <w:t>/</w:t>
            </w:r>
          </w:p>
        </w:tc>
        <w:tc>
          <w:tcPr>
            <w:tcW w:w="2700" w:type="dxa"/>
            <w:gridSpan w:val="3"/>
            <w:tcBorders>
              <w:top w:val="single" w:color="auto" w:sz="6" w:space="0"/>
              <w:left w:val="single" w:color="auto" w:sz="6" w:space="0"/>
              <w:bottom w:val="single" w:color="auto" w:sz="6" w:space="0"/>
              <w:right w:val="single" w:color="auto" w:sz="6" w:space="0"/>
            </w:tcBorders>
            <w:vAlign w:val="center"/>
          </w:tcPr>
          <w:p>
            <w:pPr>
              <w:pStyle w:val="33"/>
            </w:pPr>
            <w:r>
              <w:t>爆炸上限（v%）</w:t>
            </w:r>
          </w:p>
        </w:tc>
        <w:tc>
          <w:tcPr>
            <w:tcW w:w="2825" w:type="dxa"/>
            <w:gridSpan w:val="2"/>
            <w:tcBorders>
              <w:top w:val="single" w:color="auto" w:sz="6" w:space="0"/>
              <w:left w:val="single" w:color="auto" w:sz="6" w:space="0"/>
              <w:bottom w:val="single" w:color="auto" w:sz="6" w:space="0"/>
              <w:right w:val="single" w:color="auto" w:sz="6" w:space="0"/>
            </w:tcBorders>
            <w:vAlign w:val="center"/>
          </w:tcPr>
          <w:p>
            <w:pPr>
              <w:pStyle w:val="33"/>
            </w:pPr>
            <w: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PrEx>
        <w:trPr>
          <w:cantSplit/>
          <w:trHeight w:val="445"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引燃温度(℃)</w:t>
            </w:r>
          </w:p>
        </w:tc>
        <w:tc>
          <w:tcPr>
            <w:tcW w:w="1620" w:type="dxa"/>
            <w:gridSpan w:val="3"/>
            <w:tcBorders>
              <w:top w:val="single" w:color="auto" w:sz="6" w:space="0"/>
              <w:left w:val="single" w:color="auto" w:sz="6" w:space="0"/>
              <w:bottom w:val="single" w:color="auto" w:sz="6" w:space="0"/>
              <w:right w:val="single" w:color="auto" w:sz="6" w:space="0"/>
            </w:tcBorders>
            <w:vAlign w:val="center"/>
          </w:tcPr>
          <w:p>
            <w:pPr>
              <w:pStyle w:val="33"/>
            </w:pPr>
            <w:r>
              <w:t>/</w:t>
            </w:r>
          </w:p>
        </w:tc>
        <w:tc>
          <w:tcPr>
            <w:tcW w:w="2700" w:type="dxa"/>
            <w:gridSpan w:val="3"/>
            <w:tcBorders>
              <w:top w:val="single" w:color="auto" w:sz="6" w:space="0"/>
              <w:left w:val="single" w:color="auto" w:sz="6" w:space="0"/>
              <w:bottom w:val="single" w:color="auto" w:sz="6" w:space="0"/>
              <w:right w:val="single" w:color="auto" w:sz="6" w:space="0"/>
            </w:tcBorders>
            <w:vAlign w:val="center"/>
          </w:tcPr>
          <w:p>
            <w:pPr>
              <w:pStyle w:val="33"/>
            </w:pPr>
            <w:r>
              <w:t>爆炸下限（v%）</w:t>
            </w:r>
          </w:p>
        </w:tc>
        <w:tc>
          <w:tcPr>
            <w:tcW w:w="2825" w:type="dxa"/>
            <w:gridSpan w:val="2"/>
            <w:tcBorders>
              <w:top w:val="single" w:color="auto" w:sz="6" w:space="0"/>
              <w:left w:val="single" w:color="auto" w:sz="6" w:space="0"/>
              <w:bottom w:val="single" w:color="auto" w:sz="6" w:space="0"/>
              <w:right w:val="single" w:color="auto" w:sz="6" w:space="0"/>
            </w:tcBorders>
            <w:vAlign w:val="center"/>
          </w:tcPr>
          <w:p>
            <w:pPr>
              <w:pStyle w:val="33"/>
            </w:pPr>
            <w: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4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危险特性</w:t>
            </w:r>
          </w:p>
        </w:tc>
        <w:tc>
          <w:tcPr>
            <w:tcW w:w="7145" w:type="dxa"/>
            <w:gridSpan w:val="8"/>
            <w:tcBorders>
              <w:top w:val="single" w:color="auto" w:sz="6" w:space="0"/>
              <w:left w:val="single" w:color="auto" w:sz="6" w:space="0"/>
              <w:bottom w:val="single" w:color="auto" w:sz="6" w:space="0"/>
              <w:right w:val="single" w:color="auto" w:sz="6" w:space="0"/>
            </w:tcBorders>
          </w:tcPr>
          <w:p>
            <w:pPr>
              <w:pStyle w:val="33"/>
            </w:pPr>
            <w:r>
              <w:t>能与一些活性金属粉末发生反应，放出氢气。遇氰化物能产生剧毒的氰化氢气体。与碱发生中合反应，并放出大量的热。具有强腐蚀性。</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储运条件</w:t>
            </w:r>
          </w:p>
          <w:p>
            <w:pPr>
              <w:pStyle w:val="33"/>
            </w:pPr>
            <w:r>
              <w:t>与泄漏处理</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储运条件：储存于阴凉、干燥、通风处。应与易燃、可燃物，碱类、金属粉末等分开存放。不可混储混运。搬运时要轻装轻卸，防止包装及容器损坏。分装和搬运作业要注意个人防护。运输按规定路线行驶。泄漏处理：疏散泄漏污染区人员至安全区，禁止无关人员进入污染区，建议应急处理人员戴好面罩，穿化学防护服。不要直接接触泄漏物，禁止向泄漏物直接喷水。更不要让水进入包装容器内。用沙土、干燥石灰或苏打灰混合，然后收集运至废物处理场所处置。也可以用大量水冲洗，经稀释的洗水放入废水系统。如大量泄漏，利用围堤收容，然后收集、转移、回收或无害处理后废弃。</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灭火方法</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用碱性物质如碳酸氢钠、碳酸钠、消石灰等中和。也可用大量水扑救。</w:t>
            </w:r>
          </w:p>
        </w:tc>
      </w:tr>
    </w:tbl>
    <w:p>
      <w:pPr>
        <w:pStyle w:val="2"/>
        <w:ind w:left="480" w:firstLine="480"/>
      </w:pPr>
    </w:p>
    <w:p>
      <w:pPr>
        <w:pStyle w:val="31"/>
      </w:pPr>
      <w:r>
        <w:t>表</w:t>
      </w:r>
      <w:r>
        <w:rPr>
          <w:rFonts w:hint="eastAsia"/>
        </w:rPr>
        <w:t>7</w:t>
      </w:r>
      <w:r>
        <w:t>.1-</w:t>
      </w:r>
      <w:r>
        <w:rPr>
          <w:rFonts w:hint="eastAsia"/>
        </w:rPr>
        <w:t xml:space="preserve">4 </w:t>
      </w:r>
      <w:r>
        <w:t xml:space="preserve"> 氟化氢危险特性识别</w:t>
      </w:r>
    </w:p>
    <w:tbl>
      <w:tblPr>
        <w:tblStyle w:val="27"/>
        <w:tblW w:w="515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9"/>
        <w:gridCol w:w="2453"/>
        <w:gridCol w:w="213"/>
        <w:gridCol w:w="1919"/>
        <w:gridCol w:w="36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318" w:type="pct"/>
            <w:vMerge w:val="restart"/>
            <w:vAlign w:val="center"/>
          </w:tcPr>
          <w:p>
            <w:pPr>
              <w:autoSpaceDE w:val="0"/>
              <w:autoSpaceDN w:val="0"/>
              <w:adjustRightInd w:val="0"/>
              <w:snapToGrid w:val="0"/>
              <w:spacing w:before="40" w:after="40"/>
              <w:jc w:val="center"/>
              <w:rPr>
                <w:sz w:val="21"/>
                <w:szCs w:val="21"/>
              </w:rPr>
            </w:pPr>
            <w:r>
              <w:rPr>
                <w:sz w:val="21"/>
                <w:szCs w:val="21"/>
              </w:rPr>
              <w:t>标识</w:t>
            </w:r>
          </w:p>
        </w:tc>
        <w:tc>
          <w:tcPr>
            <w:tcW w:w="1516" w:type="pct"/>
            <w:gridSpan w:val="2"/>
          </w:tcPr>
          <w:p>
            <w:pPr>
              <w:autoSpaceDE w:val="0"/>
              <w:autoSpaceDN w:val="0"/>
              <w:adjustRightInd w:val="0"/>
              <w:snapToGrid w:val="0"/>
              <w:spacing w:before="40" w:after="40"/>
              <w:rPr>
                <w:sz w:val="21"/>
                <w:szCs w:val="21"/>
              </w:rPr>
            </w:pPr>
            <w:r>
              <w:rPr>
                <w:sz w:val="21"/>
                <w:szCs w:val="21"/>
              </w:rPr>
              <w:t>中文名：氟化氢</w:t>
            </w:r>
          </w:p>
        </w:tc>
        <w:tc>
          <w:tcPr>
            <w:tcW w:w="3165" w:type="pct"/>
            <w:gridSpan w:val="2"/>
          </w:tcPr>
          <w:p>
            <w:pPr>
              <w:autoSpaceDE w:val="0"/>
              <w:autoSpaceDN w:val="0"/>
              <w:adjustRightInd w:val="0"/>
              <w:snapToGrid w:val="0"/>
              <w:spacing w:before="40" w:after="40"/>
              <w:rPr>
                <w:sz w:val="21"/>
                <w:szCs w:val="21"/>
              </w:rPr>
            </w:pPr>
            <w:r>
              <w:rPr>
                <w:sz w:val="21"/>
                <w:szCs w:val="21"/>
              </w:rPr>
              <w:t>英文名： hydrogen fluride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3"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1516" w:type="pct"/>
            <w:gridSpan w:val="2"/>
          </w:tcPr>
          <w:p>
            <w:pPr>
              <w:autoSpaceDE w:val="0"/>
              <w:autoSpaceDN w:val="0"/>
              <w:adjustRightInd w:val="0"/>
              <w:snapToGrid w:val="0"/>
              <w:spacing w:before="40" w:after="40"/>
              <w:rPr>
                <w:sz w:val="21"/>
                <w:szCs w:val="21"/>
                <w:vertAlign w:val="subscript"/>
              </w:rPr>
            </w:pPr>
            <w:r>
              <w:rPr>
                <w:sz w:val="21"/>
                <w:szCs w:val="21"/>
              </w:rPr>
              <w:t>分子式：HF</w:t>
            </w:r>
          </w:p>
        </w:tc>
        <w:tc>
          <w:tcPr>
            <w:tcW w:w="1091" w:type="pct"/>
          </w:tcPr>
          <w:p>
            <w:pPr>
              <w:autoSpaceDE w:val="0"/>
              <w:autoSpaceDN w:val="0"/>
              <w:adjustRightInd w:val="0"/>
              <w:snapToGrid w:val="0"/>
              <w:spacing w:before="40" w:after="40"/>
              <w:rPr>
                <w:sz w:val="21"/>
                <w:szCs w:val="21"/>
              </w:rPr>
            </w:pPr>
            <w:r>
              <w:rPr>
                <w:sz w:val="21"/>
                <w:szCs w:val="21"/>
              </w:rPr>
              <w:t>分子量： 20.01</w:t>
            </w:r>
          </w:p>
        </w:tc>
        <w:tc>
          <w:tcPr>
            <w:tcW w:w="2074" w:type="pct"/>
          </w:tcPr>
          <w:p>
            <w:pPr>
              <w:autoSpaceDE w:val="0"/>
              <w:autoSpaceDN w:val="0"/>
              <w:adjustRightInd w:val="0"/>
              <w:snapToGrid w:val="0"/>
              <w:spacing w:before="40" w:after="40"/>
              <w:rPr>
                <w:sz w:val="21"/>
                <w:szCs w:val="21"/>
              </w:rPr>
            </w:pPr>
            <w:r>
              <w:rPr>
                <w:sz w:val="21"/>
                <w:szCs w:val="21"/>
              </w:rPr>
              <w:t xml:space="preserve">CAS号：7664－39－3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318" w:type="pct"/>
            <w:vMerge w:val="restart"/>
            <w:vAlign w:val="center"/>
          </w:tcPr>
          <w:p>
            <w:pPr>
              <w:autoSpaceDE w:val="0"/>
              <w:autoSpaceDN w:val="0"/>
              <w:adjustRightInd w:val="0"/>
              <w:snapToGrid w:val="0"/>
              <w:spacing w:before="40" w:after="40"/>
              <w:jc w:val="center"/>
              <w:rPr>
                <w:sz w:val="21"/>
                <w:szCs w:val="21"/>
              </w:rPr>
            </w:pPr>
            <w:r>
              <w:rPr>
                <w:sz w:val="21"/>
                <w:szCs w:val="21"/>
              </w:rPr>
              <w:t>理化性质</w:t>
            </w:r>
          </w:p>
        </w:tc>
        <w:tc>
          <w:tcPr>
            <w:tcW w:w="4681" w:type="pct"/>
            <w:gridSpan w:val="4"/>
          </w:tcPr>
          <w:p>
            <w:pPr>
              <w:autoSpaceDE w:val="0"/>
              <w:autoSpaceDN w:val="0"/>
              <w:adjustRightInd w:val="0"/>
              <w:snapToGrid w:val="0"/>
              <w:spacing w:before="40" w:after="40"/>
              <w:rPr>
                <w:sz w:val="21"/>
                <w:szCs w:val="21"/>
              </w:rPr>
            </w:pPr>
            <w:r>
              <w:rPr>
                <w:sz w:val="21"/>
                <w:szCs w:val="21"/>
              </w:rPr>
              <w:t>性状：无色液体或气体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4681" w:type="pct"/>
            <w:gridSpan w:val="4"/>
          </w:tcPr>
          <w:p>
            <w:pPr>
              <w:autoSpaceDE w:val="0"/>
              <w:autoSpaceDN w:val="0"/>
              <w:adjustRightInd w:val="0"/>
              <w:snapToGrid w:val="0"/>
              <w:spacing w:before="40" w:after="40"/>
              <w:rPr>
                <w:sz w:val="21"/>
                <w:szCs w:val="21"/>
              </w:rPr>
            </w:pPr>
            <w:r>
              <w:rPr>
                <w:sz w:val="21"/>
                <w:szCs w:val="21"/>
              </w:rPr>
              <w:t>溶解性： 易溶于水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1395" w:type="pct"/>
          </w:tcPr>
          <w:p>
            <w:pPr>
              <w:autoSpaceDE w:val="0"/>
              <w:autoSpaceDN w:val="0"/>
              <w:adjustRightInd w:val="0"/>
              <w:snapToGrid w:val="0"/>
              <w:spacing w:before="40" w:after="40"/>
              <w:rPr>
                <w:sz w:val="21"/>
                <w:szCs w:val="21"/>
              </w:rPr>
            </w:pPr>
            <w:r>
              <w:rPr>
                <w:sz w:val="21"/>
                <w:szCs w:val="21"/>
              </w:rPr>
              <w:t>熔点(℃)：-83.7</w:t>
            </w:r>
          </w:p>
        </w:tc>
        <w:tc>
          <w:tcPr>
            <w:tcW w:w="1212" w:type="pct"/>
            <w:gridSpan w:val="2"/>
          </w:tcPr>
          <w:p>
            <w:pPr>
              <w:autoSpaceDE w:val="0"/>
              <w:autoSpaceDN w:val="0"/>
              <w:adjustRightInd w:val="0"/>
              <w:snapToGrid w:val="0"/>
              <w:spacing w:before="40" w:after="40"/>
              <w:rPr>
                <w:sz w:val="21"/>
                <w:szCs w:val="21"/>
              </w:rPr>
            </w:pPr>
            <w:r>
              <w:rPr>
                <w:sz w:val="21"/>
                <w:szCs w:val="21"/>
              </w:rPr>
              <w:t>沸点(℃)：19.5</w:t>
            </w:r>
          </w:p>
        </w:tc>
        <w:tc>
          <w:tcPr>
            <w:tcW w:w="2074" w:type="pct"/>
          </w:tcPr>
          <w:p>
            <w:pPr>
              <w:autoSpaceDE w:val="0"/>
              <w:autoSpaceDN w:val="0"/>
              <w:adjustRightInd w:val="0"/>
              <w:snapToGrid w:val="0"/>
              <w:spacing w:before="40" w:after="40"/>
              <w:rPr>
                <w:sz w:val="21"/>
                <w:szCs w:val="21"/>
              </w:rPr>
            </w:pPr>
            <w:r>
              <w:rPr>
                <w:sz w:val="21"/>
                <w:szCs w:val="21"/>
              </w:rPr>
              <w:t>相对密度(水＝1)：1.15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1395" w:type="pct"/>
          </w:tcPr>
          <w:p>
            <w:pPr>
              <w:autoSpaceDE w:val="0"/>
              <w:autoSpaceDN w:val="0"/>
              <w:adjustRightInd w:val="0"/>
              <w:snapToGrid w:val="0"/>
              <w:spacing w:before="40" w:after="40"/>
              <w:rPr>
                <w:sz w:val="21"/>
                <w:szCs w:val="21"/>
              </w:rPr>
            </w:pPr>
            <w:r>
              <w:rPr>
                <w:sz w:val="21"/>
                <w:szCs w:val="21"/>
              </w:rPr>
              <w:t>临界温度(℃)：188</w:t>
            </w:r>
          </w:p>
        </w:tc>
        <w:tc>
          <w:tcPr>
            <w:tcW w:w="1212" w:type="pct"/>
            <w:gridSpan w:val="2"/>
          </w:tcPr>
          <w:p>
            <w:pPr>
              <w:autoSpaceDE w:val="0"/>
              <w:autoSpaceDN w:val="0"/>
              <w:adjustRightInd w:val="0"/>
              <w:snapToGrid w:val="0"/>
              <w:spacing w:before="40" w:after="40"/>
              <w:rPr>
                <w:sz w:val="21"/>
                <w:szCs w:val="21"/>
              </w:rPr>
            </w:pPr>
            <w:r>
              <w:rPr>
                <w:sz w:val="21"/>
                <w:szCs w:val="21"/>
              </w:rPr>
              <w:t>临界压力(MPa)：6.48</w:t>
            </w:r>
          </w:p>
        </w:tc>
        <w:tc>
          <w:tcPr>
            <w:tcW w:w="2074" w:type="pct"/>
          </w:tcPr>
          <w:p>
            <w:pPr>
              <w:autoSpaceDE w:val="0"/>
              <w:autoSpaceDN w:val="0"/>
              <w:adjustRightInd w:val="0"/>
              <w:snapToGrid w:val="0"/>
              <w:spacing w:before="40" w:after="40"/>
              <w:rPr>
                <w:sz w:val="21"/>
                <w:szCs w:val="21"/>
              </w:rPr>
            </w:pPr>
            <w:r>
              <w:rPr>
                <w:sz w:val="21"/>
                <w:szCs w:val="21"/>
              </w:rPr>
              <w:t>相对密度(空气＝1)：1.27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4681" w:type="pct"/>
            <w:gridSpan w:val="4"/>
          </w:tcPr>
          <w:p>
            <w:pPr>
              <w:autoSpaceDE w:val="0"/>
              <w:autoSpaceDN w:val="0"/>
              <w:adjustRightInd w:val="0"/>
              <w:snapToGrid w:val="0"/>
              <w:spacing w:before="40" w:after="40"/>
              <w:rPr>
                <w:sz w:val="21"/>
                <w:szCs w:val="21"/>
              </w:rPr>
            </w:pPr>
            <w:r>
              <w:rPr>
                <w:sz w:val="21"/>
                <w:szCs w:val="21"/>
              </w:rPr>
              <w:t xml:space="preserve">饱和蒸汽压(KPa)：53.32(2.5℃)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76" w:hRule="atLeast"/>
          <w:jc w:val="center"/>
        </w:trPr>
        <w:tc>
          <w:tcPr>
            <w:tcW w:w="318" w:type="pct"/>
            <w:vAlign w:val="center"/>
          </w:tcPr>
          <w:p>
            <w:pPr>
              <w:autoSpaceDE w:val="0"/>
              <w:autoSpaceDN w:val="0"/>
              <w:adjustRightInd w:val="0"/>
              <w:snapToGrid w:val="0"/>
              <w:spacing w:before="40" w:after="40"/>
              <w:jc w:val="center"/>
              <w:rPr>
                <w:sz w:val="21"/>
                <w:szCs w:val="21"/>
              </w:rPr>
            </w:pPr>
            <w:r>
              <w:rPr>
                <w:sz w:val="21"/>
                <w:szCs w:val="21"/>
              </w:rPr>
              <w:t>危险性</w:t>
            </w:r>
          </w:p>
        </w:tc>
        <w:tc>
          <w:tcPr>
            <w:tcW w:w="4681" w:type="pct"/>
            <w:gridSpan w:val="4"/>
          </w:tcPr>
          <w:p>
            <w:pPr>
              <w:autoSpaceDE w:val="0"/>
              <w:autoSpaceDN w:val="0"/>
              <w:adjustRightInd w:val="0"/>
              <w:snapToGrid w:val="0"/>
              <w:spacing w:before="40" w:after="40"/>
              <w:rPr>
                <w:sz w:val="21"/>
                <w:szCs w:val="21"/>
              </w:rPr>
            </w:pPr>
            <w:r>
              <w:rPr>
                <w:sz w:val="21"/>
                <w:szCs w:val="21"/>
              </w:rPr>
              <w:t>健康危害： 对呼吸道粘膜及皮肤有强烈的刺激和腐蚀作用。急性毒性：吸入较高浓度氟化氢，可引起眼及呼吸道粘膜刺激症状，严重者可发生支气管炎、肺炎或肺水肿，甚至发生反射性窒息。眼接触局部剧烈疼痛，重者角膜损伤，甚至发生穿孔。慢性影响：眼和上呼吸道刺激症状，或有鼻衄，嗅觉减退。可有牙齿酸蚀症。骨骼X线异常与工业氟病少见。</w:t>
            </w:r>
          </w:p>
          <w:p>
            <w:pPr>
              <w:autoSpaceDE w:val="0"/>
              <w:autoSpaceDN w:val="0"/>
              <w:adjustRightInd w:val="0"/>
              <w:snapToGrid w:val="0"/>
              <w:spacing w:before="40" w:after="40"/>
              <w:rPr>
                <w:sz w:val="21"/>
                <w:szCs w:val="21"/>
              </w:rPr>
            </w:pPr>
            <w:r>
              <w:rPr>
                <w:sz w:val="21"/>
                <w:szCs w:val="21"/>
              </w:rPr>
              <w:t>爆炸危险：本品不燃，高毒，具强腐蚀性、强刺激性，可致人体灼伤。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97" w:hRule="atLeast"/>
          <w:jc w:val="center"/>
        </w:trPr>
        <w:tc>
          <w:tcPr>
            <w:tcW w:w="318" w:type="pct"/>
            <w:vAlign w:val="center"/>
          </w:tcPr>
          <w:p>
            <w:pPr>
              <w:autoSpaceDE w:val="0"/>
              <w:autoSpaceDN w:val="0"/>
              <w:adjustRightInd w:val="0"/>
              <w:snapToGrid w:val="0"/>
              <w:spacing w:before="40" w:after="40"/>
              <w:jc w:val="center"/>
              <w:rPr>
                <w:sz w:val="21"/>
                <w:szCs w:val="21"/>
              </w:rPr>
            </w:pPr>
            <w:r>
              <w:rPr>
                <w:sz w:val="21"/>
                <w:szCs w:val="21"/>
              </w:rPr>
              <w:t>毒性</w:t>
            </w:r>
          </w:p>
        </w:tc>
        <w:tc>
          <w:tcPr>
            <w:tcW w:w="4681" w:type="pct"/>
            <w:gridSpan w:val="4"/>
          </w:tcPr>
          <w:p>
            <w:pPr>
              <w:autoSpaceDE w:val="0"/>
              <w:autoSpaceDN w:val="0"/>
              <w:adjustRightInd w:val="0"/>
              <w:snapToGrid w:val="0"/>
              <w:spacing w:before="40" w:after="40"/>
              <w:rPr>
                <w:sz w:val="21"/>
                <w:szCs w:val="21"/>
              </w:rPr>
            </w:pPr>
            <w:r>
              <w:rPr>
                <w:sz w:val="21"/>
                <w:szCs w:val="21"/>
              </w:rPr>
              <w:t>急性毒性：LD</w:t>
            </w:r>
            <w:r>
              <w:rPr>
                <w:sz w:val="21"/>
                <w:szCs w:val="21"/>
                <w:vertAlign w:val="subscript"/>
              </w:rPr>
              <w:t>50</w:t>
            </w:r>
            <w:r>
              <w:rPr>
                <w:rFonts w:hint="eastAsia"/>
                <w:sz w:val="21"/>
                <w:szCs w:val="21"/>
                <w:vertAlign w:val="subscript"/>
                <w:lang w:eastAsia="zh-CN"/>
              </w:rPr>
              <w:t>：</w:t>
            </w:r>
            <w:r>
              <w:rPr>
                <w:sz w:val="21"/>
                <w:szCs w:val="21"/>
              </w:rPr>
              <w:t xml:space="preserve">无资料 </w:t>
            </w:r>
          </w:p>
          <w:p>
            <w:pPr>
              <w:autoSpaceDE w:val="0"/>
              <w:autoSpaceDN w:val="0"/>
              <w:adjustRightInd w:val="0"/>
              <w:snapToGrid w:val="0"/>
              <w:spacing w:before="40" w:after="40"/>
              <w:rPr>
                <w:sz w:val="21"/>
                <w:szCs w:val="21"/>
              </w:rPr>
            </w:pPr>
            <w:r>
              <w:rPr>
                <w:sz w:val="21"/>
                <w:szCs w:val="21"/>
              </w:rPr>
              <w:t>LC</w:t>
            </w:r>
            <w:r>
              <w:rPr>
                <w:sz w:val="21"/>
                <w:szCs w:val="21"/>
                <w:vertAlign w:val="subscript"/>
              </w:rPr>
              <w:t>50</w:t>
            </w:r>
            <w:r>
              <w:rPr>
                <w:sz w:val="21"/>
                <w:szCs w:val="21"/>
              </w:rPr>
              <w:t>：1044mg/m</w:t>
            </w:r>
            <w:r>
              <w:rPr>
                <w:sz w:val="21"/>
                <w:szCs w:val="21"/>
                <w:vertAlign w:val="superscript"/>
              </w:rPr>
              <w:t>3</w:t>
            </w:r>
            <w:r>
              <w:rPr>
                <w:sz w:val="21"/>
                <w:szCs w:val="21"/>
              </w:rPr>
              <w:t xml:space="preserve"> (大鼠吸入)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1" w:hRule="atLeast"/>
          <w:jc w:val="center"/>
        </w:trPr>
        <w:tc>
          <w:tcPr>
            <w:tcW w:w="318" w:type="pct"/>
            <w:vAlign w:val="center"/>
          </w:tcPr>
          <w:p>
            <w:pPr>
              <w:autoSpaceDE w:val="0"/>
              <w:autoSpaceDN w:val="0"/>
              <w:adjustRightInd w:val="0"/>
              <w:snapToGrid w:val="0"/>
              <w:spacing w:before="40" w:after="40"/>
              <w:jc w:val="center"/>
              <w:rPr>
                <w:sz w:val="21"/>
                <w:szCs w:val="21"/>
              </w:rPr>
            </w:pPr>
            <w:r>
              <w:rPr>
                <w:sz w:val="21"/>
                <w:szCs w:val="21"/>
              </w:rPr>
              <w:t>急救</w:t>
            </w:r>
          </w:p>
        </w:tc>
        <w:tc>
          <w:tcPr>
            <w:tcW w:w="4681" w:type="pct"/>
            <w:gridSpan w:val="4"/>
          </w:tcPr>
          <w:p>
            <w:pPr>
              <w:autoSpaceDE w:val="0"/>
              <w:autoSpaceDN w:val="0"/>
              <w:adjustRightInd w:val="0"/>
              <w:snapToGrid w:val="0"/>
              <w:spacing w:before="40" w:after="40"/>
              <w:rPr>
                <w:sz w:val="21"/>
                <w:szCs w:val="21"/>
              </w:rPr>
            </w:pPr>
            <w:r>
              <w:rPr>
                <w:sz w:val="21"/>
                <w:szCs w:val="21"/>
              </w:rPr>
              <w:t>吸入：迅速脱离现场至空气新鲜处，保持呼吸道通畅。如呼吸困难，给输氧。如呼吸停止，立即进行人工呼吸。就医。</w:t>
            </w:r>
          </w:p>
        </w:tc>
      </w:tr>
    </w:tbl>
    <w:p>
      <w:pPr>
        <w:pStyle w:val="2"/>
        <w:ind w:left="480" w:firstLine="480"/>
      </w:pPr>
    </w:p>
    <w:p>
      <w:pPr>
        <w:pStyle w:val="31"/>
      </w:pPr>
      <w:r>
        <w:rPr>
          <w:rFonts w:hint="eastAsia"/>
        </w:rPr>
        <w:t>表7.1-5  天然气危险特性识别</w:t>
      </w:r>
    </w:p>
    <w:tbl>
      <w:tblPr>
        <w:tblStyle w:val="27"/>
        <w:tblW w:w="878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76"/>
        <w:gridCol w:w="1517"/>
        <w:gridCol w:w="1249"/>
        <w:gridCol w:w="256"/>
        <w:gridCol w:w="433"/>
        <w:gridCol w:w="1295"/>
        <w:gridCol w:w="725"/>
        <w:gridCol w:w="149"/>
        <w:gridCol w:w="2193"/>
        <w:gridCol w:w="49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标识</w:t>
            </w:r>
          </w:p>
        </w:tc>
        <w:tc>
          <w:tcPr>
            <w:tcW w:w="5623" w:type="dxa"/>
            <w:gridSpan w:val="7"/>
            <w:vAlign w:val="center"/>
          </w:tcPr>
          <w:p>
            <w:pPr>
              <w:pStyle w:val="33"/>
            </w:pPr>
            <w:r>
              <w:t>中文名：天然气、油田气、液化天然气</w:t>
            </w:r>
          </w:p>
        </w:tc>
        <w:tc>
          <w:tcPr>
            <w:tcW w:w="2687" w:type="dxa"/>
            <w:gridSpan w:val="2"/>
            <w:vAlign w:val="center"/>
          </w:tcPr>
          <w:p>
            <w:pPr>
              <w:pStyle w:val="33"/>
            </w:pPr>
            <w:r>
              <w:t>危险货物编号：21007、21008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5623" w:type="dxa"/>
            <w:gridSpan w:val="7"/>
            <w:vAlign w:val="center"/>
          </w:tcPr>
          <w:p>
            <w:pPr>
              <w:pStyle w:val="33"/>
            </w:pPr>
            <w:r>
              <w:t>英文名：Natural</w:t>
            </w:r>
            <w:r>
              <w:rPr>
                <w:rFonts w:hint="eastAsia"/>
              </w:rPr>
              <w:t xml:space="preserve"> </w:t>
            </w:r>
            <w:r>
              <w:t>Gas，LNG</w:t>
            </w:r>
          </w:p>
        </w:tc>
        <w:tc>
          <w:tcPr>
            <w:tcW w:w="2687" w:type="dxa"/>
            <w:gridSpan w:val="2"/>
            <w:vAlign w:val="center"/>
          </w:tcPr>
          <w:p>
            <w:pPr>
              <w:pStyle w:val="33"/>
            </w:pPr>
            <w:r>
              <w:t>UN编号：1971、1927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3022" w:type="dxa"/>
            <w:gridSpan w:val="3"/>
            <w:vAlign w:val="center"/>
          </w:tcPr>
          <w:p>
            <w:pPr>
              <w:pStyle w:val="33"/>
            </w:pPr>
            <w:r>
              <w:t>分子式：无</w:t>
            </w:r>
          </w:p>
        </w:tc>
        <w:tc>
          <w:tcPr>
            <w:tcW w:w="2601" w:type="dxa"/>
            <w:gridSpan w:val="4"/>
            <w:vAlign w:val="center"/>
          </w:tcPr>
          <w:p>
            <w:pPr>
              <w:pStyle w:val="33"/>
            </w:pPr>
            <w:r>
              <w:t>分子量：无</w:t>
            </w:r>
          </w:p>
        </w:tc>
        <w:tc>
          <w:tcPr>
            <w:tcW w:w="2687" w:type="dxa"/>
            <w:gridSpan w:val="2"/>
            <w:vAlign w:val="center"/>
          </w:tcPr>
          <w:p>
            <w:pPr>
              <w:pStyle w:val="33"/>
            </w:pPr>
            <w:r>
              <w:t>CAS号：74—82—8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理化性质</w:t>
            </w:r>
          </w:p>
        </w:tc>
        <w:tc>
          <w:tcPr>
            <w:tcW w:w="1517" w:type="dxa"/>
            <w:vAlign w:val="center"/>
          </w:tcPr>
          <w:p>
            <w:pPr>
              <w:pStyle w:val="33"/>
            </w:pPr>
            <w:r>
              <w:t>外观与性状</w:t>
            </w:r>
          </w:p>
        </w:tc>
        <w:tc>
          <w:tcPr>
            <w:tcW w:w="6793" w:type="dxa"/>
            <w:gridSpan w:val="8"/>
            <w:vAlign w:val="center"/>
          </w:tcPr>
          <w:p>
            <w:pPr>
              <w:pStyle w:val="33"/>
            </w:pPr>
            <w:r>
              <w:t>无色、无臭气体（液）体。主要成分为含83%~99%甲烷、1%~13%乙烷、</w:t>
            </w:r>
          </w:p>
          <w:p>
            <w:pPr>
              <w:pStyle w:val="33"/>
            </w:pPr>
            <w:r>
              <w:t>0.1%~3%丙烷、0.2%~1.0%丁烷。</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熔点（℃）</w:t>
            </w:r>
          </w:p>
        </w:tc>
        <w:tc>
          <w:tcPr>
            <w:tcW w:w="1249" w:type="dxa"/>
            <w:vAlign w:val="center"/>
          </w:tcPr>
          <w:p>
            <w:pPr>
              <w:pStyle w:val="33"/>
            </w:pPr>
            <w:r>
              <w:t>-182.5</w:t>
            </w:r>
          </w:p>
        </w:tc>
        <w:tc>
          <w:tcPr>
            <w:tcW w:w="1984" w:type="dxa"/>
            <w:gridSpan w:val="3"/>
            <w:vAlign w:val="center"/>
          </w:tcPr>
          <w:p>
            <w:pPr>
              <w:pStyle w:val="33"/>
            </w:pPr>
            <w:r>
              <w:t>相对密度（水=1）</w:t>
            </w:r>
          </w:p>
        </w:tc>
        <w:tc>
          <w:tcPr>
            <w:tcW w:w="874" w:type="dxa"/>
            <w:gridSpan w:val="2"/>
            <w:vAlign w:val="center"/>
          </w:tcPr>
          <w:p>
            <w:pPr>
              <w:pStyle w:val="33"/>
            </w:pPr>
            <w:r>
              <w:t>0.42</w:t>
            </w:r>
          </w:p>
        </w:tc>
        <w:tc>
          <w:tcPr>
            <w:tcW w:w="2193" w:type="dxa"/>
            <w:vAlign w:val="center"/>
          </w:tcPr>
          <w:p>
            <w:pPr>
              <w:pStyle w:val="33"/>
            </w:pPr>
            <w:r>
              <w:t>相对密度（空气=1）</w:t>
            </w:r>
          </w:p>
        </w:tc>
        <w:tc>
          <w:tcPr>
            <w:tcW w:w="493" w:type="dxa"/>
            <w:vAlign w:val="center"/>
          </w:tcPr>
          <w:p>
            <w:pPr>
              <w:pStyle w:val="33"/>
            </w:pPr>
            <w:r>
              <w:t>0.55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沸点（℃）</w:t>
            </w:r>
          </w:p>
        </w:tc>
        <w:tc>
          <w:tcPr>
            <w:tcW w:w="1249" w:type="dxa"/>
            <w:vAlign w:val="center"/>
          </w:tcPr>
          <w:p>
            <w:pPr>
              <w:pStyle w:val="33"/>
            </w:pPr>
            <w:r>
              <w:t>-160</w:t>
            </w:r>
          </w:p>
        </w:tc>
        <w:tc>
          <w:tcPr>
            <w:tcW w:w="2858" w:type="dxa"/>
            <w:gridSpan w:val="5"/>
            <w:vAlign w:val="center"/>
          </w:tcPr>
          <w:p>
            <w:pPr>
              <w:pStyle w:val="33"/>
            </w:pPr>
            <w:r>
              <w:t>饱和蒸气压（kPa）</w:t>
            </w:r>
          </w:p>
        </w:tc>
        <w:tc>
          <w:tcPr>
            <w:tcW w:w="2686" w:type="dxa"/>
            <w:gridSpan w:val="2"/>
            <w:vAlign w:val="center"/>
          </w:tcPr>
          <w:p>
            <w:pPr>
              <w:pStyle w:val="33"/>
            </w:pPr>
            <w:r>
              <w:t>53.32（-168.8℃）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溶解性</w:t>
            </w:r>
          </w:p>
        </w:tc>
        <w:tc>
          <w:tcPr>
            <w:tcW w:w="6793" w:type="dxa"/>
            <w:gridSpan w:val="8"/>
            <w:vAlign w:val="center"/>
          </w:tcPr>
          <w:p>
            <w:pPr>
              <w:pStyle w:val="33"/>
            </w:pPr>
            <w:r>
              <w:t>溶于水、溶于醇、乙醚</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毒性及健康危害</w:t>
            </w:r>
          </w:p>
        </w:tc>
        <w:tc>
          <w:tcPr>
            <w:tcW w:w="1517" w:type="dxa"/>
            <w:vAlign w:val="center"/>
          </w:tcPr>
          <w:p>
            <w:pPr>
              <w:pStyle w:val="33"/>
            </w:pPr>
            <w:r>
              <w:t>接触限值</w:t>
            </w:r>
          </w:p>
        </w:tc>
        <w:tc>
          <w:tcPr>
            <w:tcW w:w="6793" w:type="dxa"/>
            <w:gridSpan w:val="8"/>
            <w:vAlign w:val="center"/>
          </w:tcPr>
          <w:p>
            <w:pPr>
              <w:pStyle w:val="33"/>
            </w:pPr>
            <w:r>
              <w:t>接触限值：中国：未制订标准。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健康危害</w:t>
            </w:r>
          </w:p>
        </w:tc>
        <w:tc>
          <w:tcPr>
            <w:tcW w:w="6793" w:type="dxa"/>
            <w:gridSpan w:val="8"/>
            <w:vAlign w:val="center"/>
          </w:tcPr>
          <w:p>
            <w:pPr>
              <w:pStyle w:val="33"/>
            </w:pPr>
            <w:r>
              <w:t>急性中毒时，可有头昏、头痛、呕吐、乏力甚至昏迷病程中尚可出现精神症状，步态不稳，昏迷过程久者，醒后可有运动性失语及偏瘫，L期接触天然气者，可出现神经衰弱综合症。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急救方法</w:t>
            </w:r>
          </w:p>
        </w:tc>
        <w:tc>
          <w:tcPr>
            <w:tcW w:w="6793" w:type="dxa"/>
            <w:gridSpan w:val="8"/>
            <w:vAlign w:val="center"/>
          </w:tcPr>
          <w:p>
            <w:pPr>
              <w:pStyle w:val="33"/>
            </w:pPr>
            <w:r>
              <w:t>吸入：脱离有毒环境，至空气新鲜处，给氧，对症治疗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燃烧爆炸危险性</w:t>
            </w:r>
          </w:p>
        </w:tc>
        <w:tc>
          <w:tcPr>
            <w:tcW w:w="1517" w:type="dxa"/>
            <w:vAlign w:val="center"/>
          </w:tcPr>
          <w:p>
            <w:pPr>
              <w:pStyle w:val="33"/>
            </w:pPr>
            <w:r>
              <w:t>燃烧性</w:t>
            </w:r>
          </w:p>
        </w:tc>
        <w:tc>
          <w:tcPr>
            <w:tcW w:w="1938" w:type="dxa"/>
            <w:gridSpan w:val="3"/>
            <w:vAlign w:val="center"/>
          </w:tcPr>
          <w:p>
            <w:pPr>
              <w:pStyle w:val="33"/>
            </w:pPr>
            <w:r>
              <w:t>易燃，具窒息性</w:t>
            </w:r>
          </w:p>
        </w:tc>
        <w:tc>
          <w:tcPr>
            <w:tcW w:w="2020" w:type="dxa"/>
            <w:gridSpan w:val="2"/>
            <w:vAlign w:val="center"/>
          </w:tcPr>
          <w:p>
            <w:pPr>
              <w:pStyle w:val="33"/>
            </w:pPr>
            <w:r>
              <w:t>燃烧分解物</w:t>
            </w:r>
          </w:p>
        </w:tc>
        <w:tc>
          <w:tcPr>
            <w:tcW w:w="2835" w:type="dxa"/>
            <w:gridSpan w:val="3"/>
            <w:vAlign w:val="center"/>
          </w:tcPr>
          <w:p>
            <w:pPr>
              <w:pStyle w:val="33"/>
            </w:pPr>
            <w:r>
              <w:t>一氧化碳、二氧化碳。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闪点（℃）</w:t>
            </w:r>
          </w:p>
        </w:tc>
        <w:tc>
          <w:tcPr>
            <w:tcW w:w="1938" w:type="dxa"/>
            <w:gridSpan w:val="3"/>
            <w:vAlign w:val="center"/>
          </w:tcPr>
          <w:p>
            <w:pPr>
              <w:pStyle w:val="33"/>
            </w:pPr>
            <w:r>
              <w:t>85（37%）</w:t>
            </w:r>
          </w:p>
        </w:tc>
        <w:tc>
          <w:tcPr>
            <w:tcW w:w="2020" w:type="dxa"/>
            <w:gridSpan w:val="2"/>
            <w:vAlign w:val="center"/>
          </w:tcPr>
          <w:p>
            <w:pPr>
              <w:pStyle w:val="33"/>
            </w:pPr>
            <w:r>
              <w:t>爆炸上限（v%）</w:t>
            </w:r>
          </w:p>
        </w:tc>
        <w:tc>
          <w:tcPr>
            <w:tcW w:w="2835" w:type="dxa"/>
            <w:gridSpan w:val="3"/>
            <w:vAlign w:val="center"/>
          </w:tcPr>
          <w:p>
            <w:pPr>
              <w:pStyle w:val="33"/>
            </w:pPr>
            <w:r>
              <w:t>5.3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引燃温度（℃）</w:t>
            </w:r>
          </w:p>
        </w:tc>
        <w:tc>
          <w:tcPr>
            <w:tcW w:w="1938" w:type="dxa"/>
            <w:gridSpan w:val="3"/>
            <w:vAlign w:val="center"/>
          </w:tcPr>
          <w:p>
            <w:pPr>
              <w:pStyle w:val="33"/>
            </w:pPr>
            <w:r>
              <w:t>538</w:t>
            </w:r>
          </w:p>
        </w:tc>
        <w:tc>
          <w:tcPr>
            <w:tcW w:w="2020" w:type="dxa"/>
            <w:gridSpan w:val="2"/>
            <w:vAlign w:val="center"/>
          </w:tcPr>
          <w:p>
            <w:pPr>
              <w:pStyle w:val="33"/>
            </w:pPr>
            <w:r>
              <w:t>爆炸下限（v%）</w:t>
            </w:r>
          </w:p>
        </w:tc>
        <w:tc>
          <w:tcPr>
            <w:tcW w:w="2835" w:type="dxa"/>
            <w:gridSpan w:val="3"/>
            <w:vAlign w:val="center"/>
          </w:tcPr>
          <w:p>
            <w:pPr>
              <w:pStyle w:val="33"/>
            </w:pPr>
            <w:r>
              <w:t>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危险特性</w:t>
            </w:r>
          </w:p>
        </w:tc>
        <w:tc>
          <w:tcPr>
            <w:tcW w:w="6793" w:type="dxa"/>
            <w:gridSpan w:val="8"/>
            <w:vAlign w:val="center"/>
          </w:tcPr>
          <w:p>
            <w:pPr>
              <w:pStyle w:val="33"/>
            </w:pPr>
            <w:r>
              <w:t>与空气混合能形成爆炸性混合物，遇热源和明火极易燃烧爆炸。与氟、氯等接触会发生剧烈的化学反应。其蒸气比空气重，能在较低处扩散到相当远的地方，遇明火引着回燃，若遇高热，容器内压增大，有开裂和爆炸危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117" w:hRule="atLeast"/>
          <w:jc w:val="center"/>
        </w:trPr>
        <w:tc>
          <w:tcPr>
            <w:tcW w:w="477" w:type="dxa"/>
            <w:vMerge w:val="continue"/>
            <w:vAlign w:val="center"/>
          </w:tcPr>
          <w:p>
            <w:pPr>
              <w:pStyle w:val="33"/>
            </w:pPr>
          </w:p>
        </w:tc>
        <w:tc>
          <w:tcPr>
            <w:tcW w:w="1517" w:type="dxa"/>
            <w:vAlign w:val="center"/>
          </w:tcPr>
          <w:p>
            <w:pPr>
              <w:pStyle w:val="33"/>
            </w:pPr>
            <w:r>
              <w:t>储运条件</w:t>
            </w:r>
          </w:p>
          <w:p>
            <w:pPr>
              <w:pStyle w:val="33"/>
            </w:pPr>
            <w:r>
              <w:t>与泄漏处理</w:t>
            </w:r>
          </w:p>
        </w:tc>
        <w:tc>
          <w:tcPr>
            <w:tcW w:w="6793" w:type="dxa"/>
            <w:gridSpan w:val="8"/>
            <w:vAlign w:val="center"/>
          </w:tcPr>
          <w:p>
            <w:pPr>
              <w:pStyle w:val="33"/>
            </w:pPr>
            <w:r>
              <w:t>储运条件：储存于阴凉、通风的库房。远离火源、热源。库温不宜超过30℃。应与氧化剂、氯气分开放，切忌混储。采用防爆型照明、通风设施。禁止使用易产生火花</w:t>
            </w:r>
            <w:r>
              <w:rPr>
                <w:rFonts w:hint="eastAsia"/>
                <w:lang w:eastAsia="zh-CN"/>
              </w:rPr>
              <w:t>的</w:t>
            </w:r>
            <w:r>
              <w:t>机械设备和工具。在传送过程中，钢瓶的容器必须接地和跨接，防止产生静电。搬运时轻装轻卸，防止钢瓶及附件破损。储区应备有防泄漏的专门仪器和应急处理设备。配备相应品种和数量</w:t>
            </w:r>
            <w:r>
              <w:rPr>
                <w:rFonts w:hint="eastAsia"/>
                <w:lang w:eastAsia="zh-CN"/>
              </w:rPr>
              <w:t>的</w:t>
            </w:r>
            <w:r>
              <w:t>消防器材。罐储时要有防火防爆技术措施。灌装时应注意流速（不超过3m/s），且又接地装置，防止静电积聚。搬运时要轻装轻卸，防止包装及容器损坏。</w:t>
            </w:r>
          </w:p>
          <w:p>
            <w:pPr>
              <w:pStyle w:val="33"/>
            </w:pPr>
            <w:r>
              <w:t>泄漏处理：迅速撤离</w:t>
            </w:r>
            <w:r>
              <w:rPr>
                <w:rFonts w:hint="eastAsia"/>
              </w:rPr>
              <w:t>泄漏</w:t>
            </w:r>
            <w:r>
              <w:t>污染区人员至上风处，并进行隔离，严格限制出入。切断火源。建议应急处理人员带自给正压式呼吸器，穿防静电工作服。不要直接接触</w:t>
            </w:r>
            <w:r>
              <w:rPr>
                <w:rFonts w:hint="eastAsia"/>
              </w:rPr>
              <w:t>泄漏</w:t>
            </w:r>
            <w:r>
              <w:t>物，尽可能切断泄漏源。合理通风，加速扩散。</w:t>
            </w:r>
            <w:r>
              <w:rPr>
                <w:rFonts w:hint="eastAsia"/>
              </w:rPr>
              <w:t>泄漏</w:t>
            </w:r>
            <w:r>
              <w:t>的液体如未燃着，可用水喷淋使</w:t>
            </w:r>
            <w:r>
              <w:rPr>
                <w:rFonts w:hint="eastAsia"/>
              </w:rPr>
              <w:t>泄漏</w:t>
            </w:r>
            <w:r>
              <w:t>的液体蒸发、溶解，但蒸发速度要加以控制，不可将固体冰晶射至液体</w:t>
            </w:r>
            <w:r>
              <w:rPr>
                <w:rFonts w:hint="eastAsia"/>
                <w:lang w:eastAsia="zh-CN"/>
              </w:rPr>
              <w:t>的</w:t>
            </w:r>
            <w:r>
              <w:t>天然气上。构筑围低或挖坑收容产生的大量废水。如有可能，将漏出气用排风机送至空旷地方或者装设适当碰头烧掉。也可以将漏气</w:t>
            </w:r>
            <w:r>
              <w:rPr>
                <w:rFonts w:hint="eastAsia"/>
                <w:lang w:eastAsia="zh-CN"/>
              </w:rPr>
              <w:t>的</w:t>
            </w:r>
            <w:r>
              <w:t>容器移至空旷处，注意通风。漏气容器要妥善处理，修复、检验后再用。如果液化天然气已经被引燃，灭火方法参照氢气。</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10" w:hRule="atLeast"/>
          <w:jc w:val="center"/>
        </w:trPr>
        <w:tc>
          <w:tcPr>
            <w:tcW w:w="477" w:type="dxa"/>
            <w:vMerge w:val="continue"/>
            <w:vAlign w:val="center"/>
          </w:tcPr>
          <w:p>
            <w:pPr>
              <w:pStyle w:val="33"/>
            </w:pPr>
          </w:p>
        </w:tc>
        <w:tc>
          <w:tcPr>
            <w:tcW w:w="1517" w:type="dxa"/>
            <w:vAlign w:val="center"/>
          </w:tcPr>
          <w:p>
            <w:pPr>
              <w:pStyle w:val="33"/>
            </w:pPr>
            <w:r>
              <w:t>灭火方法</w:t>
            </w:r>
          </w:p>
        </w:tc>
        <w:tc>
          <w:tcPr>
            <w:tcW w:w="6793" w:type="dxa"/>
            <w:gridSpan w:val="8"/>
            <w:vAlign w:val="center"/>
          </w:tcPr>
          <w:p>
            <w:pPr>
              <w:pStyle w:val="33"/>
            </w:pPr>
            <w:r>
              <w:t>泄漏出的液体如未燃着，可用水喷淋驱散气体，防止引燃着火，最好用水喷淋泄漏液体迅速蒸发，川碳酸氢钠、碳酸氢钾、磷酸二氢铵等化学干粉，二氧化碳或卤代烃等灭火</w:t>
            </w:r>
          </w:p>
        </w:tc>
      </w:tr>
    </w:tbl>
    <w:p>
      <w:pPr>
        <w:pStyle w:val="31"/>
      </w:pPr>
      <w:r>
        <w:t>表</w:t>
      </w:r>
      <w:r>
        <w:rPr>
          <w:rFonts w:hint="eastAsia"/>
        </w:rPr>
        <w:t xml:space="preserve">7.1-6 </w:t>
      </w:r>
      <w:r>
        <w:t xml:space="preserve"> 丙烷</w:t>
      </w:r>
      <w:r>
        <w:rPr>
          <w:rFonts w:hint="eastAsia"/>
        </w:rPr>
        <w:t>（液化石油气）</w:t>
      </w:r>
      <w:r>
        <w:t>的理化性质及危险特性</w:t>
      </w:r>
    </w:p>
    <w:tbl>
      <w:tblPr>
        <w:tblStyle w:val="27"/>
        <w:tblW w:w="4999"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46"/>
        <w:gridCol w:w="1526"/>
        <w:gridCol w:w="1270"/>
        <w:gridCol w:w="149"/>
        <w:gridCol w:w="183"/>
        <w:gridCol w:w="967"/>
        <w:gridCol w:w="684"/>
        <w:gridCol w:w="282"/>
        <w:gridCol w:w="388"/>
        <w:gridCol w:w="1117"/>
        <w:gridCol w:w="883"/>
        <w:gridCol w:w="625"/>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标识</w:t>
            </w:r>
          </w:p>
        </w:tc>
        <w:tc>
          <w:tcPr>
            <w:tcW w:w="3202" w:type="pct"/>
            <w:gridSpan w:val="8"/>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中文名：丙烷</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危险货物编号：</w:t>
            </w:r>
            <w:r>
              <w:rPr>
                <w:sz w:val="21"/>
                <w:szCs w:val="21"/>
              </w:rPr>
              <w:t>21011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3202" w:type="pct"/>
            <w:gridSpan w:val="8"/>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英文名</w:t>
            </w:r>
            <w:r>
              <w:rPr>
                <w:sz w:val="21"/>
                <w:szCs w:val="21"/>
              </w:rPr>
              <w:t>propane</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UN编号：1978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1642"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ind w:left="920" w:hanging="920" w:hangingChars="400"/>
              <w:rPr>
                <w:spacing w:val="10"/>
                <w:sz w:val="21"/>
                <w:szCs w:val="21"/>
              </w:rPr>
            </w:pPr>
            <w:r>
              <w:rPr>
                <w:spacing w:val="10"/>
                <w:sz w:val="21"/>
                <w:szCs w:val="21"/>
              </w:rPr>
              <w:t>分子式：</w:t>
            </w:r>
            <w:r>
              <w:rPr>
                <w:sz w:val="21"/>
                <w:szCs w:val="21"/>
              </w:rPr>
              <w:t>C</w:t>
            </w:r>
            <w:r>
              <w:rPr>
                <w:sz w:val="21"/>
                <w:szCs w:val="21"/>
                <w:vertAlign w:val="subscript"/>
              </w:rPr>
              <w:t>3</w:t>
            </w:r>
            <w:r>
              <w:rPr>
                <w:sz w:val="21"/>
                <w:szCs w:val="21"/>
              </w:rPr>
              <w:t>H</w:t>
            </w:r>
            <w:r>
              <w:rPr>
                <w:sz w:val="21"/>
                <w:szCs w:val="21"/>
                <w:vertAlign w:val="subscript"/>
              </w:rPr>
              <w:t>8</w:t>
            </w:r>
          </w:p>
        </w:tc>
        <w:tc>
          <w:tcPr>
            <w:tcW w:w="1559" w:type="pct"/>
            <w:gridSpan w:val="6"/>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分子量：44.10</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CAS号：</w:t>
            </w:r>
            <w:r>
              <w:rPr>
                <w:sz w:val="21"/>
                <w:szCs w:val="21"/>
              </w:rPr>
              <w:t>74-98-6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理化性质</w:t>
            </w: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外观与性状</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z w:val="21"/>
                <w:szCs w:val="21"/>
              </w:rPr>
              <w:t>无色气体，纯品无臭。</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熔点（℃）</w:t>
            </w:r>
          </w:p>
        </w:tc>
        <w:tc>
          <w:tcPr>
            <w:tcW w:w="834"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z w:val="21"/>
                <w:szCs w:val="21"/>
              </w:rPr>
              <w:t>-187.6</w:t>
            </w:r>
          </w:p>
        </w:tc>
        <w:tc>
          <w:tcPr>
            <w:tcW w:w="1078"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相对密度(水=1)</w:t>
            </w:r>
          </w:p>
        </w:tc>
        <w:tc>
          <w:tcPr>
            <w:tcW w:w="392"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z w:val="21"/>
                <w:szCs w:val="21"/>
              </w:rPr>
              <w:t>0.58</w:t>
            </w:r>
          </w:p>
        </w:tc>
        <w:tc>
          <w:tcPr>
            <w:tcW w:w="1175"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相对密度(空气=1)</w:t>
            </w:r>
          </w:p>
        </w:tc>
        <w:tc>
          <w:tcPr>
            <w:tcW w:w="363"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1.56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沸点（℃）</w:t>
            </w:r>
          </w:p>
        </w:tc>
        <w:tc>
          <w:tcPr>
            <w:tcW w:w="834"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-42.1</w:t>
            </w:r>
          </w:p>
        </w:tc>
        <w:tc>
          <w:tcPr>
            <w:tcW w:w="1471" w:type="pct"/>
            <w:gridSpan w:val="5"/>
            <w:tcBorders>
              <w:top w:val="single" w:color="auto" w:sz="6" w:space="0"/>
              <w:left w:val="single" w:color="auto" w:sz="6" w:space="0"/>
              <w:bottom w:val="single" w:color="auto" w:sz="6" w:space="0"/>
              <w:right w:val="single" w:color="auto" w:sz="6" w:space="0"/>
            </w:tcBorders>
            <w:vAlign w:val="center"/>
          </w:tcPr>
          <w:p>
            <w:pPr>
              <w:spacing w:line="320" w:lineRule="exact"/>
              <w:ind w:left="-40"/>
              <w:jc w:val="center"/>
              <w:rPr>
                <w:spacing w:val="10"/>
                <w:sz w:val="21"/>
                <w:szCs w:val="21"/>
              </w:rPr>
            </w:pPr>
            <w:r>
              <w:rPr>
                <w:spacing w:val="10"/>
                <w:sz w:val="21"/>
                <w:szCs w:val="21"/>
              </w:rPr>
              <w:t>饱和蒸气压（kPa）</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53.32/</w:t>
            </w:r>
            <w:r>
              <w:rPr>
                <w:sz w:val="21"/>
                <w:szCs w:val="21"/>
              </w:rPr>
              <w:t xml:space="preserve"> -44.5℃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临界温度（℃）</w:t>
            </w:r>
          </w:p>
        </w:tc>
        <w:tc>
          <w:tcPr>
            <w:tcW w:w="834"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kern w:val="0"/>
                <w:sz w:val="21"/>
                <w:szCs w:val="21"/>
              </w:rPr>
              <w:t>96.8</w:t>
            </w:r>
          </w:p>
        </w:tc>
        <w:tc>
          <w:tcPr>
            <w:tcW w:w="1471" w:type="pct"/>
            <w:gridSpan w:val="5"/>
            <w:tcBorders>
              <w:top w:val="single" w:color="auto" w:sz="6" w:space="0"/>
              <w:left w:val="single" w:color="auto" w:sz="6" w:space="0"/>
              <w:bottom w:val="single" w:color="auto" w:sz="6" w:space="0"/>
              <w:right w:val="single" w:color="auto" w:sz="6" w:space="0"/>
            </w:tcBorders>
            <w:vAlign w:val="center"/>
          </w:tcPr>
          <w:p>
            <w:pPr>
              <w:spacing w:line="320" w:lineRule="exact"/>
              <w:ind w:left="-40"/>
              <w:jc w:val="center"/>
              <w:rPr>
                <w:spacing w:val="10"/>
                <w:sz w:val="21"/>
                <w:szCs w:val="21"/>
              </w:rPr>
            </w:pPr>
            <w:r>
              <w:rPr>
                <w:spacing w:val="10"/>
                <w:sz w:val="21"/>
                <w:szCs w:val="21"/>
              </w:rPr>
              <w:t>临界压力（</w:t>
            </w:r>
            <w:r>
              <w:rPr>
                <w:kern w:val="0"/>
                <w:sz w:val="21"/>
                <w:szCs w:val="21"/>
              </w:rPr>
              <w:t>MPa</w:t>
            </w:r>
            <w:r>
              <w:rPr>
                <w:spacing w:val="10"/>
                <w:sz w:val="21"/>
                <w:szCs w:val="21"/>
              </w:rPr>
              <w:t>）</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ind w:left="355" w:firstLine="4"/>
              <w:rPr>
                <w:spacing w:val="10"/>
                <w:sz w:val="21"/>
                <w:szCs w:val="21"/>
                <w:vertAlign w:val="superscript"/>
              </w:rPr>
            </w:pPr>
            <w:r>
              <w:rPr>
                <w:kern w:val="0"/>
                <w:sz w:val="21"/>
                <w:szCs w:val="21"/>
              </w:rPr>
              <w:t>4.25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溶解性</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z w:val="21"/>
                <w:szCs w:val="21"/>
              </w:rPr>
              <w:t>微溶液于水，溶液于乙醇、乙醚。</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毒性及健康危害</w:t>
            </w:r>
          </w:p>
        </w:tc>
        <w:tc>
          <w:tcPr>
            <w:tcW w:w="896" w:type="pct"/>
            <w:tcBorders>
              <w:top w:val="single" w:color="auto" w:sz="6" w:space="0"/>
              <w:left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侵入途径</w:t>
            </w:r>
          </w:p>
        </w:tc>
        <w:tc>
          <w:tcPr>
            <w:tcW w:w="3845" w:type="pct"/>
            <w:gridSpan w:val="10"/>
            <w:tcBorders>
              <w:top w:val="single" w:color="auto" w:sz="6" w:space="0"/>
              <w:left w:val="single" w:color="auto" w:sz="6" w:space="0"/>
              <w:right w:val="single" w:color="auto" w:sz="4" w:space="0"/>
            </w:tcBorders>
            <w:vAlign w:val="center"/>
          </w:tcPr>
          <w:p>
            <w:pPr>
              <w:spacing w:line="320" w:lineRule="exact"/>
              <w:rPr>
                <w:spacing w:val="10"/>
                <w:sz w:val="21"/>
                <w:szCs w:val="21"/>
              </w:rPr>
            </w:pPr>
            <w:r>
              <w:rPr>
                <w:spacing w:val="10"/>
                <w:sz w:val="21"/>
                <w:szCs w:val="21"/>
              </w:rPr>
              <w:t>吸入。</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50"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毒性</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z w:val="21"/>
                <w:szCs w:val="21"/>
              </w:rPr>
            </w:pPr>
            <w:r>
              <w:rPr>
                <w:spacing w:val="10"/>
                <w:sz w:val="21"/>
                <w:szCs w:val="21"/>
              </w:rPr>
              <w:t xml:space="preserve"> LD</w:t>
            </w:r>
            <w:r>
              <w:rPr>
                <w:spacing w:val="10"/>
                <w:sz w:val="21"/>
                <w:szCs w:val="21"/>
                <w:vertAlign w:val="subscript"/>
              </w:rPr>
              <w:t>50</w:t>
            </w:r>
            <w:r>
              <w:rPr>
                <w:spacing w:val="10"/>
                <w:sz w:val="21"/>
                <w:szCs w:val="21"/>
              </w:rPr>
              <w:t>：</w:t>
            </w:r>
            <w:r>
              <w:rPr>
                <w:sz w:val="21"/>
                <w:szCs w:val="21"/>
              </w:rPr>
              <w:t>LD</w:t>
            </w:r>
            <w:r>
              <w:rPr>
                <w:sz w:val="21"/>
                <w:szCs w:val="21"/>
                <w:vertAlign w:val="subscript"/>
              </w:rPr>
              <w:t>50</w:t>
            </w:r>
            <w:r>
              <w:rPr>
                <w:sz w:val="21"/>
                <w:szCs w:val="21"/>
              </w:rPr>
              <w:t>5800mg/kg(大鼠经口)；20000mg/kg(兔经皮)</w:t>
            </w:r>
          </w:p>
          <w:p>
            <w:pPr>
              <w:spacing w:line="320" w:lineRule="exact"/>
              <w:rPr>
                <w:spacing w:val="10"/>
                <w:sz w:val="21"/>
                <w:szCs w:val="21"/>
              </w:rPr>
            </w:pPr>
            <w:r>
              <w:rPr>
                <w:spacing w:val="10"/>
                <w:sz w:val="21"/>
                <w:szCs w:val="21"/>
              </w:rPr>
              <w:t xml:space="preserve"> LC</w:t>
            </w:r>
            <w:r>
              <w:rPr>
                <w:spacing w:val="10"/>
                <w:sz w:val="21"/>
                <w:szCs w:val="21"/>
                <w:vertAlign w:val="subscript"/>
              </w:rPr>
              <w:t>50</w:t>
            </w:r>
            <w:r>
              <w:rPr>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77"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4" w:space="0"/>
              <w:right w:val="single" w:color="auto" w:sz="6" w:space="0"/>
            </w:tcBorders>
            <w:vAlign w:val="center"/>
          </w:tcPr>
          <w:p>
            <w:pPr>
              <w:spacing w:line="320" w:lineRule="exact"/>
              <w:jc w:val="center"/>
              <w:rPr>
                <w:spacing w:val="10"/>
                <w:sz w:val="21"/>
                <w:szCs w:val="21"/>
              </w:rPr>
            </w:pPr>
            <w:r>
              <w:rPr>
                <w:spacing w:val="10"/>
                <w:sz w:val="21"/>
                <w:szCs w:val="21"/>
              </w:rPr>
              <w:t>健康危害</w:t>
            </w:r>
          </w:p>
        </w:tc>
        <w:tc>
          <w:tcPr>
            <w:tcW w:w="3845" w:type="pct"/>
            <w:gridSpan w:val="10"/>
            <w:tcBorders>
              <w:top w:val="single" w:color="auto" w:sz="6" w:space="0"/>
              <w:left w:val="single" w:color="auto" w:sz="6" w:space="0"/>
              <w:bottom w:val="single" w:color="auto" w:sz="4" w:space="0"/>
              <w:right w:val="single" w:color="auto" w:sz="6" w:space="0"/>
            </w:tcBorders>
            <w:vAlign w:val="center"/>
          </w:tcPr>
          <w:p>
            <w:pPr>
              <w:spacing w:line="320" w:lineRule="exact"/>
              <w:rPr>
                <w:spacing w:val="10"/>
                <w:sz w:val="21"/>
                <w:szCs w:val="21"/>
              </w:rPr>
            </w:pPr>
            <w:r>
              <w:rPr>
                <w:kern w:val="0"/>
                <w:sz w:val="21"/>
                <w:szCs w:val="21"/>
              </w:rPr>
              <w:t>1％丙烷，对人无影响；10％以下的浓度，只引起轻度头晕；在较高浓度的丙烷、丁烷混合气体中毒时，有头痛、头晕、兴奋或嗜睡、恶心、呕吐、流涎、血压轻度降低、脉缓、神经反射减弱、无病理反射；严重者出现麻醉状态、意识丧失；有的发生继发性肺炎。</w:t>
            </w:r>
            <w:r>
              <w:rPr>
                <w:sz w:val="21"/>
                <w:szCs w:val="21"/>
              </w:rPr>
              <w:t>液态</w:t>
            </w:r>
            <w:r>
              <w:rPr>
                <w:kern w:val="0"/>
                <w:sz w:val="21"/>
                <w:szCs w:val="21"/>
              </w:rPr>
              <w:t>丙烷</w:t>
            </w:r>
            <w:r>
              <w:rPr>
                <w:sz w:val="21"/>
                <w:szCs w:val="21"/>
              </w:rPr>
              <w:t>可致皮肤冻伤。</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4"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急救方法</w:t>
            </w:r>
          </w:p>
        </w:tc>
        <w:tc>
          <w:tcPr>
            <w:tcW w:w="3845" w:type="pct"/>
            <w:gridSpan w:val="10"/>
            <w:tcBorders>
              <w:top w:val="single" w:color="auto" w:sz="4" w:space="0"/>
              <w:left w:val="single" w:color="auto" w:sz="6" w:space="0"/>
              <w:bottom w:val="single" w:color="auto" w:sz="6" w:space="0"/>
              <w:right w:val="single" w:color="auto" w:sz="6" w:space="0"/>
            </w:tcBorders>
            <w:vAlign w:val="center"/>
          </w:tcPr>
          <w:p>
            <w:pPr>
              <w:spacing w:line="320" w:lineRule="exact"/>
              <w:rPr>
                <w:spacing w:val="10"/>
                <w:sz w:val="21"/>
                <w:szCs w:val="21"/>
              </w:rPr>
            </w:pPr>
            <w:r>
              <w:rPr>
                <w:kern w:val="0"/>
                <w:sz w:val="21"/>
                <w:szCs w:val="21"/>
              </w:rPr>
              <w:t>脱去并隔离被污染的衣服和鞋。接触液化气体，接触部位用温水浸泡复温。</w:t>
            </w:r>
            <w:r>
              <w:rPr>
                <w:sz w:val="21"/>
                <w:szCs w:val="21"/>
              </w:rPr>
              <w:t>吸入：迅速脱离现场至空气新鲜处。保持呼吸道通畅。如呼吸困难，给输氧。如呼吸停止，立即进行人工呼吸。就医。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0"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燃烧爆炸危险性</w:t>
            </w: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燃烧性</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易燃</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燃烧分解物</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3"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闪点(℃)</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-104</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爆炸上限（v%）</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9.5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引燃温度(℃)</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450</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爆炸下限（v%）</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2.1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8"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建规火险分级</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甲</w:t>
            </w:r>
          </w:p>
        </w:tc>
        <w:tc>
          <w:tcPr>
            <w:tcW w:w="568"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稳定性</w:t>
            </w:r>
          </w:p>
        </w:tc>
        <w:tc>
          <w:tcPr>
            <w:tcW w:w="568" w:type="pct"/>
            <w:gridSpan w:val="2"/>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kern w:val="0"/>
                <w:sz w:val="21"/>
                <w:szCs w:val="21"/>
              </w:rPr>
              <w:t>稳定</w:t>
            </w:r>
          </w:p>
        </w:tc>
        <w:tc>
          <w:tcPr>
            <w:tcW w:w="882" w:type="pct"/>
            <w:gridSpan w:val="2"/>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聚合危害</w:t>
            </w:r>
          </w:p>
        </w:tc>
        <w:tc>
          <w:tcPr>
            <w:tcW w:w="884" w:type="pct"/>
            <w:gridSpan w:val="2"/>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kern w:val="0"/>
                <w:sz w:val="21"/>
                <w:szCs w:val="21"/>
              </w:rPr>
              <w:t>不能出现</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8"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禁忌物</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kern w:val="0"/>
                <w:sz w:val="21"/>
                <w:szCs w:val="21"/>
              </w:rPr>
              <w:t>强氧化剂、卤素。</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881"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危险特性</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00" w:lineRule="exact"/>
              <w:rPr>
                <w:spacing w:val="10"/>
                <w:sz w:val="21"/>
                <w:szCs w:val="21"/>
              </w:rPr>
            </w:pPr>
            <w:r>
              <w:rPr>
                <w:kern w:val="0"/>
                <w:sz w:val="21"/>
                <w:szCs w:val="21"/>
              </w:rPr>
              <w:t>与空气混合能形成爆炸性混合物，遇明火、高热能引起燃烧爆炸。其蒸气比空气重，能在较低处扩散到相当远的地方，遇火源引着回燃。若遇高热，容器内压增大，有开裂和爆炸的危险。液体能腐蚀某些塑料、涂料和橡胶。能积聚静电，引燃其蒸气。</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2"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储运条件</w:t>
            </w:r>
          </w:p>
          <w:p>
            <w:pPr>
              <w:spacing w:line="320" w:lineRule="exact"/>
              <w:jc w:val="center"/>
              <w:rPr>
                <w:spacing w:val="10"/>
                <w:sz w:val="21"/>
                <w:szCs w:val="21"/>
              </w:rPr>
            </w:pPr>
            <w:r>
              <w:rPr>
                <w:spacing w:val="10"/>
                <w:sz w:val="21"/>
                <w:szCs w:val="21"/>
              </w:rPr>
              <w:t>与泄漏处理</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b/>
                <w:spacing w:val="10"/>
                <w:sz w:val="21"/>
                <w:szCs w:val="21"/>
              </w:rPr>
              <w:t>储运条件</w:t>
            </w:r>
            <w:r>
              <w:rPr>
                <w:spacing w:val="10"/>
                <w:sz w:val="21"/>
                <w:szCs w:val="21"/>
              </w:rPr>
              <w:t>：储存于阴凉、通风良好的仓间内。远离火种、热源；防止阳光直射。应与氧气、压缩空气、氧化剂等分开存放。搬运时应轻装轻卸，防止钢瓶及附件破损。</w:t>
            </w:r>
            <w:r>
              <w:rPr>
                <w:b/>
                <w:spacing w:val="10"/>
                <w:sz w:val="21"/>
                <w:szCs w:val="21"/>
              </w:rPr>
              <w:t>泄漏处理</w:t>
            </w:r>
            <w:r>
              <w:rPr>
                <w:spacing w:val="10"/>
                <w:sz w:val="21"/>
                <w:szCs w:val="21"/>
              </w:rPr>
              <w:t>：</w:t>
            </w:r>
            <w:r>
              <w:rPr>
                <w:sz w:val="21"/>
                <w:szCs w:val="21"/>
              </w:rPr>
              <w:t>迅速撤离泄漏污染区人员至上风处，并进行隔离，严格限制出入。切断火源。建议应急处理人员戴自给正压式呼吸器，穿消防防护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1"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灭火方法</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kern w:val="0"/>
                <w:sz w:val="21"/>
                <w:szCs w:val="21"/>
              </w:rPr>
              <w:t>切断气源。若不能立即切断气源，则不允许熄灭正在燃烧的气体。喷水冷却容器，可能的话将容器从火场移至空旷处。雾状水、干粉、二氧化碳。如果该物质或被污染的流体进入水路，通知有潜在水体污染的下游用户，通知地方卫生、消防官员和污染控制部门。在安全防爆距离以外，使用雾状水冷却暴露的容器。如果容器遇明火或长时间暴露于高温下，立即撤离到安全区域。</w:t>
            </w:r>
          </w:p>
        </w:tc>
      </w:tr>
    </w:tbl>
    <w:p>
      <w:pPr>
        <w:pStyle w:val="7"/>
        <w:ind w:firstLine="480"/>
      </w:pPr>
      <w:r>
        <w:t>另外，项目产生的危险废物（</w:t>
      </w:r>
      <w:r>
        <w:rPr>
          <w:rFonts w:hint="eastAsia"/>
        </w:rPr>
        <w:t>废机油</w:t>
      </w:r>
      <w:r>
        <w:t>）具有</w:t>
      </w:r>
      <w:r>
        <w:rPr>
          <w:rFonts w:hint="eastAsia"/>
          <w:lang w:eastAsia="zh-CN"/>
        </w:rPr>
        <w:t>一定的危险</w:t>
      </w:r>
      <w:r>
        <w:t>特性，但项目危险废物暂存库按《危险废物贮存污染控制标准》（GB18597-2001）及其修改单要求进行选址、设计、建设和管理。</w:t>
      </w:r>
    </w:p>
    <w:p>
      <w:pPr>
        <w:pStyle w:val="8"/>
      </w:pPr>
      <w:r>
        <w:rPr>
          <w:rFonts w:hint="eastAsia"/>
        </w:rPr>
        <w:t>7.1.2环境敏感目标调查</w:t>
      </w:r>
    </w:p>
    <w:p>
      <w:pPr>
        <w:pStyle w:val="31"/>
      </w:pPr>
      <w:r>
        <w:rPr>
          <w:rFonts w:hint="eastAsia"/>
        </w:rPr>
        <w:t>表7.1-7  建设项目环境敏感特征表</w:t>
      </w:r>
    </w:p>
    <w:tbl>
      <w:tblPr>
        <w:tblStyle w:val="27"/>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084"/>
        <w:gridCol w:w="694"/>
        <w:gridCol w:w="907"/>
        <w:gridCol w:w="951"/>
        <w:gridCol w:w="948"/>
        <w:gridCol w:w="68"/>
        <w:gridCol w:w="1166"/>
        <w:gridCol w:w="89"/>
        <w:gridCol w:w="1434"/>
        <w:gridCol w:w="118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21" w:hRule="atLeast"/>
        </w:trPr>
        <w:tc>
          <w:tcPr>
            <w:tcW w:w="636" w:type="pct"/>
            <w:tcBorders>
              <w:right w:val="single" w:color="auto" w:sz="4" w:space="0"/>
            </w:tcBorders>
            <w:shd w:val="clear" w:color="000000" w:fill="FFFFFF"/>
            <w:vAlign w:val="center"/>
          </w:tcPr>
          <w:p>
            <w:pPr>
              <w:pStyle w:val="33"/>
            </w:pPr>
            <w:r>
              <w:t>类别</w:t>
            </w:r>
          </w:p>
        </w:tc>
        <w:tc>
          <w:tcPr>
            <w:tcW w:w="939" w:type="pct"/>
            <w:gridSpan w:val="2"/>
            <w:tcBorders>
              <w:left w:val="single" w:color="auto" w:sz="4" w:space="0"/>
            </w:tcBorders>
            <w:shd w:val="clear" w:color="000000" w:fill="FFFFFF"/>
            <w:vAlign w:val="center"/>
          </w:tcPr>
          <w:p>
            <w:pPr>
              <w:pStyle w:val="33"/>
            </w:pPr>
            <w:r>
              <w:t>名称</w:t>
            </w:r>
          </w:p>
        </w:tc>
        <w:tc>
          <w:tcPr>
            <w:tcW w:w="1114" w:type="pct"/>
            <w:gridSpan w:val="2"/>
            <w:tcBorders>
              <w:bottom w:val="single" w:color="auto" w:sz="2" w:space="0"/>
            </w:tcBorders>
            <w:shd w:val="clear" w:color="000000" w:fill="FFFFFF"/>
            <w:vAlign w:val="center"/>
          </w:tcPr>
          <w:p>
            <w:pPr>
              <w:pStyle w:val="33"/>
            </w:pPr>
            <w:r>
              <w:t>保护对象</w:t>
            </w:r>
          </w:p>
        </w:tc>
        <w:tc>
          <w:tcPr>
            <w:tcW w:w="776" w:type="pct"/>
            <w:gridSpan w:val="3"/>
            <w:shd w:val="clear" w:color="000000" w:fill="FFFFFF"/>
            <w:vAlign w:val="center"/>
          </w:tcPr>
          <w:p>
            <w:pPr>
              <w:pStyle w:val="33"/>
            </w:pPr>
            <w:r>
              <w:t>保护内容</w:t>
            </w:r>
          </w:p>
        </w:tc>
        <w:tc>
          <w:tcPr>
            <w:tcW w:w="841" w:type="pct"/>
            <w:shd w:val="clear" w:color="000000" w:fill="FFFFFF"/>
            <w:vAlign w:val="center"/>
          </w:tcPr>
          <w:p>
            <w:pPr>
              <w:pStyle w:val="33"/>
            </w:pPr>
            <w:r>
              <w:t>相对厂址方位</w:t>
            </w:r>
          </w:p>
        </w:tc>
        <w:tc>
          <w:tcPr>
            <w:tcW w:w="692" w:type="pct"/>
            <w:shd w:val="clear" w:color="000000" w:fill="FFFFFF"/>
            <w:vAlign w:val="center"/>
          </w:tcPr>
          <w:p>
            <w:pPr>
              <w:pStyle w:val="33"/>
            </w:pPr>
            <w:r>
              <w:t>相对距离/m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restart"/>
            <w:tcBorders>
              <w:right w:val="single" w:color="auto" w:sz="4" w:space="0"/>
            </w:tcBorders>
            <w:noWrap/>
            <w:vAlign w:val="center"/>
          </w:tcPr>
          <w:p>
            <w:pPr>
              <w:pStyle w:val="33"/>
            </w:pPr>
            <w:r>
              <w:t>环境空气</w:t>
            </w:r>
          </w:p>
        </w:tc>
        <w:tc>
          <w:tcPr>
            <w:tcW w:w="939" w:type="pct"/>
            <w:gridSpan w:val="2"/>
            <w:tcBorders>
              <w:left w:val="single" w:color="auto" w:sz="4" w:space="0"/>
            </w:tcBorders>
            <w:vAlign w:val="center"/>
          </w:tcPr>
          <w:p>
            <w:pPr>
              <w:pStyle w:val="33"/>
            </w:pPr>
            <w:r>
              <w:t>马鞍山</w:t>
            </w:r>
          </w:p>
        </w:tc>
        <w:tc>
          <w:tcPr>
            <w:tcW w:w="1114" w:type="pct"/>
            <w:gridSpan w:val="2"/>
            <w:noWrap/>
            <w:vAlign w:val="center"/>
          </w:tcPr>
          <w:p>
            <w:pPr>
              <w:pStyle w:val="33"/>
            </w:pPr>
            <w:r>
              <w:t>62户，226人</w:t>
            </w:r>
          </w:p>
        </w:tc>
        <w:tc>
          <w:tcPr>
            <w:tcW w:w="776" w:type="pct"/>
            <w:gridSpan w:val="3"/>
            <w:noWrap/>
          </w:tcPr>
          <w:p>
            <w:pPr>
              <w:pStyle w:val="33"/>
            </w:pPr>
            <w:r>
              <w:t>居民区</w:t>
            </w:r>
          </w:p>
        </w:tc>
        <w:tc>
          <w:tcPr>
            <w:tcW w:w="841" w:type="pct"/>
            <w:noWrap/>
            <w:vAlign w:val="center"/>
          </w:tcPr>
          <w:p>
            <w:pPr>
              <w:pStyle w:val="33"/>
            </w:pPr>
            <w:r>
              <w:t>北</w:t>
            </w:r>
          </w:p>
        </w:tc>
        <w:tc>
          <w:tcPr>
            <w:tcW w:w="692" w:type="pct"/>
            <w:noWrap/>
          </w:tcPr>
          <w:p>
            <w:pPr>
              <w:pStyle w:val="33"/>
            </w:pPr>
            <w:r>
              <w:rPr>
                <w:rFonts w:hint="eastAsia"/>
              </w:rPr>
              <w:t>2050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三家寨</w:t>
            </w:r>
          </w:p>
        </w:tc>
        <w:tc>
          <w:tcPr>
            <w:tcW w:w="1114" w:type="pct"/>
            <w:gridSpan w:val="2"/>
            <w:noWrap/>
            <w:vAlign w:val="center"/>
          </w:tcPr>
          <w:p>
            <w:pPr>
              <w:pStyle w:val="33"/>
            </w:pPr>
            <w:r>
              <w:t>95户，290人</w:t>
            </w:r>
          </w:p>
        </w:tc>
        <w:tc>
          <w:tcPr>
            <w:tcW w:w="776" w:type="pct"/>
            <w:gridSpan w:val="3"/>
            <w:noWrap/>
          </w:tcPr>
          <w:p>
            <w:pPr>
              <w:pStyle w:val="33"/>
            </w:pPr>
            <w:r>
              <w:t>居民区</w:t>
            </w:r>
          </w:p>
        </w:tc>
        <w:tc>
          <w:tcPr>
            <w:tcW w:w="841" w:type="pct"/>
            <w:noWrap/>
            <w:vAlign w:val="center"/>
          </w:tcPr>
          <w:p>
            <w:pPr>
              <w:pStyle w:val="33"/>
            </w:pPr>
            <w:r>
              <w:t>西北</w:t>
            </w:r>
          </w:p>
        </w:tc>
        <w:tc>
          <w:tcPr>
            <w:tcW w:w="692" w:type="pct"/>
            <w:noWrap/>
          </w:tcPr>
          <w:p>
            <w:pPr>
              <w:pStyle w:val="33"/>
            </w:pPr>
            <w:r>
              <w:t>19</w:t>
            </w:r>
            <w:r>
              <w:rPr>
                <w:rFonts w:hint="eastAsia"/>
              </w:rPr>
              <w:t>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碧云村</w:t>
            </w:r>
          </w:p>
        </w:tc>
        <w:tc>
          <w:tcPr>
            <w:tcW w:w="1114" w:type="pct"/>
            <w:gridSpan w:val="2"/>
            <w:noWrap/>
            <w:vAlign w:val="center"/>
          </w:tcPr>
          <w:p>
            <w:pPr>
              <w:pStyle w:val="33"/>
            </w:pPr>
            <w:r>
              <w:t>460户，1761人</w:t>
            </w:r>
          </w:p>
        </w:tc>
        <w:tc>
          <w:tcPr>
            <w:tcW w:w="776" w:type="pct"/>
            <w:gridSpan w:val="3"/>
            <w:noWrap/>
          </w:tcPr>
          <w:p>
            <w:pPr>
              <w:pStyle w:val="33"/>
            </w:pPr>
            <w:r>
              <w:t>居民区</w:t>
            </w:r>
          </w:p>
        </w:tc>
        <w:tc>
          <w:tcPr>
            <w:tcW w:w="841" w:type="pct"/>
            <w:noWrap/>
            <w:vAlign w:val="center"/>
          </w:tcPr>
          <w:p>
            <w:pPr>
              <w:pStyle w:val="33"/>
            </w:pPr>
            <w:r>
              <w:t>西</w:t>
            </w:r>
            <w:r>
              <w:rPr>
                <w:rFonts w:hint="eastAsia"/>
              </w:rPr>
              <w:t>北</w:t>
            </w:r>
          </w:p>
        </w:tc>
        <w:tc>
          <w:tcPr>
            <w:tcW w:w="692" w:type="pct"/>
            <w:noWrap/>
          </w:tcPr>
          <w:p>
            <w:pPr>
              <w:pStyle w:val="33"/>
            </w:pPr>
            <w:r>
              <w:rPr>
                <w:rFonts w:hint="eastAsia"/>
              </w:rPr>
              <w:t>1585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处暑</w:t>
            </w:r>
            <w:r>
              <w:rPr>
                <w:rFonts w:hint="eastAsia"/>
              </w:rPr>
              <w:t>（搬迁）</w:t>
            </w:r>
          </w:p>
        </w:tc>
        <w:tc>
          <w:tcPr>
            <w:tcW w:w="1114" w:type="pct"/>
            <w:gridSpan w:val="2"/>
            <w:noWrap/>
            <w:vAlign w:val="center"/>
          </w:tcPr>
          <w:p>
            <w:pPr>
              <w:pStyle w:val="33"/>
            </w:pPr>
            <w:r>
              <w:t>59户，164人</w:t>
            </w:r>
          </w:p>
        </w:tc>
        <w:tc>
          <w:tcPr>
            <w:tcW w:w="776" w:type="pct"/>
            <w:gridSpan w:val="3"/>
            <w:noWrap/>
          </w:tcPr>
          <w:p>
            <w:pPr>
              <w:pStyle w:val="33"/>
            </w:pPr>
            <w:r>
              <w:t>居民区</w:t>
            </w:r>
          </w:p>
        </w:tc>
        <w:tc>
          <w:tcPr>
            <w:tcW w:w="841" w:type="pct"/>
            <w:noWrap/>
            <w:vAlign w:val="center"/>
          </w:tcPr>
          <w:p>
            <w:pPr>
              <w:pStyle w:val="33"/>
            </w:pPr>
            <w:r>
              <w:rPr>
                <w:rFonts w:hint="eastAsia"/>
              </w:rPr>
              <w:t>西北</w:t>
            </w:r>
          </w:p>
        </w:tc>
        <w:tc>
          <w:tcPr>
            <w:tcW w:w="692" w:type="pct"/>
            <w:noWrap/>
          </w:tcPr>
          <w:p>
            <w:pPr>
              <w:pStyle w:val="33"/>
            </w:pPr>
            <w:r>
              <w:rPr>
                <w:rFonts w:hint="eastAsia"/>
              </w:rPr>
              <w:t>618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小听湖（搬迁）</w:t>
            </w:r>
          </w:p>
        </w:tc>
        <w:tc>
          <w:tcPr>
            <w:tcW w:w="1114" w:type="pct"/>
            <w:gridSpan w:val="2"/>
            <w:noWrap/>
            <w:vAlign w:val="center"/>
          </w:tcPr>
          <w:p>
            <w:pPr>
              <w:pStyle w:val="33"/>
            </w:pPr>
            <w:r>
              <w:t>75户，277人</w:t>
            </w:r>
          </w:p>
        </w:tc>
        <w:tc>
          <w:tcPr>
            <w:tcW w:w="776" w:type="pct"/>
            <w:gridSpan w:val="3"/>
            <w:noWrap/>
          </w:tcPr>
          <w:p>
            <w:pPr>
              <w:pStyle w:val="33"/>
            </w:pPr>
            <w:r>
              <w:t>居民区</w:t>
            </w:r>
          </w:p>
        </w:tc>
        <w:tc>
          <w:tcPr>
            <w:tcW w:w="841" w:type="pct"/>
            <w:noWrap/>
            <w:vAlign w:val="center"/>
          </w:tcPr>
          <w:p>
            <w:pPr>
              <w:pStyle w:val="33"/>
            </w:pPr>
            <w:r>
              <w:t>东</w:t>
            </w:r>
          </w:p>
        </w:tc>
        <w:tc>
          <w:tcPr>
            <w:tcW w:w="692" w:type="pct"/>
            <w:noWrap/>
          </w:tcPr>
          <w:p>
            <w:pPr>
              <w:pStyle w:val="33"/>
            </w:pPr>
            <w:r>
              <w:rPr>
                <w:rFonts w:hint="eastAsia"/>
              </w:rPr>
              <w:t>1837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布标</w:t>
            </w:r>
          </w:p>
        </w:tc>
        <w:tc>
          <w:tcPr>
            <w:tcW w:w="1114" w:type="pct"/>
            <w:gridSpan w:val="2"/>
            <w:noWrap/>
            <w:vAlign w:val="center"/>
          </w:tcPr>
          <w:p>
            <w:pPr>
              <w:pStyle w:val="33"/>
            </w:pPr>
            <w:r>
              <w:t>430户，1738人</w:t>
            </w:r>
          </w:p>
        </w:tc>
        <w:tc>
          <w:tcPr>
            <w:tcW w:w="776" w:type="pct"/>
            <w:gridSpan w:val="3"/>
            <w:noWrap/>
          </w:tcPr>
          <w:p>
            <w:pPr>
              <w:pStyle w:val="33"/>
            </w:pPr>
            <w:r>
              <w:t>居民区</w:t>
            </w:r>
          </w:p>
        </w:tc>
        <w:tc>
          <w:tcPr>
            <w:tcW w:w="841" w:type="pct"/>
            <w:noWrap/>
            <w:vAlign w:val="center"/>
          </w:tcPr>
          <w:p>
            <w:pPr>
              <w:pStyle w:val="33"/>
            </w:pPr>
            <w:r>
              <w:t>西南</w:t>
            </w:r>
          </w:p>
        </w:tc>
        <w:tc>
          <w:tcPr>
            <w:tcW w:w="692" w:type="pct"/>
            <w:noWrap/>
          </w:tcPr>
          <w:p>
            <w:pPr>
              <w:pStyle w:val="33"/>
              <w:rPr>
                <w:rFonts w:hint="eastAsia" w:eastAsia="宋体"/>
                <w:lang w:eastAsia="zh-CN"/>
              </w:rPr>
            </w:pPr>
            <w:r>
              <w:rPr>
                <w:rFonts w:hint="eastAsia"/>
              </w:rPr>
              <w:t>9</w:t>
            </w:r>
            <w:r>
              <w:rPr>
                <w:rFonts w:hint="eastAsia"/>
                <w:lang w:val="en-US" w:eastAsia="zh-CN"/>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柏布榔</w:t>
            </w:r>
          </w:p>
        </w:tc>
        <w:tc>
          <w:tcPr>
            <w:tcW w:w="1114" w:type="pct"/>
            <w:gridSpan w:val="2"/>
            <w:noWrap/>
            <w:vAlign w:val="center"/>
          </w:tcPr>
          <w:p>
            <w:pPr>
              <w:pStyle w:val="33"/>
            </w:pPr>
            <w:r>
              <w:t>40户，149人</w:t>
            </w:r>
          </w:p>
        </w:tc>
        <w:tc>
          <w:tcPr>
            <w:tcW w:w="776" w:type="pct"/>
            <w:gridSpan w:val="3"/>
            <w:noWrap/>
          </w:tcPr>
          <w:p>
            <w:pPr>
              <w:pStyle w:val="33"/>
            </w:pPr>
            <w:r>
              <w:t>居民区</w:t>
            </w:r>
          </w:p>
        </w:tc>
        <w:tc>
          <w:tcPr>
            <w:tcW w:w="841" w:type="pct"/>
            <w:noWrap/>
            <w:vAlign w:val="center"/>
          </w:tcPr>
          <w:p>
            <w:pPr>
              <w:pStyle w:val="33"/>
            </w:pPr>
            <w:r>
              <w:rPr>
                <w:rFonts w:hint="eastAsia"/>
              </w:rPr>
              <w:t>东</w:t>
            </w:r>
            <w:r>
              <w:t>南</w:t>
            </w:r>
          </w:p>
        </w:tc>
        <w:tc>
          <w:tcPr>
            <w:tcW w:w="692" w:type="pct"/>
            <w:noWrap/>
          </w:tcPr>
          <w:p>
            <w:pPr>
              <w:pStyle w:val="33"/>
            </w:pPr>
            <w:r>
              <w:rPr>
                <w:rFonts w:hint="eastAsia"/>
              </w:rPr>
              <w:t>940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3"/>
            </w:pPr>
            <w:r>
              <w:t>听湖村</w:t>
            </w:r>
          </w:p>
        </w:tc>
        <w:tc>
          <w:tcPr>
            <w:tcW w:w="1114" w:type="pct"/>
            <w:gridSpan w:val="2"/>
            <w:noWrap/>
            <w:vAlign w:val="center"/>
          </w:tcPr>
          <w:p>
            <w:pPr>
              <w:pStyle w:val="33"/>
            </w:pPr>
            <w:r>
              <w:t>134户，405人</w:t>
            </w:r>
          </w:p>
        </w:tc>
        <w:tc>
          <w:tcPr>
            <w:tcW w:w="776" w:type="pct"/>
            <w:gridSpan w:val="3"/>
            <w:noWrap/>
          </w:tcPr>
          <w:p>
            <w:pPr>
              <w:pStyle w:val="33"/>
            </w:pPr>
            <w:r>
              <w:t>居民区</w:t>
            </w:r>
          </w:p>
        </w:tc>
        <w:tc>
          <w:tcPr>
            <w:tcW w:w="841" w:type="pct"/>
            <w:noWrap/>
            <w:vAlign w:val="center"/>
          </w:tcPr>
          <w:p>
            <w:pPr>
              <w:pStyle w:val="33"/>
            </w:pPr>
            <w:r>
              <w:t>东南</w:t>
            </w:r>
          </w:p>
        </w:tc>
        <w:tc>
          <w:tcPr>
            <w:tcW w:w="692" w:type="pct"/>
            <w:noWrap/>
          </w:tcPr>
          <w:p>
            <w:pPr>
              <w:pStyle w:val="33"/>
            </w:pPr>
            <w:r>
              <w:t>20</w:t>
            </w:r>
            <w:r>
              <w:rPr>
                <w:rFonts w:hint="eastAsia"/>
              </w:rPr>
              <w:t>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永忠</w:t>
            </w:r>
          </w:p>
        </w:tc>
        <w:tc>
          <w:tcPr>
            <w:tcW w:w="1114" w:type="pct"/>
            <w:gridSpan w:val="2"/>
            <w:noWrap/>
            <w:vAlign w:val="center"/>
          </w:tcPr>
          <w:p>
            <w:pPr>
              <w:pStyle w:val="32"/>
              <w:bidi w:val="0"/>
              <w:rPr>
                <w:rFonts w:hint="eastAsia" w:ascii="Times New Roman" w:hAnsi="Times New Roman" w:eastAsia="宋体" w:cs="Times New Roman"/>
                <w:kern w:val="2"/>
                <w:sz w:val="21"/>
                <w:szCs w:val="24"/>
                <w:lang w:val="en-US" w:eastAsia="zh-CN" w:bidi="ar-SA"/>
              </w:rPr>
            </w:pPr>
            <w:r>
              <w:t>40户，149人</w:t>
            </w:r>
          </w:p>
        </w:tc>
        <w:tc>
          <w:tcPr>
            <w:tcW w:w="776" w:type="pct"/>
            <w:gridSpan w:val="3"/>
            <w:noWrap/>
          </w:tcPr>
          <w:p>
            <w:pPr>
              <w:pStyle w:val="33"/>
            </w:pPr>
            <w:r>
              <w:t>居民区</w:t>
            </w:r>
          </w:p>
        </w:tc>
        <w:tc>
          <w:tcPr>
            <w:tcW w:w="841"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西南</w:t>
            </w:r>
          </w:p>
        </w:tc>
        <w:tc>
          <w:tcPr>
            <w:tcW w:w="692" w:type="pct"/>
            <w:noWrap/>
            <w:vAlign w:val="center"/>
          </w:tcPr>
          <w:p>
            <w:pPr>
              <w:pStyle w:val="32"/>
              <w:bidi w:val="0"/>
              <w:rPr>
                <w:rFonts w:hint="default" w:ascii="Times New Roman" w:hAnsi="Times New Roman" w:eastAsia="宋体" w:cs="Times New Roman"/>
                <w:kern w:val="2"/>
                <w:sz w:val="21"/>
                <w:szCs w:val="24"/>
                <w:lang w:val="en-US" w:eastAsia="zh-CN" w:bidi="ar-SA"/>
              </w:rPr>
            </w:pPr>
            <w:r>
              <w:rPr>
                <w:rFonts w:hint="eastAsia"/>
                <w:lang w:val="en-US" w:eastAsia="zh-CN"/>
              </w:rPr>
              <w:t>2681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园区管委会</w:t>
            </w:r>
          </w:p>
        </w:tc>
        <w:tc>
          <w:tcPr>
            <w:tcW w:w="1114" w:type="pct"/>
            <w:gridSpan w:val="2"/>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100</w:t>
            </w:r>
            <w:r>
              <w:t>人</w:t>
            </w:r>
          </w:p>
        </w:tc>
        <w:tc>
          <w:tcPr>
            <w:tcW w:w="776" w:type="pct"/>
            <w:gridSpan w:val="3"/>
            <w:noWrap/>
          </w:tcPr>
          <w:p>
            <w:pPr>
              <w:pStyle w:val="33"/>
              <w:rPr>
                <w:rFonts w:hint="default" w:eastAsia="宋体"/>
                <w:lang w:val="en-US" w:eastAsia="zh-CN"/>
              </w:rPr>
            </w:pPr>
            <w:r>
              <w:rPr>
                <w:rFonts w:hint="eastAsia"/>
                <w:lang w:val="en-US" w:eastAsia="zh-CN"/>
              </w:rPr>
              <w:t>办公</w:t>
            </w:r>
          </w:p>
        </w:tc>
        <w:tc>
          <w:tcPr>
            <w:tcW w:w="841"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西南</w:t>
            </w:r>
          </w:p>
        </w:tc>
        <w:tc>
          <w:tcPr>
            <w:tcW w:w="692"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2389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0" w:hRule="atLeast"/>
        </w:trPr>
        <w:tc>
          <w:tcPr>
            <w:tcW w:w="636" w:type="pct"/>
            <w:vMerge w:val="continue"/>
            <w:tcBorders>
              <w:right w:val="single" w:color="auto" w:sz="4" w:space="0"/>
            </w:tcBorders>
            <w:noWrap/>
            <w:vAlign w:val="center"/>
          </w:tcPr>
          <w:p>
            <w:pPr>
              <w:pStyle w:val="33"/>
            </w:pPr>
          </w:p>
        </w:tc>
        <w:tc>
          <w:tcPr>
            <w:tcW w:w="939" w:type="pct"/>
            <w:gridSpan w:val="2"/>
            <w:tcBorders>
              <w:left w:val="single" w:color="auto" w:sz="4" w:space="0"/>
            </w:tcBorders>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rPr>
              <w:t>砚山职业高中</w:t>
            </w:r>
          </w:p>
        </w:tc>
        <w:tc>
          <w:tcPr>
            <w:tcW w:w="1114" w:type="pct"/>
            <w:gridSpan w:val="2"/>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师生、1300人</w:t>
            </w:r>
          </w:p>
        </w:tc>
        <w:tc>
          <w:tcPr>
            <w:tcW w:w="776" w:type="pct"/>
            <w:gridSpan w:val="3"/>
            <w:noWrap/>
          </w:tcPr>
          <w:p>
            <w:pPr>
              <w:pStyle w:val="33"/>
              <w:rPr>
                <w:rFonts w:hint="eastAsia" w:eastAsia="宋体"/>
                <w:lang w:eastAsia="zh-CN"/>
              </w:rPr>
            </w:pPr>
            <w:r>
              <w:rPr>
                <w:rFonts w:hint="eastAsia"/>
                <w:lang w:val="en-US" w:eastAsia="zh-CN"/>
              </w:rPr>
              <w:t>学校</w:t>
            </w:r>
          </w:p>
        </w:tc>
        <w:tc>
          <w:tcPr>
            <w:tcW w:w="841"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西南</w:t>
            </w:r>
          </w:p>
        </w:tc>
        <w:tc>
          <w:tcPr>
            <w:tcW w:w="692" w:type="pct"/>
            <w:noWrap/>
            <w:vAlign w:val="center"/>
          </w:tcPr>
          <w:p>
            <w:pPr>
              <w:pStyle w:val="32"/>
              <w:bidi w:val="0"/>
              <w:rPr>
                <w:rFonts w:hint="eastAsia" w:ascii="Times New Roman" w:hAnsi="Times New Roman" w:eastAsia="宋体" w:cs="Times New Roman"/>
                <w:kern w:val="2"/>
                <w:sz w:val="21"/>
                <w:szCs w:val="24"/>
                <w:lang w:val="en-US" w:eastAsia="zh-CN" w:bidi="ar-SA"/>
              </w:rPr>
            </w:pPr>
            <w:r>
              <w:rPr>
                <w:rFonts w:hint="eastAsia"/>
                <w:lang w:val="en-US" w:eastAsia="zh-CN"/>
              </w:rPr>
              <w:t>2967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restart"/>
            <w:vAlign w:val="center"/>
          </w:tcPr>
          <w:p>
            <w:pPr>
              <w:pStyle w:val="33"/>
            </w:pPr>
            <w:r>
              <w:t>地表水</w:t>
            </w:r>
          </w:p>
        </w:tc>
        <w:tc>
          <w:tcPr>
            <w:tcW w:w="4363" w:type="pct"/>
            <w:gridSpan w:val="9"/>
            <w:vAlign w:val="center"/>
          </w:tcPr>
          <w:p>
            <w:pPr>
              <w:pStyle w:val="33"/>
            </w:pPr>
            <w:r>
              <w:t>受纳水体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continue"/>
            <w:vAlign w:val="center"/>
          </w:tcPr>
          <w:p>
            <w:pPr>
              <w:pStyle w:val="33"/>
            </w:pPr>
          </w:p>
        </w:tc>
        <w:tc>
          <w:tcPr>
            <w:tcW w:w="407" w:type="pct"/>
            <w:vAlign w:val="center"/>
          </w:tcPr>
          <w:p>
            <w:pPr>
              <w:pStyle w:val="33"/>
            </w:pPr>
            <w:r>
              <w:t>序号</w:t>
            </w:r>
          </w:p>
        </w:tc>
        <w:tc>
          <w:tcPr>
            <w:tcW w:w="1090" w:type="pct"/>
            <w:gridSpan w:val="2"/>
            <w:vAlign w:val="center"/>
          </w:tcPr>
          <w:p>
            <w:pPr>
              <w:pStyle w:val="33"/>
            </w:pPr>
            <w:r>
              <w:t>受纳水体名称</w:t>
            </w:r>
          </w:p>
        </w:tc>
        <w:tc>
          <w:tcPr>
            <w:tcW w:w="1280" w:type="pct"/>
            <w:gridSpan w:val="3"/>
            <w:vAlign w:val="center"/>
          </w:tcPr>
          <w:p>
            <w:pPr>
              <w:pStyle w:val="33"/>
            </w:pPr>
            <w:r>
              <w:t>排放点水域环境功能</w:t>
            </w:r>
          </w:p>
        </w:tc>
        <w:tc>
          <w:tcPr>
            <w:tcW w:w="1586" w:type="pct"/>
            <w:gridSpan w:val="3"/>
            <w:vAlign w:val="center"/>
          </w:tcPr>
          <w:p>
            <w:pPr>
              <w:pStyle w:val="33"/>
            </w:pPr>
            <w:r>
              <w:t>24h内流经范围/km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continue"/>
            <w:vAlign w:val="center"/>
          </w:tcPr>
          <w:p>
            <w:pPr>
              <w:pStyle w:val="33"/>
            </w:pPr>
          </w:p>
        </w:tc>
        <w:tc>
          <w:tcPr>
            <w:tcW w:w="407" w:type="pct"/>
            <w:vAlign w:val="center"/>
          </w:tcPr>
          <w:p>
            <w:pPr>
              <w:pStyle w:val="33"/>
            </w:pPr>
            <w:r>
              <w:t>1</w:t>
            </w:r>
          </w:p>
        </w:tc>
        <w:tc>
          <w:tcPr>
            <w:tcW w:w="1090" w:type="pct"/>
            <w:gridSpan w:val="2"/>
            <w:vAlign w:val="center"/>
          </w:tcPr>
          <w:p>
            <w:pPr>
              <w:pStyle w:val="33"/>
            </w:pPr>
            <w:r>
              <w:t>听湖水库</w:t>
            </w:r>
          </w:p>
        </w:tc>
        <w:tc>
          <w:tcPr>
            <w:tcW w:w="1280" w:type="pct"/>
            <w:gridSpan w:val="3"/>
            <w:vAlign w:val="center"/>
          </w:tcPr>
          <w:p>
            <w:pPr>
              <w:pStyle w:val="33"/>
            </w:pPr>
            <w:r>
              <w:rPr>
                <w:rFonts w:hint="eastAsia"/>
              </w:rPr>
              <w:t>II</w:t>
            </w:r>
            <w:r>
              <w:t>类</w:t>
            </w:r>
          </w:p>
        </w:tc>
        <w:tc>
          <w:tcPr>
            <w:tcW w:w="1586" w:type="pct"/>
            <w:gridSpan w:val="3"/>
            <w:vAlign w:val="center"/>
          </w:tcPr>
          <w:p>
            <w:pPr>
              <w:pStyle w:val="33"/>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continue"/>
            <w:vAlign w:val="center"/>
          </w:tcPr>
          <w:p>
            <w:pPr>
              <w:pStyle w:val="33"/>
            </w:pPr>
          </w:p>
        </w:tc>
        <w:tc>
          <w:tcPr>
            <w:tcW w:w="407" w:type="pct"/>
            <w:vAlign w:val="center"/>
          </w:tcPr>
          <w:p>
            <w:pPr>
              <w:pStyle w:val="33"/>
            </w:pPr>
            <w:r>
              <w:t>2</w:t>
            </w:r>
          </w:p>
        </w:tc>
        <w:tc>
          <w:tcPr>
            <w:tcW w:w="1090" w:type="pct"/>
            <w:gridSpan w:val="2"/>
            <w:vAlign w:val="center"/>
          </w:tcPr>
          <w:p>
            <w:pPr>
              <w:pStyle w:val="33"/>
            </w:pPr>
            <w:r>
              <w:t>公革河</w:t>
            </w:r>
          </w:p>
        </w:tc>
        <w:tc>
          <w:tcPr>
            <w:tcW w:w="1280" w:type="pct"/>
            <w:gridSpan w:val="3"/>
            <w:vAlign w:val="center"/>
          </w:tcPr>
          <w:p>
            <w:pPr>
              <w:pStyle w:val="33"/>
            </w:pPr>
            <w:r>
              <w:rPr>
                <w:rFonts w:hint="eastAsia"/>
              </w:rPr>
              <w:t>II</w:t>
            </w:r>
            <w:r>
              <w:t>类</w:t>
            </w:r>
          </w:p>
        </w:tc>
        <w:tc>
          <w:tcPr>
            <w:tcW w:w="1586" w:type="pct"/>
            <w:gridSpan w:val="3"/>
            <w:vAlign w:val="center"/>
          </w:tcPr>
          <w:p>
            <w:pPr>
              <w:pStyle w:val="33"/>
            </w:pPr>
            <w: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continue"/>
            <w:vAlign w:val="center"/>
          </w:tcPr>
          <w:p>
            <w:pPr>
              <w:pStyle w:val="33"/>
            </w:pPr>
          </w:p>
        </w:tc>
        <w:tc>
          <w:tcPr>
            <w:tcW w:w="4363" w:type="pct"/>
            <w:gridSpan w:val="9"/>
            <w:vAlign w:val="center"/>
          </w:tcPr>
          <w:p>
            <w:pPr>
              <w:pStyle w:val="33"/>
            </w:pPr>
            <w:r>
              <w:t>内陆水体排放点下游10k</w:t>
            </w:r>
            <w:r>
              <w:rPr>
                <w:rFonts w:hint="eastAsia"/>
              </w:rPr>
              <w:t>m</w:t>
            </w:r>
            <w:r>
              <w:t>范围内敏感目标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continue"/>
            <w:vAlign w:val="center"/>
          </w:tcPr>
          <w:p>
            <w:pPr>
              <w:pStyle w:val="33"/>
            </w:pPr>
          </w:p>
        </w:tc>
        <w:tc>
          <w:tcPr>
            <w:tcW w:w="407" w:type="pct"/>
            <w:vAlign w:val="center"/>
          </w:tcPr>
          <w:p>
            <w:pPr>
              <w:pStyle w:val="33"/>
            </w:pPr>
            <w:r>
              <w:t>序号</w:t>
            </w:r>
          </w:p>
        </w:tc>
        <w:tc>
          <w:tcPr>
            <w:tcW w:w="1090" w:type="pct"/>
            <w:gridSpan w:val="2"/>
            <w:vAlign w:val="center"/>
          </w:tcPr>
          <w:p>
            <w:pPr>
              <w:pStyle w:val="33"/>
            </w:pPr>
            <w:r>
              <w:t>敏感目标名称</w:t>
            </w:r>
          </w:p>
        </w:tc>
        <w:tc>
          <w:tcPr>
            <w:tcW w:w="596" w:type="pct"/>
            <w:gridSpan w:val="2"/>
            <w:vAlign w:val="center"/>
          </w:tcPr>
          <w:p>
            <w:pPr>
              <w:pStyle w:val="33"/>
            </w:pPr>
            <w:r>
              <w:t>环境敏感特征</w:t>
            </w:r>
          </w:p>
        </w:tc>
        <w:tc>
          <w:tcPr>
            <w:tcW w:w="684" w:type="pct"/>
            <w:vAlign w:val="center"/>
          </w:tcPr>
          <w:p>
            <w:pPr>
              <w:pStyle w:val="33"/>
            </w:pPr>
            <w:r>
              <w:t>水质目标</w:t>
            </w:r>
          </w:p>
        </w:tc>
        <w:tc>
          <w:tcPr>
            <w:tcW w:w="1586" w:type="pct"/>
            <w:gridSpan w:val="3"/>
            <w:vAlign w:val="center"/>
          </w:tcPr>
          <w:p>
            <w:pPr>
              <w:pStyle w:val="33"/>
            </w:pPr>
            <w:r>
              <w:t>与排放点距离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Pr>
        <w:tc>
          <w:tcPr>
            <w:tcW w:w="636" w:type="pct"/>
            <w:vMerge w:val="continue"/>
            <w:vAlign w:val="center"/>
          </w:tcPr>
          <w:p>
            <w:pPr>
              <w:pStyle w:val="33"/>
            </w:pPr>
          </w:p>
        </w:tc>
        <w:tc>
          <w:tcPr>
            <w:tcW w:w="407" w:type="pct"/>
            <w:vAlign w:val="center"/>
          </w:tcPr>
          <w:p>
            <w:pPr>
              <w:pStyle w:val="33"/>
            </w:pPr>
            <w:r>
              <w:rPr>
                <w:rFonts w:hint="eastAsia"/>
              </w:rPr>
              <w:t>1</w:t>
            </w:r>
          </w:p>
        </w:tc>
        <w:tc>
          <w:tcPr>
            <w:tcW w:w="1090" w:type="pct"/>
            <w:gridSpan w:val="2"/>
            <w:vAlign w:val="center"/>
          </w:tcPr>
          <w:p>
            <w:pPr>
              <w:pStyle w:val="33"/>
            </w:pPr>
            <w:r>
              <w:rPr>
                <w:rFonts w:hint="eastAsia"/>
              </w:rPr>
              <w:t>砚山浴仙湖风景名胜区</w:t>
            </w:r>
          </w:p>
        </w:tc>
        <w:tc>
          <w:tcPr>
            <w:tcW w:w="596" w:type="pct"/>
            <w:gridSpan w:val="2"/>
            <w:vAlign w:val="center"/>
          </w:tcPr>
          <w:p>
            <w:pPr>
              <w:pStyle w:val="33"/>
            </w:pPr>
            <w:r>
              <w:rPr>
                <w:rFonts w:hint="eastAsia"/>
              </w:rPr>
              <w:t>敏感</w:t>
            </w:r>
          </w:p>
        </w:tc>
        <w:tc>
          <w:tcPr>
            <w:tcW w:w="684" w:type="pct"/>
            <w:vAlign w:val="center"/>
          </w:tcPr>
          <w:p>
            <w:pPr>
              <w:pStyle w:val="33"/>
            </w:pPr>
            <w:r>
              <w:rPr>
                <w:rFonts w:hint="eastAsia"/>
              </w:rPr>
              <w:t>/</w:t>
            </w:r>
          </w:p>
        </w:tc>
        <w:tc>
          <w:tcPr>
            <w:tcW w:w="1586" w:type="pct"/>
            <w:gridSpan w:val="3"/>
            <w:vAlign w:val="center"/>
          </w:tcPr>
          <w:p>
            <w:pPr>
              <w:pStyle w:val="33"/>
            </w:pPr>
            <w:r>
              <w:rPr>
                <w:rFonts w:hint="eastAsia"/>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636" w:type="pct"/>
            <w:vMerge w:val="restart"/>
            <w:vAlign w:val="center"/>
          </w:tcPr>
          <w:p>
            <w:pPr>
              <w:pStyle w:val="33"/>
            </w:pPr>
            <w:r>
              <w:t>地下水</w:t>
            </w:r>
          </w:p>
        </w:tc>
        <w:tc>
          <w:tcPr>
            <w:tcW w:w="407" w:type="pct"/>
            <w:vAlign w:val="center"/>
          </w:tcPr>
          <w:p>
            <w:pPr>
              <w:pStyle w:val="33"/>
            </w:pPr>
            <w:r>
              <w:t>序号</w:t>
            </w:r>
          </w:p>
        </w:tc>
        <w:tc>
          <w:tcPr>
            <w:tcW w:w="1090" w:type="pct"/>
            <w:gridSpan w:val="2"/>
            <w:vAlign w:val="center"/>
          </w:tcPr>
          <w:p>
            <w:pPr>
              <w:pStyle w:val="33"/>
            </w:pPr>
            <w:r>
              <w:t>环境敏感区名称</w:t>
            </w:r>
          </w:p>
        </w:tc>
        <w:tc>
          <w:tcPr>
            <w:tcW w:w="596" w:type="pct"/>
            <w:gridSpan w:val="2"/>
            <w:vAlign w:val="center"/>
          </w:tcPr>
          <w:p>
            <w:pPr>
              <w:pStyle w:val="33"/>
            </w:pPr>
            <w:r>
              <w:t>环境敏感特征</w:t>
            </w:r>
          </w:p>
        </w:tc>
        <w:tc>
          <w:tcPr>
            <w:tcW w:w="684" w:type="pct"/>
            <w:vAlign w:val="center"/>
          </w:tcPr>
          <w:p>
            <w:pPr>
              <w:pStyle w:val="33"/>
            </w:pPr>
            <w:r>
              <w:t>水质目标</w:t>
            </w:r>
          </w:p>
        </w:tc>
        <w:tc>
          <w:tcPr>
            <w:tcW w:w="893" w:type="pct"/>
            <w:gridSpan w:val="2"/>
            <w:vAlign w:val="center"/>
          </w:tcPr>
          <w:p>
            <w:pPr>
              <w:pStyle w:val="33"/>
            </w:pPr>
            <w:r>
              <w:t>包气带防污性能</w:t>
            </w:r>
          </w:p>
        </w:tc>
        <w:tc>
          <w:tcPr>
            <w:tcW w:w="692" w:type="pct"/>
            <w:vAlign w:val="center"/>
          </w:tcPr>
          <w:p>
            <w:pPr>
              <w:pStyle w:val="33"/>
            </w:pPr>
            <w:r>
              <w:t>与下游厂界距离/m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636" w:type="pct"/>
            <w:vMerge w:val="continue"/>
            <w:vAlign w:val="center"/>
          </w:tcPr>
          <w:p>
            <w:pPr>
              <w:pStyle w:val="33"/>
            </w:pPr>
          </w:p>
        </w:tc>
        <w:tc>
          <w:tcPr>
            <w:tcW w:w="407" w:type="pct"/>
            <w:vAlign w:val="center"/>
          </w:tcPr>
          <w:p>
            <w:pPr>
              <w:pStyle w:val="33"/>
            </w:pPr>
            <w:r>
              <w:t>1</w:t>
            </w:r>
          </w:p>
        </w:tc>
        <w:tc>
          <w:tcPr>
            <w:tcW w:w="2370" w:type="pct"/>
            <w:gridSpan w:val="5"/>
            <w:vAlign w:val="center"/>
          </w:tcPr>
          <w:p>
            <w:pPr>
              <w:pStyle w:val="33"/>
            </w:pPr>
            <w:r>
              <w:t>不涉及HJ169-2018附录D，表D.6中的敏感区域</w:t>
            </w:r>
          </w:p>
        </w:tc>
        <w:tc>
          <w:tcPr>
            <w:tcW w:w="893" w:type="pct"/>
            <w:gridSpan w:val="2"/>
            <w:vAlign w:val="center"/>
          </w:tcPr>
          <w:p>
            <w:pPr>
              <w:pStyle w:val="33"/>
            </w:pPr>
            <w:r>
              <w:t>D2</w:t>
            </w:r>
          </w:p>
        </w:tc>
        <w:tc>
          <w:tcPr>
            <w:tcW w:w="692" w:type="pct"/>
            <w:vAlign w:val="center"/>
          </w:tcPr>
          <w:p>
            <w:pPr>
              <w:pStyle w:val="33"/>
            </w:pPr>
            <w:r>
              <w:t>/</w:t>
            </w:r>
          </w:p>
        </w:tc>
      </w:tr>
    </w:tbl>
    <w:p>
      <w:pPr>
        <w:pStyle w:val="5"/>
      </w:pPr>
      <w:bookmarkStart w:id="152" w:name="_Toc28002"/>
      <w:r>
        <w:rPr>
          <w:rFonts w:hint="eastAsia"/>
        </w:rPr>
        <w:t>7.2环境风险潜势分析</w:t>
      </w:r>
      <w:bookmarkEnd w:id="152"/>
    </w:p>
    <w:p>
      <w:pPr>
        <w:pStyle w:val="7"/>
        <w:ind w:firstLine="480"/>
      </w:pPr>
      <w:r>
        <w:rPr>
          <w:rFonts w:hint="eastAsia"/>
        </w:rPr>
        <w:t>根据《建设项目环境风险评价技术导则》（HJ169-2018）附录B，</w:t>
      </w:r>
      <w:r>
        <w:t>项目涉及危险物质有</w:t>
      </w:r>
      <w:r>
        <w:rPr>
          <w:rFonts w:hint="eastAsia"/>
        </w:rPr>
        <w:t>氯气</w:t>
      </w:r>
      <w:r>
        <w:t>、</w:t>
      </w:r>
      <w:r>
        <w:rPr>
          <w:rFonts w:hint="eastAsia"/>
        </w:rPr>
        <w:t>氯化氢、氟化氢、天然气、石油气</w:t>
      </w:r>
      <w:r>
        <w:t>。</w:t>
      </w:r>
      <w:r>
        <w:rPr>
          <w:rFonts w:hint="eastAsia"/>
        </w:rPr>
        <w:t>项目天然气由园区天然气管道直接输送到项目厂区内，故厂区天然气量仅考虑厂区内输送管道中所含天然气量。根据建设单位提供资料，厂区内天然气管道的长度约为320m，天然气管道内径为280mm，则厂内管道天然气的量为19.7m</w:t>
      </w:r>
      <w:r>
        <w:rPr>
          <w:rFonts w:hint="eastAsia"/>
          <w:vertAlign w:val="superscript"/>
        </w:rPr>
        <w:t>3</w:t>
      </w:r>
      <w:r>
        <w:rPr>
          <w:rFonts w:hint="eastAsia"/>
        </w:rPr>
        <w:t>，气态天然气密度为0.717kg/m</w:t>
      </w:r>
      <w:r>
        <w:rPr>
          <w:rFonts w:hint="eastAsia"/>
          <w:vertAlign w:val="superscript"/>
        </w:rPr>
        <w:t>3</w:t>
      </w:r>
      <w:r>
        <w:rPr>
          <w:rFonts w:hint="eastAsia"/>
        </w:rPr>
        <w:t>，则管道内天然气量为14.12kg。</w:t>
      </w:r>
    </w:p>
    <w:p>
      <w:pPr>
        <w:pStyle w:val="7"/>
        <w:ind w:firstLine="480"/>
      </w:pPr>
      <w:r>
        <w:rPr>
          <w:rFonts w:hint="eastAsia"/>
        </w:rPr>
        <w:t>计算所涉及的每种危险物质的厂界内的最大存在总量与其在附录B中对应临界量的比值Q。</w:t>
      </w:r>
    </w:p>
    <w:p>
      <w:pPr>
        <w:pStyle w:val="7"/>
        <w:ind w:firstLine="480"/>
      </w:pPr>
      <w:r>
        <w:rPr>
          <w:rFonts w:hint="eastAsia"/>
        </w:rPr>
        <w:t>当只涉及一种危险物质时，计算该物质的总量与其临界量比值，即为Q；</w:t>
      </w:r>
    </w:p>
    <w:p>
      <w:pPr>
        <w:pStyle w:val="7"/>
        <w:ind w:firstLine="480"/>
      </w:pPr>
      <w:r>
        <w:rPr>
          <w:rFonts w:hint="eastAsia"/>
        </w:rPr>
        <w:t>当存在多种危险物质时，按下式计算物质总量与其临界量比值（Q）：</w:t>
      </w:r>
    </w:p>
    <w:p>
      <w:pPr>
        <w:autoSpaceDE w:val="0"/>
        <w:autoSpaceDN w:val="0"/>
        <w:spacing w:line="360" w:lineRule="auto"/>
        <w:contextualSpacing/>
        <w:jc w:val="center"/>
        <w:rPr>
          <w:spacing w:val="1"/>
          <w:szCs w:val="28"/>
        </w:rPr>
      </w:pPr>
      <w:r>
        <w:rPr>
          <w:szCs w:val="28"/>
        </w:rPr>
        <w:drawing>
          <wp:inline distT="0" distB="0" distL="0" distR="0">
            <wp:extent cx="2011680" cy="594360"/>
            <wp:effectExtent l="0" t="0" r="7620" b="152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011680" cy="594360"/>
                    </a:xfrm>
                    <a:prstGeom prst="rect">
                      <a:avLst/>
                    </a:prstGeom>
                    <a:noFill/>
                    <a:ln>
                      <a:noFill/>
                    </a:ln>
                  </pic:spPr>
                </pic:pic>
              </a:graphicData>
            </a:graphic>
          </wp:inline>
        </w:drawing>
      </w:r>
    </w:p>
    <w:p>
      <w:pPr>
        <w:autoSpaceDE w:val="0"/>
        <w:autoSpaceDN w:val="0"/>
        <w:adjustRightInd w:val="0"/>
        <w:snapToGrid w:val="0"/>
        <w:spacing w:line="360" w:lineRule="auto"/>
        <w:ind w:firstLine="482"/>
        <w:rPr>
          <w:spacing w:val="1"/>
        </w:rPr>
      </w:pPr>
      <w:r>
        <w:rPr>
          <w:spacing w:val="1"/>
        </w:rPr>
        <w:t>式中：q</w:t>
      </w:r>
      <w:r>
        <w:rPr>
          <w:spacing w:val="1"/>
          <w:vertAlign w:val="subscript"/>
        </w:rPr>
        <w:t>1</w:t>
      </w:r>
      <w:r>
        <w:rPr>
          <w:spacing w:val="1"/>
        </w:rPr>
        <w:t>，q</w:t>
      </w:r>
      <w:r>
        <w:rPr>
          <w:spacing w:val="1"/>
          <w:vertAlign w:val="subscript"/>
        </w:rPr>
        <w:t>2</w:t>
      </w:r>
      <w:r>
        <w:rPr>
          <w:spacing w:val="1"/>
        </w:rPr>
        <w:t>，...，qn——每种危险物质的最大存在总量，t；</w:t>
      </w:r>
    </w:p>
    <w:p>
      <w:pPr>
        <w:autoSpaceDE w:val="0"/>
        <w:autoSpaceDN w:val="0"/>
        <w:adjustRightInd w:val="0"/>
        <w:snapToGrid w:val="0"/>
        <w:spacing w:line="360" w:lineRule="auto"/>
        <w:ind w:firstLine="1207" w:firstLineChars="499"/>
        <w:rPr>
          <w:spacing w:val="1"/>
        </w:rPr>
      </w:pPr>
      <w:r>
        <w:rPr>
          <w:spacing w:val="1"/>
        </w:rPr>
        <w:t>Q</w:t>
      </w:r>
      <w:r>
        <w:rPr>
          <w:spacing w:val="1"/>
          <w:vertAlign w:val="subscript"/>
        </w:rPr>
        <w:t>1</w:t>
      </w:r>
      <w:r>
        <w:rPr>
          <w:spacing w:val="1"/>
        </w:rPr>
        <w:t>，Q</w:t>
      </w:r>
      <w:r>
        <w:rPr>
          <w:spacing w:val="1"/>
          <w:vertAlign w:val="subscript"/>
        </w:rPr>
        <w:t>2</w:t>
      </w:r>
      <w:r>
        <w:rPr>
          <w:spacing w:val="1"/>
        </w:rPr>
        <w:t>，...，Qn——每种危险物质的临界量，t。</w:t>
      </w:r>
    </w:p>
    <w:p>
      <w:pPr>
        <w:autoSpaceDE w:val="0"/>
        <w:autoSpaceDN w:val="0"/>
        <w:adjustRightInd w:val="0"/>
        <w:snapToGrid w:val="0"/>
        <w:spacing w:line="360" w:lineRule="auto"/>
        <w:ind w:firstLine="1210" w:firstLineChars="500"/>
        <w:rPr>
          <w:spacing w:val="1"/>
        </w:rPr>
      </w:pPr>
      <w:r>
        <w:rPr>
          <w:spacing w:val="1"/>
        </w:rPr>
        <w:t>当Q＜1时，该项目环境风险潜势为</w:t>
      </w:r>
      <w:r>
        <w:rPr>
          <w:bCs/>
        </w:rPr>
        <w:t>I</w:t>
      </w:r>
      <w:r>
        <w:rPr>
          <w:spacing w:val="1"/>
        </w:rPr>
        <w:t>；</w:t>
      </w:r>
    </w:p>
    <w:p>
      <w:pPr>
        <w:autoSpaceDE w:val="0"/>
        <w:autoSpaceDN w:val="0"/>
        <w:adjustRightInd w:val="0"/>
        <w:snapToGrid w:val="0"/>
        <w:spacing w:line="360" w:lineRule="auto"/>
        <w:ind w:firstLine="1210" w:firstLineChars="500"/>
        <w:rPr>
          <w:spacing w:val="1"/>
        </w:rPr>
      </w:pPr>
      <w:r>
        <w:rPr>
          <w:spacing w:val="1"/>
        </w:rPr>
        <w:t>当Q≥1时，将Q值划分为：（1）1≤Q＜10；（2）10≤Q＜100；（3）Q≥100。</w:t>
      </w:r>
    </w:p>
    <w:p>
      <w:pPr>
        <w:pStyle w:val="50"/>
        <w:ind w:firstLine="484"/>
        <w:rPr>
          <w:rFonts w:ascii="Times New Roman" w:hAnsi="Times New Roman" w:eastAsia="宋体" w:cs="Times New Roman"/>
          <w:b w:val="0"/>
          <w:bCs w:val="0"/>
          <w:spacing w:val="1"/>
          <w:szCs w:val="24"/>
        </w:rPr>
      </w:pPr>
      <w:r>
        <w:rPr>
          <w:rFonts w:ascii="Times New Roman" w:hAnsi="Times New Roman" w:eastAsia="宋体" w:cs="Times New Roman"/>
          <w:b w:val="0"/>
          <w:bCs w:val="0"/>
          <w:spacing w:val="1"/>
          <w:szCs w:val="24"/>
        </w:rPr>
        <w:t>建设项目Q值确定见表</w:t>
      </w:r>
      <w:r>
        <w:rPr>
          <w:rFonts w:hint="eastAsia" w:ascii="Times New Roman" w:hAnsi="Times New Roman" w:eastAsia="宋体" w:cs="Times New Roman"/>
          <w:b w:val="0"/>
          <w:bCs w:val="0"/>
          <w:spacing w:val="1"/>
          <w:szCs w:val="24"/>
        </w:rPr>
        <w:t>7.2-1</w:t>
      </w:r>
      <w:r>
        <w:rPr>
          <w:rFonts w:ascii="Times New Roman" w:hAnsi="Times New Roman" w:eastAsia="宋体" w:cs="Times New Roman"/>
          <w:b w:val="0"/>
          <w:bCs w:val="0"/>
          <w:spacing w:val="1"/>
          <w:szCs w:val="24"/>
        </w:rPr>
        <w:t>。</w:t>
      </w:r>
    </w:p>
    <w:p>
      <w:pPr>
        <w:pStyle w:val="31"/>
        <w:rPr>
          <w:rFonts w:hint="eastAsia"/>
          <w:color w:val="auto"/>
        </w:rPr>
      </w:pPr>
      <w:r>
        <w:rPr>
          <w:rFonts w:hint="eastAsia"/>
          <w:color w:val="auto"/>
        </w:rPr>
        <w:t>表7.2-1</w:t>
      </w:r>
      <w:r>
        <w:rPr>
          <w:color w:val="auto"/>
        </w:rPr>
        <w:t xml:space="preserve">  </w:t>
      </w:r>
      <w:r>
        <w:rPr>
          <w:rFonts w:hint="eastAsia"/>
          <w:color w:val="auto"/>
        </w:rPr>
        <w:t>建设项目Q值确定表</w:t>
      </w:r>
    </w:p>
    <w:tbl>
      <w:tblPr>
        <w:tblStyle w:val="2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75"/>
        <w:gridCol w:w="1476"/>
        <w:gridCol w:w="1989"/>
        <w:gridCol w:w="1629"/>
        <w:gridCol w:w="891"/>
        <w:gridCol w:w="17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color w:val="auto"/>
              </w:rPr>
              <w:t>序号</w:t>
            </w:r>
          </w:p>
        </w:tc>
        <w:tc>
          <w:tcPr>
            <w:tcW w:w="866" w:type="pct"/>
          </w:tcPr>
          <w:p>
            <w:pPr>
              <w:pStyle w:val="33"/>
              <w:rPr>
                <w:color w:val="auto"/>
              </w:rPr>
            </w:pPr>
            <w:r>
              <w:rPr>
                <w:color w:val="auto"/>
              </w:rPr>
              <w:t>危险物质名称</w:t>
            </w:r>
          </w:p>
        </w:tc>
        <w:tc>
          <w:tcPr>
            <w:tcW w:w="1167" w:type="pct"/>
          </w:tcPr>
          <w:p>
            <w:pPr>
              <w:pStyle w:val="33"/>
              <w:rPr>
                <w:color w:val="auto"/>
              </w:rPr>
            </w:pPr>
            <w:r>
              <w:rPr>
                <w:color w:val="auto"/>
              </w:rPr>
              <w:t>CAS号</w:t>
            </w:r>
          </w:p>
        </w:tc>
        <w:tc>
          <w:tcPr>
            <w:tcW w:w="956" w:type="pct"/>
          </w:tcPr>
          <w:p>
            <w:pPr>
              <w:pStyle w:val="33"/>
              <w:rPr>
                <w:color w:val="auto"/>
              </w:rPr>
            </w:pPr>
            <w:r>
              <w:rPr>
                <w:color w:val="auto"/>
              </w:rPr>
              <w:t>最大存在总量qn/t</w:t>
            </w:r>
          </w:p>
        </w:tc>
        <w:tc>
          <w:tcPr>
            <w:tcW w:w="522" w:type="pct"/>
          </w:tcPr>
          <w:p>
            <w:pPr>
              <w:pStyle w:val="33"/>
              <w:rPr>
                <w:color w:val="auto"/>
              </w:rPr>
            </w:pPr>
            <w:r>
              <w:rPr>
                <w:color w:val="auto"/>
              </w:rPr>
              <w:t>临界量</w:t>
            </w:r>
            <w:r>
              <w:rPr>
                <w:rFonts w:hint="eastAsia"/>
                <w:color w:val="auto"/>
              </w:rPr>
              <w:t>/t</w:t>
            </w:r>
          </w:p>
        </w:tc>
        <w:tc>
          <w:tcPr>
            <w:tcW w:w="1032" w:type="pct"/>
            <w:tcBorders>
              <w:bottom w:val="single" w:color="auto" w:sz="4" w:space="0"/>
            </w:tcBorders>
            <w:vAlign w:val="center"/>
          </w:tcPr>
          <w:p>
            <w:pPr>
              <w:pStyle w:val="33"/>
              <w:rPr>
                <w:color w:val="auto"/>
              </w:rPr>
            </w:pPr>
            <w:r>
              <w:rPr>
                <w:color w:val="auto"/>
              </w:rPr>
              <w:t>该种危险物质Q量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1</w:t>
            </w:r>
          </w:p>
        </w:tc>
        <w:tc>
          <w:tcPr>
            <w:tcW w:w="866" w:type="pct"/>
          </w:tcPr>
          <w:p>
            <w:pPr>
              <w:pStyle w:val="33"/>
              <w:rPr>
                <w:color w:val="auto"/>
              </w:rPr>
            </w:pPr>
            <w:r>
              <w:rPr>
                <w:color w:val="auto"/>
              </w:rPr>
              <w:t>C</w:t>
            </w:r>
            <w:r>
              <w:rPr>
                <w:rFonts w:hint="eastAsia"/>
                <w:color w:val="auto"/>
              </w:rPr>
              <w:t>l</w:t>
            </w:r>
            <w:r>
              <w:rPr>
                <w:rFonts w:hint="eastAsia"/>
                <w:color w:val="auto"/>
                <w:vertAlign w:val="subscript"/>
              </w:rPr>
              <w:t>2</w:t>
            </w:r>
          </w:p>
        </w:tc>
        <w:tc>
          <w:tcPr>
            <w:tcW w:w="1167" w:type="pct"/>
          </w:tcPr>
          <w:p>
            <w:pPr>
              <w:pStyle w:val="33"/>
              <w:rPr>
                <w:color w:val="auto"/>
              </w:rPr>
            </w:pPr>
            <w:r>
              <w:rPr>
                <w:rFonts w:hint="eastAsia"/>
                <w:color w:val="auto"/>
              </w:rPr>
              <w:t>7</w:t>
            </w:r>
            <w:r>
              <w:rPr>
                <w:color w:val="auto"/>
              </w:rPr>
              <w:t>4</w:t>
            </w:r>
            <w:r>
              <w:rPr>
                <w:rFonts w:hint="eastAsia"/>
                <w:color w:val="auto"/>
              </w:rPr>
              <w:t>82-50-</w:t>
            </w:r>
            <w:r>
              <w:rPr>
                <w:color w:val="auto"/>
              </w:rPr>
              <w:t>5</w:t>
            </w:r>
          </w:p>
        </w:tc>
        <w:tc>
          <w:tcPr>
            <w:tcW w:w="956" w:type="pct"/>
          </w:tcPr>
          <w:p>
            <w:pPr>
              <w:pStyle w:val="33"/>
              <w:rPr>
                <w:rFonts w:hint="default" w:eastAsia="宋体"/>
                <w:color w:val="auto"/>
                <w:lang w:val="en-US" w:eastAsia="zh-CN"/>
              </w:rPr>
            </w:pPr>
            <w:r>
              <w:rPr>
                <w:rFonts w:hint="eastAsia"/>
                <w:color w:val="auto"/>
                <w:lang w:val="en-US" w:eastAsia="zh-CN"/>
              </w:rPr>
              <w:t>0.5</w:t>
            </w:r>
          </w:p>
        </w:tc>
        <w:tc>
          <w:tcPr>
            <w:tcW w:w="522" w:type="pct"/>
            <w:tcBorders>
              <w:right w:val="single" w:color="auto" w:sz="4" w:space="0"/>
            </w:tcBorders>
          </w:tcPr>
          <w:p>
            <w:pPr>
              <w:pStyle w:val="33"/>
              <w:rPr>
                <w:color w:val="auto"/>
              </w:rPr>
            </w:pPr>
            <w:r>
              <w:rPr>
                <w:rFonts w:hint="eastAsia"/>
                <w:color w:val="auto"/>
              </w:rPr>
              <w:t>1.0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2</w:t>
            </w:r>
          </w:p>
        </w:tc>
        <w:tc>
          <w:tcPr>
            <w:tcW w:w="866" w:type="pct"/>
          </w:tcPr>
          <w:p>
            <w:pPr>
              <w:pStyle w:val="33"/>
              <w:rPr>
                <w:color w:val="auto"/>
              </w:rPr>
            </w:pPr>
            <w:r>
              <w:rPr>
                <w:rFonts w:hint="eastAsia"/>
                <w:color w:val="auto"/>
              </w:rPr>
              <w:t>天然气（气态）</w:t>
            </w:r>
          </w:p>
        </w:tc>
        <w:tc>
          <w:tcPr>
            <w:tcW w:w="1167" w:type="pct"/>
          </w:tcPr>
          <w:p>
            <w:pPr>
              <w:pStyle w:val="33"/>
              <w:rPr>
                <w:color w:val="auto"/>
              </w:rPr>
            </w:pPr>
            <w:r>
              <w:rPr>
                <w:rFonts w:hint="eastAsia"/>
                <w:color w:val="auto"/>
              </w:rPr>
              <w:t>74-82-8</w:t>
            </w:r>
          </w:p>
        </w:tc>
        <w:tc>
          <w:tcPr>
            <w:tcW w:w="956" w:type="pct"/>
          </w:tcPr>
          <w:p>
            <w:pPr>
              <w:pStyle w:val="33"/>
              <w:rPr>
                <w:color w:val="auto"/>
              </w:rPr>
            </w:pPr>
            <w:r>
              <w:rPr>
                <w:rFonts w:hint="eastAsia"/>
                <w:color w:val="auto"/>
              </w:rPr>
              <w:t>0.0142</w:t>
            </w:r>
          </w:p>
        </w:tc>
        <w:tc>
          <w:tcPr>
            <w:tcW w:w="522" w:type="pct"/>
            <w:tcBorders>
              <w:right w:val="single" w:color="auto" w:sz="4" w:space="0"/>
            </w:tcBorders>
          </w:tcPr>
          <w:p>
            <w:pPr>
              <w:pStyle w:val="33"/>
              <w:rPr>
                <w:color w:val="auto"/>
              </w:rPr>
            </w:pPr>
            <w:r>
              <w:rPr>
                <w:rFonts w:hint="eastAsia"/>
                <w:color w:val="auto"/>
              </w:rPr>
              <w:t>10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3</w:t>
            </w:r>
          </w:p>
        </w:tc>
        <w:tc>
          <w:tcPr>
            <w:tcW w:w="866" w:type="pct"/>
          </w:tcPr>
          <w:p>
            <w:pPr>
              <w:pStyle w:val="33"/>
              <w:rPr>
                <w:color w:val="auto"/>
              </w:rPr>
            </w:pPr>
            <w:r>
              <w:rPr>
                <w:rFonts w:hint="eastAsia"/>
                <w:color w:val="auto"/>
              </w:rPr>
              <w:t>液化石油气</w:t>
            </w:r>
          </w:p>
        </w:tc>
        <w:tc>
          <w:tcPr>
            <w:tcW w:w="1167" w:type="pct"/>
          </w:tcPr>
          <w:p>
            <w:pPr>
              <w:pStyle w:val="33"/>
              <w:rPr>
                <w:color w:val="auto"/>
              </w:rPr>
            </w:pPr>
            <w:r>
              <w:rPr>
                <w:rFonts w:hint="eastAsia"/>
                <w:color w:val="auto"/>
              </w:rPr>
              <w:t>68476-85-7</w:t>
            </w:r>
          </w:p>
        </w:tc>
        <w:tc>
          <w:tcPr>
            <w:tcW w:w="956" w:type="pct"/>
          </w:tcPr>
          <w:p>
            <w:pPr>
              <w:pStyle w:val="33"/>
              <w:rPr>
                <w:color w:val="auto"/>
              </w:rPr>
            </w:pPr>
            <w:r>
              <w:rPr>
                <w:rFonts w:hint="eastAsia"/>
                <w:color w:val="auto"/>
              </w:rPr>
              <w:t>1.0</w:t>
            </w:r>
          </w:p>
        </w:tc>
        <w:tc>
          <w:tcPr>
            <w:tcW w:w="522" w:type="pct"/>
            <w:tcBorders>
              <w:right w:val="single" w:color="auto" w:sz="4" w:space="0"/>
            </w:tcBorders>
          </w:tcPr>
          <w:p>
            <w:pPr>
              <w:pStyle w:val="33"/>
              <w:rPr>
                <w:color w:val="auto"/>
              </w:rPr>
            </w:pPr>
            <w:r>
              <w:rPr>
                <w:rFonts w:hint="eastAsia"/>
                <w:color w:val="auto"/>
              </w:rPr>
              <w:t>10</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4</w:t>
            </w:r>
          </w:p>
        </w:tc>
        <w:tc>
          <w:tcPr>
            <w:tcW w:w="866" w:type="pct"/>
          </w:tcPr>
          <w:p>
            <w:pPr>
              <w:pStyle w:val="33"/>
              <w:rPr>
                <w:color w:val="auto"/>
              </w:rPr>
            </w:pPr>
            <w:r>
              <w:rPr>
                <w:rFonts w:hint="eastAsia"/>
                <w:color w:val="auto"/>
              </w:rPr>
              <w:t>盐酸</w:t>
            </w:r>
          </w:p>
        </w:tc>
        <w:tc>
          <w:tcPr>
            <w:tcW w:w="1167" w:type="pct"/>
          </w:tcPr>
          <w:p>
            <w:pPr>
              <w:pStyle w:val="33"/>
              <w:rPr>
                <w:color w:val="auto"/>
              </w:rPr>
            </w:pPr>
            <w:r>
              <w:rPr>
                <w:rFonts w:hint="eastAsia"/>
                <w:color w:val="auto"/>
              </w:rPr>
              <w:t>7647-0</w:t>
            </w:r>
            <w:r>
              <w:rPr>
                <w:color w:val="auto"/>
              </w:rPr>
              <w:t>1</w:t>
            </w:r>
            <w:r>
              <w:rPr>
                <w:rFonts w:hint="eastAsia"/>
                <w:color w:val="auto"/>
              </w:rPr>
              <w:t>-0</w:t>
            </w:r>
          </w:p>
        </w:tc>
        <w:tc>
          <w:tcPr>
            <w:tcW w:w="956" w:type="pct"/>
          </w:tcPr>
          <w:p>
            <w:pPr>
              <w:pStyle w:val="33"/>
              <w:rPr>
                <w:rFonts w:hint="eastAsia" w:eastAsia="宋体"/>
                <w:color w:val="auto"/>
                <w:lang w:val="en-US" w:eastAsia="zh-CN"/>
              </w:rPr>
            </w:pPr>
            <w:r>
              <w:rPr>
                <w:rFonts w:hint="eastAsia"/>
                <w:color w:val="auto"/>
              </w:rPr>
              <w:t>0.02</w:t>
            </w:r>
            <w:r>
              <w:rPr>
                <w:rFonts w:hint="eastAsia"/>
                <w:color w:val="auto"/>
                <w:lang w:val="en-US" w:eastAsia="zh-CN"/>
              </w:rPr>
              <w:t>5</w:t>
            </w:r>
          </w:p>
        </w:tc>
        <w:tc>
          <w:tcPr>
            <w:tcW w:w="522" w:type="pct"/>
            <w:tcBorders>
              <w:right w:val="single" w:color="auto" w:sz="4" w:space="0"/>
            </w:tcBorders>
          </w:tcPr>
          <w:p>
            <w:pPr>
              <w:pStyle w:val="33"/>
              <w:rPr>
                <w:color w:val="auto"/>
              </w:rPr>
            </w:pPr>
            <w:r>
              <w:rPr>
                <w:rFonts w:hint="eastAsia"/>
                <w:color w:val="auto"/>
              </w:rPr>
              <w:t>7.5</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55" w:type="pct"/>
          </w:tcPr>
          <w:p>
            <w:pPr>
              <w:pStyle w:val="33"/>
              <w:rPr>
                <w:color w:val="auto"/>
              </w:rPr>
            </w:pPr>
            <w:r>
              <w:rPr>
                <w:rFonts w:hint="eastAsia"/>
                <w:color w:val="auto"/>
              </w:rPr>
              <w:t>5</w:t>
            </w:r>
          </w:p>
        </w:tc>
        <w:tc>
          <w:tcPr>
            <w:tcW w:w="866" w:type="pct"/>
          </w:tcPr>
          <w:p>
            <w:pPr>
              <w:pStyle w:val="33"/>
              <w:rPr>
                <w:color w:val="auto"/>
              </w:rPr>
            </w:pPr>
            <w:r>
              <w:rPr>
                <w:rFonts w:hint="eastAsia"/>
                <w:color w:val="auto"/>
              </w:rPr>
              <w:t>硝酸</w:t>
            </w:r>
          </w:p>
        </w:tc>
        <w:tc>
          <w:tcPr>
            <w:tcW w:w="1167" w:type="pct"/>
          </w:tcPr>
          <w:p>
            <w:pPr>
              <w:pStyle w:val="33"/>
              <w:rPr>
                <w:color w:val="auto"/>
              </w:rPr>
            </w:pPr>
            <w:r>
              <w:rPr>
                <w:rFonts w:hint="eastAsia"/>
                <w:color w:val="auto"/>
              </w:rPr>
              <w:t>6484-52-2</w:t>
            </w:r>
          </w:p>
        </w:tc>
        <w:tc>
          <w:tcPr>
            <w:tcW w:w="956" w:type="pct"/>
          </w:tcPr>
          <w:p>
            <w:pPr>
              <w:pStyle w:val="33"/>
              <w:rPr>
                <w:rFonts w:hint="eastAsia" w:eastAsia="宋体"/>
                <w:color w:val="auto"/>
                <w:lang w:eastAsia="zh-CN"/>
              </w:rPr>
            </w:pPr>
            <w:r>
              <w:rPr>
                <w:rFonts w:hint="eastAsia"/>
                <w:color w:val="auto"/>
              </w:rPr>
              <w:t>0.002</w:t>
            </w:r>
            <w:r>
              <w:rPr>
                <w:rFonts w:hint="eastAsia"/>
                <w:color w:val="auto"/>
                <w:lang w:val="en-US" w:eastAsia="zh-CN"/>
              </w:rPr>
              <w:t>6</w:t>
            </w:r>
          </w:p>
        </w:tc>
        <w:tc>
          <w:tcPr>
            <w:tcW w:w="522" w:type="pct"/>
            <w:tcBorders>
              <w:right w:val="single" w:color="auto" w:sz="4" w:space="0"/>
            </w:tcBorders>
          </w:tcPr>
          <w:p>
            <w:pPr>
              <w:pStyle w:val="33"/>
              <w:rPr>
                <w:color w:val="auto"/>
              </w:rPr>
            </w:pPr>
            <w:r>
              <w:rPr>
                <w:rFonts w:hint="eastAsia"/>
                <w:color w:val="auto"/>
              </w:rPr>
              <w:t>7.5</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55" w:type="pct"/>
          </w:tcPr>
          <w:p>
            <w:pPr>
              <w:pStyle w:val="33"/>
              <w:rPr>
                <w:color w:val="auto"/>
              </w:rPr>
            </w:pPr>
            <w:r>
              <w:rPr>
                <w:rFonts w:hint="eastAsia"/>
                <w:color w:val="auto"/>
              </w:rPr>
              <w:t>6</w:t>
            </w:r>
          </w:p>
        </w:tc>
        <w:tc>
          <w:tcPr>
            <w:tcW w:w="866" w:type="pct"/>
          </w:tcPr>
          <w:p>
            <w:pPr>
              <w:pStyle w:val="33"/>
              <w:rPr>
                <w:color w:val="auto"/>
              </w:rPr>
            </w:pPr>
            <w:r>
              <w:rPr>
                <w:rFonts w:hint="eastAsia"/>
                <w:color w:val="auto"/>
              </w:rPr>
              <w:t>氢氟酸</w:t>
            </w:r>
          </w:p>
        </w:tc>
        <w:tc>
          <w:tcPr>
            <w:tcW w:w="1167" w:type="pct"/>
          </w:tcPr>
          <w:p>
            <w:pPr>
              <w:pStyle w:val="33"/>
              <w:rPr>
                <w:color w:val="auto"/>
              </w:rPr>
            </w:pPr>
            <w:r>
              <w:rPr>
                <w:rFonts w:hint="eastAsia"/>
                <w:color w:val="auto"/>
              </w:rPr>
              <w:t>7664-39-3</w:t>
            </w:r>
          </w:p>
        </w:tc>
        <w:tc>
          <w:tcPr>
            <w:tcW w:w="956" w:type="pct"/>
          </w:tcPr>
          <w:p>
            <w:pPr>
              <w:pStyle w:val="33"/>
              <w:rPr>
                <w:rFonts w:hint="eastAsia" w:eastAsia="宋体"/>
                <w:color w:val="auto"/>
                <w:lang w:eastAsia="zh-CN"/>
              </w:rPr>
            </w:pPr>
            <w:r>
              <w:rPr>
                <w:rFonts w:hint="eastAsia"/>
                <w:color w:val="auto"/>
              </w:rPr>
              <w:t>0.01</w:t>
            </w:r>
            <w:r>
              <w:rPr>
                <w:rFonts w:hint="eastAsia"/>
                <w:color w:val="auto"/>
                <w:lang w:val="en-US" w:eastAsia="zh-CN"/>
              </w:rPr>
              <w:t>4</w:t>
            </w:r>
          </w:p>
        </w:tc>
        <w:tc>
          <w:tcPr>
            <w:tcW w:w="522" w:type="pct"/>
            <w:tcBorders>
              <w:right w:val="single" w:color="auto" w:sz="4" w:space="0"/>
            </w:tcBorders>
          </w:tcPr>
          <w:p>
            <w:pPr>
              <w:pStyle w:val="33"/>
              <w:rPr>
                <w:color w:val="auto"/>
              </w:rPr>
            </w:pPr>
            <w:r>
              <w:rPr>
                <w:rFonts w:hint="eastAsia"/>
                <w:color w:val="auto"/>
              </w:rPr>
              <w:t>1</w:t>
            </w:r>
          </w:p>
        </w:tc>
        <w:tc>
          <w:tcPr>
            <w:tcW w:w="175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7" w:type="pct"/>
            <w:gridSpan w:val="5"/>
            <w:tcBorders>
              <w:right w:val="single" w:color="auto" w:sz="4" w:space="0"/>
            </w:tcBorders>
          </w:tcPr>
          <w:p>
            <w:pPr>
              <w:pStyle w:val="33"/>
              <w:rPr>
                <w:color w:val="auto"/>
              </w:rPr>
            </w:pPr>
            <w:r>
              <w:rPr>
                <w:rFonts w:hint="eastAsia"/>
                <w:color w:val="auto"/>
              </w:rPr>
              <w:t>合计</w:t>
            </w:r>
          </w:p>
        </w:tc>
        <w:tc>
          <w:tcPr>
            <w:tcW w:w="1759"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0.6191</w:t>
            </w:r>
          </w:p>
        </w:tc>
      </w:tr>
    </w:tbl>
    <w:p>
      <w:pPr>
        <w:pStyle w:val="7"/>
        <w:ind w:firstLine="480"/>
        <w:rPr>
          <w:color w:val="auto"/>
        </w:rPr>
      </w:pPr>
      <w:r>
        <w:rPr>
          <w:rFonts w:hint="eastAsia"/>
          <w:color w:val="auto"/>
        </w:rPr>
        <w:t>根据表2.4-8可知，项目Qmax=0.61</w:t>
      </w:r>
      <w:r>
        <w:rPr>
          <w:rFonts w:hint="eastAsia"/>
          <w:color w:val="auto"/>
          <w:lang w:val="en-US" w:eastAsia="zh-CN"/>
        </w:rPr>
        <w:t>91</w:t>
      </w:r>
      <w:r>
        <w:rPr>
          <w:rFonts w:hint="eastAsia"/>
          <w:color w:val="auto"/>
        </w:rPr>
        <w:t>，Qmax＜1。环境风险潜势为I</w:t>
      </w:r>
    </w:p>
    <w:p>
      <w:pPr>
        <w:pStyle w:val="12"/>
        <w:tabs>
          <w:tab w:val="left" w:pos="932"/>
        </w:tabs>
        <w:spacing w:line="360" w:lineRule="auto"/>
        <w:rPr>
          <w:szCs w:val="24"/>
        </w:rPr>
      </w:pPr>
      <w:r>
        <w:rPr>
          <w:color w:val="auto"/>
          <w:szCs w:val="24"/>
        </w:rPr>
        <w:t>根据《建设项目环境风险评价技</w:t>
      </w:r>
      <w:r>
        <w:rPr>
          <w:szCs w:val="24"/>
        </w:rPr>
        <w:t>术导则》（HJ 169-2018）表1，本项目风险评价的工作等级分级见下表。</w:t>
      </w:r>
    </w:p>
    <w:p>
      <w:pPr>
        <w:pStyle w:val="31"/>
      </w:pPr>
      <w:r>
        <w:t>表</w:t>
      </w:r>
      <w:r>
        <w:rPr>
          <w:rFonts w:hint="eastAsia"/>
        </w:rPr>
        <w:t>7.2-2</w:t>
      </w:r>
      <w:r>
        <w:t xml:space="preserve">  评价工作级别</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000" w:type="pct"/>
            <w:vAlign w:val="center"/>
          </w:tcPr>
          <w:p>
            <w:pPr>
              <w:pStyle w:val="33"/>
            </w:pPr>
            <w:r>
              <w:t>环境风险潜势</w:t>
            </w:r>
          </w:p>
        </w:tc>
        <w:tc>
          <w:tcPr>
            <w:tcW w:w="1000" w:type="pct"/>
            <w:vAlign w:val="center"/>
          </w:tcPr>
          <w:p>
            <w:pPr>
              <w:pStyle w:val="33"/>
            </w:pPr>
            <w:r>
              <w:t>IV、IV+</w:t>
            </w:r>
          </w:p>
        </w:tc>
        <w:tc>
          <w:tcPr>
            <w:tcW w:w="1000" w:type="pct"/>
            <w:vAlign w:val="center"/>
          </w:tcPr>
          <w:p>
            <w:pPr>
              <w:pStyle w:val="33"/>
            </w:pPr>
            <w:r>
              <w:t>III</w:t>
            </w:r>
          </w:p>
        </w:tc>
        <w:tc>
          <w:tcPr>
            <w:tcW w:w="1000" w:type="pct"/>
            <w:vAlign w:val="center"/>
          </w:tcPr>
          <w:p>
            <w:pPr>
              <w:pStyle w:val="33"/>
            </w:pPr>
            <w:r>
              <w:t>II</w:t>
            </w:r>
          </w:p>
        </w:tc>
        <w:tc>
          <w:tcPr>
            <w:tcW w:w="1000" w:type="pct"/>
            <w:vAlign w:val="center"/>
          </w:tcPr>
          <w:p>
            <w:pPr>
              <w:pStyle w:val="33"/>
            </w:pPr>
            <w:r>
              <w:t>I</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000" w:type="pct"/>
            <w:vAlign w:val="center"/>
          </w:tcPr>
          <w:p>
            <w:pPr>
              <w:pStyle w:val="33"/>
            </w:pPr>
            <w:r>
              <w:t>评价工作等级</w:t>
            </w:r>
          </w:p>
        </w:tc>
        <w:tc>
          <w:tcPr>
            <w:tcW w:w="1000" w:type="pct"/>
            <w:vAlign w:val="center"/>
          </w:tcPr>
          <w:p>
            <w:pPr>
              <w:pStyle w:val="33"/>
            </w:pPr>
            <w:r>
              <w:t>一</w:t>
            </w:r>
          </w:p>
        </w:tc>
        <w:tc>
          <w:tcPr>
            <w:tcW w:w="1000" w:type="pct"/>
            <w:vAlign w:val="center"/>
          </w:tcPr>
          <w:p>
            <w:pPr>
              <w:pStyle w:val="33"/>
            </w:pPr>
            <w:r>
              <w:t>二</w:t>
            </w:r>
          </w:p>
        </w:tc>
        <w:tc>
          <w:tcPr>
            <w:tcW w:w="1000" w:type="pct"/>
            <w:vAlign w:val="center"/>
          </w:tcPr>
          <w:p>
            <w:pPr>
              <w:pStyle w:val="33"/>
            </w:pPr>
            <w:r>
              <w:t>三</w:t>
            </w:r>
          </w:p>
        </w:tc>
        <w:tc>
          <w:tcPr>
            <w:tcW w:w="1000" w:type="pct"/>
            <w:vAlign w:val="center"/>
          </w:tcPr>
          <w:p>
            <w:pPr>
              <w:pStyle w:val="33"/>
            </w:pPr>
            <w:r>
              <w:t>简单分析a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000" w:type="pct"/>
            <w:gridSpan w:val="5"/>
            <w:vAlign w:val="center"/>
          </w:tcPr>
          <w:p>
            <w:pPr>
              <w:pStyle w:val="33"/>
            </w:pPr>
            <w:r>
              <w:t>a 是相对于详细评价工作内容而言，在描述危险物质、环境影响途径、环境危害后果、风险防范措施等方面给出定性的说明。</w:t>
            </w:r>
          </w:p>
        </w:tc>
      </w:tr>
    </w:tbl>
    <w:p>
      <w:pPr>
        <w:pStyle w:val="7"/>
        <w:ind w:firstLine="480"/>
        <w:rPr>
          <w:rFonts w:hint="default" w:eastAsia="宋体"/>
          <w:b w:val="0"/>
          <w:bCs w:val="0"/>
          <w:highlight w:val="none"/>
          <w:lang w:val="en-US" w:eastAsia="zh-CN"/>
        </w:rPr>
      </w:pPr>
      <w:r>
        <w:t>本项目</w:t>
      </w:r>
      <w:r>
        <w:rPr>
          <w:b w:val="0"/>
          <w:bCs w:val="0"/>
          <w:highlight w:val="none"/>
        </w:rPr>
        <w:t>风险潜势为I，</w:t>
      </w:r>
      <w:r>
        <w:rPr>
          <w:rFonts w:hint="eastAsia"/>
          <w:b w:val="0"/>
          <w:bCs w:val="0"/>
          <w:highlight w:val="none"/>
        </w:rPr>
        <w:t>根据导则环境风险为</w:t>
      </w:r>
      <w:r>
        <w:rPr>
          <w:b w:val="0"/>
          <w:bCs w:val="0"/>
          <w:highlight w:val="none"/>
        </w:rPr>
        <w:t>简单分析</w:t>
      </w:r>
      <w:r>
        <w:rPr>
          <w:rFonts w:hint="eastAsia"/>
          <w:b w:val="0"/>
          <w:bCs w:val="0"/>
          <w:highlight w:val="none"/>
          <w:lang w:eastAsia="zh-CN"/>
        </w:rPr>
        <w:t>，</w:t>
      </w:r>
      <w:r>
        <w:rPr>
          <w:rFonts w:hint="eastAsia"/>
          <w:b w:val="0"/>
          <w:bCs w:val="0"/>
          <w:highlight w:val="none"/>
          <w:lang w:val="en-US" w:eastAsia="zh-CN"/>
        </w:rPr>
        <w:t>不设评价范围。</w:t>
      </w:r>
    </w:p>
    <w:p>
      <w:pPr>
        <w:pStyle w:val="5"/>
      </w:pPr>
      <w:bookmarkStart w:id="153" w:name="_Toc6579"/>
      <w:r>
        <w:rPr>
          <w:rFonts w:hint="eastAsia"/>
        </w:rPr>
        <w:t>7.3环境风险识别</w:t>
      </w:r>
      <w:bookmarkEnd w:id="153"/>
    </w:p>
    <w:p>
      <w:pPr>
        <w:pStyle w:val="7"/>
        <w:ind w:firstLine="480"/>
      </w:pPr>
      <w:r>
        <w:rPr>
          <w:rFonts w:hint="eastAsia"/>
        </w:rPr>
        <w:t>风险识别范围：物质险性识别、生产系统危险性识别和危险物质向环境转移的途径识别。风险识别类型：危险物质泄漏，以及火灾、爆炸等引发的伴生/次生污染物排放。</w:t>
      </w:r>
    </w:p>
    <w:p>
      <w:pPr>
        <w:pStyle w:val="8"/>
      </w:pPr>
      <w:r>
        <w:rPr>
          <w:rFonts w:hint="eastAsia"/>
        </w:rPr>
        <w:t>7.3.1事故资料统计</w:t>
      </w:r>
    </w:p>
    <w:p>
      <w:pPr>
        <w:pStyle w:val="9"/>
      </w:pPr>
      <w:r>
        <w:rPr>
          <w:rFonts w:hint="eastAsia"/>
        </w:rPr>
        <w:t>7.3.1.1然气事故</w:t>
      </w:r>
    </w:p>
    <w:p>
      <w:pPr>
        <w:spacing w:line="360" w:lineRule="auto"/>
        <w:ind w:firstLine="480"/>
      </w:pPr>
      <w:r>
        <w:rPr>
          <w:rFonts w:hint="eastAsia"/>
        </w:rPr>
        <w:t>根据国家安全生产监督管理总局的统计资料，2001年至今共发生与天然气运输、使用、储存等有关的事故统计结果见表</w:t>
      </w:r>
      <w:r>
        <w:rPr>
          <w:rFonts w:hint="eastAsia"/>
          <w:lang w:val="en-US" w:eastAsia="zh-CN"/>
        </w:rPr>
        <w:t>7</w:t>
      </w:r>
      <w:r>
        <w:rPr>
          <w:rFonts w:hint="eastAsia"/>
        </w:rPr>
        <w:t>.3-1。本项目天然气运输通过管道，不涉及路面运输风险。</w:t>
      </w:r>
    </w:p>
    <w:p>
      <w:pPr>
        <w:pStyle w:val="31"/>
      </w:pPr>
      <w:r>
        <w:t>表</w:t>
      </w:r>
      <w:r>
        <w:rPr>
          <w:rFonts w:hint="eastAsia"/>
        </w:rPr>
        <w:t>7.3-1</w:t>
      </w:r>
      <w:r>
        <w:t xml:space="preserve">  </w:t>
      </w:r>
      <w:r>
        <w:rPr>
          <w:rFonts w:hint="eastAsia"/>
        </w:rPr>
        <w:t>2001 年至今发生的与天然气有关的重大事故统计</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83"/>
        <w:gridCol w:w="1239"/>
        <w:gridCol w:w="4266"/>
        <w:gridCol w:w="1101"/>
        <w:gridCol w:w="123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序号</w:t>
            </w:r>
          </w:p>
        </w:tc>
        <w:tc>
          <w:tcPr>
            <w:tcW w:w="727" w:type="pct"/>
            <w:vAlign w:val="center"/>
          </w:tcPr>
          <w:p>
            <w:pPr>
              <w:pStyle w:val="33"/>
            </w:pPr>
            <w:r>
              <w:rPr>
                <w:rFonts w:hint="eastAsia"/>
              </w:rPr>
              <w:t>事故时间</w:t>
            </w:r>
          </w:p>
        </w:tc>
        <w:tc>
          <w:tcPr>
            <w:tcW w:w="2503" w:type="pct"/>
            <w:vAlign w:val="center"/>
          </w:tcPr>
          <w:p>
            <w:pPr>
              <w:pStyle w:val="33"/>
            </w:pPr>
            <w:r>
              <w:rPr>
                <w:rFonts w:hint="eastAsia"/>
              </w:rPr>
              <w:t>事故过程</w:t>
            </w:r>
          </w:p>
        </w:tc>
        <w:tc>
          <w:tcPr>
            <w:tcW w:w="646" w:type="pct"/>
            <w:vAlign w:val="center"/>
          </w:tcPr>
          <w:p>
            <w:pPr>
              <w:pStyle w:val="33"/>
            </w:pPr>
            <w:r>
              <w:rPr>
                <w:rFonts w:hint="eastAsia"/>
              </w:rPr>
              <w:t>事故类型</w:t>
            </w:r>
          </w:p>
        </w:tc>
        <w:tc>
          <w:tcPr>
            <w:tcW w:w="723" w:type="pct"/>
            <w:vAlign w:val="center"/>
          </w:tcPr>
          <w:p>
            <w:pPr>
              <w:pStyle w:val="33"/>
            </w:pPr>
            <w:r>
              <w:rPr>
                <w:rFonts w:hint="eastAsia"/>
              </w:rPr>
              <w:t>死亡人数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1</w:t>
            </w:r>
          </w:p>
        </w:tc>
        <w:tc>
          <w:tcPr>
            <w:tcW w:w="727" w:type="pct"/>
            <w:vAlign w:val="center"/>
          </w:tcPr>
          <w:p>
            <w:pPr>
              <w:pStyle w:val="33"/>
            </w:pPr>
            <w:r>
              <w:t>2008.10.22</w:t>
            </w:r>
          </w:p>
        </w:tc>
        <w:tc>
          <w:tcPr>
            <w:tcW w:w="2503" w:type="pct"/>
            <w:vAlign w:val="center"/>
          </w:tcPr>
          <w:p>
            <w:pPr>
              <w:pStyle w:val="33"/>
            </w:pPr>
            <w:r>
              <w:rPr>
                <w:rFonts w:hint="eastAsia"/>
              </w:rPr>
              <w:t>8时0分，中石油天然气运输公司海南分公司的一辆气罐车，过滤网发生堵塞，在海南三亚市澄迈县琼城汽车修理部进行维修过 程中，由于缺氧一名修理工倒在罐内，其他人在施救过程中，不慎碰到气罐上方的380V电线，引爆气罐内残留的液化气，造成3人死亡，5人受伤。</w:t>
            </w:r>
          </w:p>
        </w:tc>
        <w:tc>
          <w:tcPr>
            <w:tcW w:w="646" w:type="pct"/>
            <w:vAlign w:val="center"/>
          </w:tcPr>
          <w:p>
            <w:pPr>
              <w:pStyle w:val="33"/>
            </w:pPr>
            <w:r>
              <w:rPr>
                <w:rFonts w:hint="eastAsia"/>
              </w:rPr>
              <w:t>爆炸</w:t>
            </w:r>
          </w:p>
        </w:tc>
        <w:tc>
          <w:tcPr>
            <w:tcW w:w="723" w:type="pct"/>
            <w:vAlign w:val="center"/>
          </w:tcPr>
          <w:p>
            <w:pPr>
              <w:pStyle w:val="33"/>
            </w:pPr>
            <w:r>
              <w:rPr>
                <w:rFonts w:hint="eastAsia"/>
              </w:rPr>
              <w:t>3人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2</w:t>
            </w:r>
          </w:p>
        </w:tc>
        <w:tc>
          <w:tcPr>
            <w:tcW w:w="727" w:type="pct"/>
            <w:vAlign w:val="center"/>
          </w:tcPr>
          <w:p>
            <w:pPr>
              <w:pStyle w:val="33"/>
            </w:pPr>
            <w:r>
              <w:t>2008.07.10</w:t>
            </w:r>
          </w:p>
        </w:tc>
        <w:tc>
          <w:tcPr>
            <w:tcW w:w="2503" w:type="pct"/>
            <w:vAlign w:val="center"/>
          </w:tcPr>
          <w:p>
            <w:pPr>
              <w:pStyle w:val="33"/>
            </w:pPr>
            <w:r>
              <w:rPr>
                <w:rFonts w:hint="eastAsia"/>
              </w:rPr>
              <w:t>4时30分，安徽合肥市由合肥建工集团承建的安徽中油洁能燃气 有限公司合肥市龙塘天然气加气站工程，在挖孔桩井下施工时， 发生不明气体中毒事故，造成3人死亡。</w:t>
            </w:r>
          </w:p>
        </w:tc>
        <w:tc>
          <w:tcPr>
            <w:tcW w:w="646" w:type="pct"/>
            <w:vAlign w:val="center"/>
          </w:tcPr>
          <w:p>
            <w:pPr>
              <w:pStyle w:val="33"/>
            </w:pPr>
            <w:r>
              <w:rPr>
                <w:rFonts w:hint="eastAsia"/>
              </w:rPr>
              <w:t>中毒</w:t>
            </w:r>
          </w:p>
        </w:tc>
        <w:tc>
          <w:tcPr>
            <w:tcW w:w="723" w:type="pct"/>
            <w:vAlign w:val="center"/>
          </w:tcPr>
          <w:p>
            <w:pPr>
              <w:pStyle w:val="33"/>
            </w:pPr>
            <w:r>
              <w:rPr>
                <w:rFonts w:hint="eastAsia"/>
              </w:rPr>
              <w:t>3人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3</w:t>
            </w:r>
          </w:p>
        </w:tc>
        <w:tc>
          <w:tcPr>
            <w:tcW w:w="727" w:type="pct"/>
            <w:vAlign w:val="center"/>
          </w:tcPr>
          <w:p>
            <w:pPr>
              <w:pStyle w:val="33"/>
            </w:pPr>
            <w:r>
              <w:t>2007.07.07</w:t>
            </w:r>
          </w:p>
        </w:tc>
        <w:tc>
          <w:tcPr>
            <w:tcW w:w="2503" w:type="pct"/>
            <w:vAlign w:val="center"/>
          </w:tcPr>
          <w:p>
            <w:pPr>
              <w:pStyle w:val="33"/>
            </w:pPr>
            <w:r>
              <w:rPr>
                <w:rFonts w:hint="eastAsia"/>
              </w:rPr>
              <w:t>15时0分，中国冶金建设集团第八冶建设安装工程有限公司兰州 分公司（建筑施工一级资质），承接安装兰州天然气管道工程，在天然气兰州东岗门站台外管线准备试压，安装试压接头时，1人被不明气体熏倒。随后又有2人下井施救，均被熏倒。这起事故共造成3人死亡，2人受伤。</w:t>
            </w:r>
          </w:p>
        </w:tc>
        <w:tc>
          <w:tcPr>
            <w:tcW w:w="646" w:type="pct"/>
            <w:vAlign w:val="center"/>
          </w:tcPr>
          <w:p>
            <w:pPr>
              <w:pStyle w:val="33"/>
            </w:pPr>
            <w:r>
              <w:rPr>
                <w:rFonts w:hint="eastAsia"/>
              </w:rPr>
              <w:t>中毒</w:t>
            </w:r>
          </w:p>
        </w:tc>
        <w:tc>
          <w:tcPr>
            <w:tcW w:w="723" w:type="pct"/>
            <w:vAlign w:val="center"/>
          </w:tcPr>
          <w:p>
            <w:pPr>
              <w:pStyle w:val="33"/>
            </w:pPr>
            <w:r>
              <w:rPr>
                <w:rFonts w:hint="eastAsia"/>
              </w:rPr>
              <w:t>3人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4</w:t>
            </w:r>
          </w:p>
        </w:tc>
        <w:tc>
          <w:tcPr>
            <w:tcW w:w="727" w:type="pct"/>
            <w:vAlign w:val="center"/>
          </w:tcPr>
          <w:p>
            <w:pPr>
              <w:pStyle w:val="33"/>
            </w:pPr>
            <w:r>
              <w:t>2002.07.13</w:t>
            </w:r>
          </w:p>
        </w:tc>
        <w:tc>
          <w:tcPr>
            <w:tcW w:w="2503" w:type="pct"/>
            <w:vAlign w:val="center"/>
          </w:tcPr>
          <w:p>
            <w:pPr>
              <w:pStyle w:val="33"/>
            </w:pPr>
            <w:r>
              <w:rPr>
                <w:rFonts w:hint="eastAsia"/>
              </w:rPr>
              <w:t>1时40分，辽宁营口市煤气公司渤海大街东段维修天然气管道过程中，发生火灾事故，当场死亡4人，轻伤4人。</w:t>
            </w:r>
          </w:p>
        </w:tc>
        <w:tc>
          <w:tcPr>
            <w:tcW w:w="646" w:type="pct"/>
            <w:vAlign w:val="center"/>
          </w:tcPr>
          <w:p>
            <w:pPr>
              <w:pStyle w:val="33"/>
            </w:pPr>
            <w:r>
              <w:rPr>
                <w:rFonts w:hint="eastAsia"/>
              </w:rPr>
              <w:t>火灾</w:t>
            </w:r>
          </w:p>
        </w:tc>
        <w:tc>
          <w:tcPr>
            <w:tcW w:w="723" w:type="pct"/>
            <w:vAlign w:val="center"/>
          </w:tcPr>
          <w:p>
            <w:pPr>
              <w:pStyle w:val="33"/>
            </w:pPr>
            <w:r>
              <w:rPr>
                <w:rFonts w:hint="eastAsia"/>
              </w:rPr>
              <w:t>5人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5</w:t>
            </w:r>
          </w:p>
        </w:tc>
        <w:tc>
          <w:tcPr>
            <w:tcW w:w="727" w:type="pct"/>
            <w:vAlign w:val="center"/>
          </w:tcPr>
          <w:p>
            <w:pPr>
              <w:pStyle w:val="33"/>
            </w:pPr>
            <w:r>
              <w:t>2002.06.07</w:t>
            </w:r>
          </w:p>
        </w:tc>
        <w:tc>
          <w:tcPr>
            <w:tcW w:w="2503" w:type="pct"/>
            <w:vAlign w:val="center"/>
          </w:tcPr>
          <w:p>
            <w:pPr>
              <w:pStyle w:val="33"/>
            </w:pPr>
            <w:r>
              <w:rPr>
                <w:rFonts w:hint="eastAsia"/>
              </w:rPr>
              <w:t>长庆第一采气厂陕西靖边县乔沟湾集气管道主干线被一施工铲车 挖出像胳膊一样粗的缺口，导致天然气大量泄漏，307国道交通 中断达3h。通过紧急关闭泄漏点两侧管道阀门等手段，天然气才停止继续泄漏。</w:t>
            </w:r>
          </w:p>
        </w:tc>
        <w:tc>
          <w:tcPr>
            <w:tcW w:w="646" w:type="pct"/>
            <w:vAlign w:val="center"/>
          </w:tcPr>
          <w:p>
            <w:pPr>
              <w:pStyle w:val="33"/>
            </w:pPr>
            <w:r>
              <w:rPr>
                <w:rFonts w:hint="eastAsia"/>
              </w:rPr>
              <w:t>泄露</w:t>
            </w:r>
          </w:p>
        </w:tc>
        <w:tc>
          <w:tcPr>
            <w:tcW w:w="723" w:type="pct"/>
            <w:vAlign w:val="center"/>
          </w:tcPr>
          <w:p>
            <w:pPr>
              <w:pStyle w:val="33"/>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6</w:t>
            </w:r>
          </w:p>
        </w:tc>
        <w:tc>
          <w:tcPr>
            <w:tcW w:w="727" w:type="pct"/>
            <w:vAlign w:val="center"/>
          </w:tcPr>
          <w:p>
            <w:pPr>
              <w:pStyle w:val="33"/>
            </w:pPr>
            <w:r>
              <w:t>2006.1.20</w:t>
            </w:r>
          </w:p>
        </w:tc>
        <w:tc>
          <w:tcPr>
            <w:tcW w:w="2503" w:type="pct"/>
            <w:vAlign w:val="center"/>
          </w:tcPr>
          <w:p>
            <w:pPr>
              <w:pStyle w:val="33"/>
            </w:pPr>
            <w:r>
              <w:rPr>
                <w:rFonts w:hint="eastAsia"/>
              </w:rPr>
              <w:t>西南某气田距工艺装置区约60m处，因￠720输气管线螺旋焊缝 存在缺陷，在一定内压作用下管道被撕裂，导致天然气大量泄漏，泄漏的天然气携带硫化亚铁粉末从裂缝中喷射出来遇空气氧化自燃，引发泄漏天然气管外爆炸(第一次爆炸)，因第一次爆炸后的猛烈燃烧，使管内天然气产生相对负压，造成部分高热空气迅速回流管内与天然气混合，引发第二次爆炸。12时20分左右，距工艺装置区约 63m处发生了第三次爆炸。当第一次爆炸发生后，集 输站值班宿舍内的职工和家属，在逃生过程中恰遇第三爆炸点爆炸，导致多人伤亡。输气管理处在接到事故报告后，输气处调度室立即通知两集气站紧急关断干线截断球阀并进行放空。</w:t>
            </w:r>
          </w:p>
        </w:tc>
        <w:tc>
          <w:tcPr>
            <w:tcW w:w="646" w:type="pct"/>
            <w:vAlign w:val="center"/>
          </w:tcPr>
          <w:p>
            <w:pPr>
              <w:pStyle w:val="33"/>
            </w:pPr>
            <w:r>
              <w:rPr>
                <w:rFonts w:hint="eastAsia"/>
              </w:rPr>
              <w:t>泄露引起火灾和爆炸事故</w:t>
            </w:r>
          </w:p>
        </w:tc>
        <w:tc>
          <w:tcPr>
            <w:tcW w:w="723" w:type="pct"/>
            <w:vAlign w:val="center"/>
          </w:tcPr>
          <w:p>
            <w:pPr>
              <w:pStyle w:val="33"/>
            </w:pPr>
            <w:r>
              <w:rPr>
                <w:rFonts w:hint="eastAsia"/>
              </w:rPr>
              <w:t>10人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7</w:t>
            </w:r>
          </w:p>
        </w:tc>
        <w:tc>
          <w:tcPr>
            <w:tcW w:w="727" w:type="pct"/>
            <w:vAlign w:val="center"/>
          </w:tcPr>
          <w:p>
            <w:pPr>
              <w:pStyle w:val="33"/>
            </w:pPr>
            <w:r>
              <w:t>2012.8.24</w:t>
            </w:r>
          </w:p>
        </w:tc>
        <w:tc>
          <w:tcPr>
            <w:tcW w:w="2503" w:type="pct"/>
            <w:vAlign w:val="center"/>
          </w:tcPr>
          <w:p>
            <w:pPr>
              <w:pStyle w:val="33"/>
            </w:pPr>
            <w:r>
              <w:rPr>
                <w:rFonts w:hint="eastAsia"/>
              </w:rPr>
              <w:t>位于上海市金山区一家化工厂内，一辆准备卸料的环氧乙烷罐车由于管道接口没有接牢，造成大量的环氧乙烷大量泄漏，造成2 人死亡，7人中毒。</w:t>
            </w:r>
          </w:p>
        </w:tc>
        <w:tc>
          <w:tcPr>
            <w:tcW w:w="646" w:type="pct"/>
            <w:vAlign w:val="center"/>
          </w:tcPr>
          <w:p>
            <w:pPr>
              <w:pStyle w:val="33"/>
            </w:pPr>
            <w:r>
              <w:rPr>
                <w:rFonts w:hint="eastAsia"/>
              </w:rPr>
              <w:t>泄露</w:t>
            </w:r>
          </w:p>
        </w:tc>
        <w:tc>
          <w:tcPr>
            <w:tcW w:w="723" w:type="pct"/>
            <w:vAlign w:val="center"/>
          </w:tcPr>
          <w:p>
            <w:pPr>
              <w:pStyle w:val="33"/>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8</w:t>
            </w:r>
          </w:p>
        </w:tc>
        <w:tc>
          <w:tcPr>
            <w:tcW w:w="727" w:type="pct"/>
            <w:vAlign w:val="center"/>
          </w:tcPr>
          <w:p>
            <w:pPr>
              <w:pStyle w:val="33"/>
            </w:pPr>
            <w:r>
              <w:t>2013.6.11</w:t>
            </w:r>
          </w:p>
        </w:tc>
        <w:tc>
          <w:tcPr>
            <w:tcW w:w="2503" w:type="pct"/>
            <w:vAlign w:val="center"/>
          </w:tcPr>
          <w:p>
            <w:pPr>
              <w:pStyle w:val="33"/>
            </w:pPr>
            <w:r>
              <w:rPr>
                <w:rFonts w:hint="eastAsia"/>
              </w:rPr>
              <w:t>苏州燃气集团有限责任公司液化气经销分公司横山储罐场生活区综合楼发生液化石油气泄漏爆炸事故造成11人死亡，救人受伤入 院救治，其中1人伤势严重，经抢救无效死亡，直接经济损失1833万</w:t>
            </w:r>
          </w:p>
        </w:tc>
        <w:tc>
          <w:tcPr>
            <w:tcW w:w="646" w:type="pct"/>
            <w:vAlign w:val="center"/>
          </w:tcPr>
          <w:p>
            <w:pPr>
              <w:pStyle w:val="33"/>
            </w:pPr>
            <w:r>
              <w:rPr>
                <w:rFonts w:hint="eastAsia"/>
              </w:rPr>
              <w:t>泄露引起火灾和爆炸事故</w:t>
            </w:r>
          </w:p>
        </w:tc>
        <w:tc>
          <w:tcPr>
            <w:tcW w:w="723" w:type="pct"/>
            <w:vAlign w:val="center"/>
          </w:tcPr>
          <w:p>
            <w:pPr>
              <w:pStyle w:val="33"/>
            </w:pPr>
            <w:r>
              <w:rPr>
                <w:rFonts w:hint="eastAsia"/>
              </w:rPr>
              <w:t>12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9</w:t>
            </w:r>
          </w:p>
        </w:tc>
        <w:tc>
          <w:tcPr>
            <w:tcW w:w="727" w:type="pct"/>
            <w:vAlign w:val="center"/>
          </w:tcPr>
          <w:p>
            <w:pPr>
              <w:pStyle w:val="33"/>
            </w:pPr>
            <w:r>
              <w:t>2015.7.16</w:t>
            </w:r>
          </w:p>
        </w:tc>
        <w:tc>
          <w:tcPr>
            <w:tcW w:w="2503" w:type="pct"/>
            <w:vAlign w:val="center"/>
          </w:tcPr>
          <w:p>
            <w:pPr>
              <w:pStyle w:val="33"/>
            </w:pPr>
            <w:r>
              <w:rPr>
                <w:rFonts w:hint="eastAsia"/>
              </w:rPr>
              <w:t>山东日照石大科技石化有限公司1000立方米液态烃球罐起火。未发现人员伤亡。</w:t>
            </w:r>
          </w:p>
        </w:tc>
        <w:tc>
          <w:tcPr>
            <w:tcW w:w="646" w:type="pct"/>
            <w:vAlign w:val="center"/>
          </w:tcPr>
          <w:p>
            <w:pPr>
              <w:pStyle w:val="33"/>
            </w:pPr>
            <w:r>
              <w:rPr>
                <w:rFonts w:hint="eastAsia"/>
              </w:rPr>
              <w:t>火灾</w:t>
            </w:r>
          </w:p>
        </w:tc>
        <w:tc>
          <w:tcPr>
            <w:tcW w:w="723" w:type="pct"/>
            <w:vAlign w:val="center"/>
          </w:tcPr>
          <w:p>
            <w:pPr>
              <w:pStyle w:val="33"/>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401" w:type="pct"/>
            <w:vAlign w:val="center"/>
          </w:tcPr>
          <w:p>
            <w:pPr>
              <w:pStyle w:val="33"/>
            </w:pPr>
            <w:r>
              <w:rPr>
                <w:rFonts w:hint="eastAsia"/>
              </w:rPr>
              <w:t>10</w:t>
            </w:r>
          </w:p>
        </w:tc>
        <w:tc>
          <w:tcPr>
            <w:tcW w:w="727" w:type="pct"/>
            <w:vAlign w:val="center"/>
          </w:tcPr>
          <w:p>
            <w:pPr>
              <w:pStyle w:val="33"/>
            </w:pPr>
            <w:r>
              <w:t>2016.11.21</w:t>
            </w:r>
          </w:p>
        </w:tc>
        <w:tc>
          <w:tcPr>
            <w:tcW w:w="2503" w:type="pct"/>
            <w:vAlign w:val="center"/>
          </w:tcPr>
          <w:p>
            <w:pPr>
              <w:pStyle w:val="33"/>
            </w:pPr>
            <w:r>
              <w:rPr>
                <w:rFonts w:hint="eastAsia"/>
              </w:rPr>
              <w:t>在西延高速铜川段由延安驶往西安方向的蒿庄梁隧道（k729公里450米）附近，一辆运送危化品轻烃的罐车发生侧翻，造成车体 顶部密封盖脱落，所载的轻烃发生泄露。为防止发生二次危害，相关部门对事发地附近 20余户村民进行紧急撤离，并断开其村庄 电源，铜川高速交警对道路进行双向封闭近10小时，所幸此事故未造成人员伤亡。</w:t>
            </w:r>
          </w:p>
        </w:tc>
        <w:tc>
          <w:tcPr>
            <w:tcW w:w="646" w:type="pct"/>
            <w:vAlign w:val="center"/>
          </w:tcPr>
          <w:p>
            <w:pPr>
              <w:pStyle w:val="33"/>
            </w:pPr>
            <w:r>
              <w:rPr>
                <w:rFonts w:hint="eastAsia"/>
              </w:rPr>
              <w:t>泄露</w:t>
            </w:r>
          </w:p>
        </w:tc>
        <w:tc>
          <w:tcPr>
            <w:tcW w:w="723" w:type="pct"/>
            <w:vAlign w:val="center"/>
          </w:tcPr>
          <w:p>
            <w:pPr>
              <w:pStyle w:val="33"/>
            </w:pPr>
            <w:r>
              <w:rPr>
                <w:rFonts w:hint="eastAsia"/>
              </w:rPr>
              <w:t>0</w:t>
            </w:r>
          </w:p>
        </w:tc>
      </w:tr>
    </w:tbl>
    <w:p>
      <w:pPr>
        <w:pStyle w:val="9"/>
      </w:pPr>
      <w:r>
        <w:rPr>
          <w:rFonts w:hint="eastAsia"/>
        </w:rPr>
        <w:t>7.3.1.2氯气泄露事故</w:t>
      </w:r>
    </w:p>
    <w:p>
      <w:pPr>
        <w:pStyle w:val="7"/>
        <w:ind w:firstLine="480"/>
      </w:pPr>
      <w:r>
        <w:rPr>
          <w:rFonts w:hint="eastAsia"/>
        </w:rPr>
        <w:t>1979年9月7日下午1时55分，温州电化厂液氯工段的工人正在充装作业，一只半吨重的充满液氯的钢瓶突然爆炸。随着震天的巨响，大量液氯气化，形成巨大黄绿色气柱冲天而起，蘑菇状，高达40余米。该工段的厂房全部倒塌，其它液氯钢瓶被引爆或击穿，大量液氯外泄。爆炸中心的一只重达1735kg的液氯钢瓶被气浪掀起，飞越12米的高压线，坠落在30米外的盐库内。中毒患者表现为胸闷、咳嗽、呼吸困难、头痛、恶心、呕吐、无力等。严重者出现大量白色或粉红色泡沫痰、烦躁不安、昏迷，部分患者出现严重的紫绀；少数患者发现时已经死亡。</w:t>
      </w:r>
    </w:p>
    <w:p>
      <w:pPr>
        <w:pStyle w:val="7"/>
        <w:ind w:firstLine="480"/>
      </w:pPr>
      <w:r>
        <w:rPr>
          <w:rFonts w:hint="eastAsia"/>
        </w:rPr>
        <w:t>2004年4月15日正午重庆天原化工总厂工人在操作过程中发现2号氯冷凝器出现穿孔，有氯气泄漏，厂方随即进行处置。16日1时左右，列管发生爆炸；凌晨4时左右再次发生局部爆炸；16日17时7分，5个装有液氯的氯罐在抢险过程中突然发生爆炸，两边建筑物发生部分倒塌，大量氯气向周围弥漫，造成9 人死亡和失踪，3名重伤。事故发生后，由于采取有效措施（连续用高压水网（碱液）进行高空稀释），在较短时间内控制了氯气污染。</w:t>
      </w:r>
    </w:p>
    <w:p>
      <w:pPr>
        <w:pStyle w:val="7"/>
        <w:ind w:firstLine="480"/>
      </w:pPr>
      <w:r>
        <w:rPr>
          <w:rFonts w:hint="eastAsia"/>
        </w:rPr>
        <w:t>2012年7月2日23时，西安市一工业园区发生一起液氯泄漏事件，导致27 人中毒。截至3日晚，除一名患者病情较重外，其余病情较稳定。事故原因为一工人私自拆卸二十余天前收购的液氯金属罐口铜角阀，造成罐内残液挥发泄漏所致。中毒事件发生后，工人已经全部撤出了宿舍楼，事故厂区也已全面停产。</w:t>
      </w:r>
    </w:p>
    <w:p>
      <w:pPr>
        <w:pStyle w:val="7"/>
        <w:ind w:firstLine="480"/>
      </w:pPr>
      <w:r>
        <w:rPr>
          <w:rFonts w:hint="eastAsia"/>
        </w:rPr>
        <w:t>事故原因分析：</w:t>
      </w:r>
    </w:p>
    <w:p>
      <w:pPr>
        <w:pStyle w:val="7"/>
        <w:ind w:firstLine="480"/>
      </w:pPr>
      <w:r>
        <w:rPr>
          <w:rFonts w:hint="eastAsia"/>
        </w:rPr>
        <w:t>①工艺技术</w:t>
      </w:r>
    </w:p>
    <w:p>
      <w:pPr>
        <w:pStyle w:val="7"/>
        <w:ind w:firstLine="480"/>
      </w:pPr>
      <w:r>
        <w:rPr>
          <w:rFonts w:hint="eastAsia"/>
        </w:rPr>
        <w:t>工艺路线设计不合理，操作中关键参数控制要求不严格。</w:t>
      </w:r>
    </w:p>
    <w:p>
      <w:pPr>
        <w:pStyle w:val="7"/>
        <w:ind w:firstLine="480"/>
      </w:pPr>
      <w:r>
        <w:rPr>
          <w:rFonts w:hint="eastAsia"/>
        </w:rPr>
        <w:t>②设备、材料本身原因</w:t>
      </w:r>
    </w:p>
    <w:p>
      <w:pPr>
        <w:pStyle w:val="7"/>
        <w:ind w:firstLine="480"/>
      </w:pPr>
      <w:r>
        <w:rPr>
          <w:rFonts w:hint="eastAsia"/>
        </w:rPr>
        <w:t>设备本身缺陷，材料及安装质量未达到标准要求：生产、制造过程中不按照有关规定进行；材料选择不符合标准。</w:t>
      </w:r>
    </w:p>
    <w:p>
      <w:pPr>
        <w:pStyle w:val="7"/>
        <w:ind w:firstLine="480"/>
      </w:pPr>
      <w:r>
        <w:rPr>
          <w:rFonts w:hint="eastAsia"/>
        </w:rPr>
        <w:t>③人为因素</w:t>
      </w:r>
    </w:p>
    <w:p>
      <w:pPr>
        <w:pStyle w:val="7"/>
        <w:ind w:firstLine="480"/>
      </w:pPr>
      <w:r>
        <w:rPr>
          <w:rFonts w:hint="eastAsia"/>
        </w:rPr>
        <w:t>违章操作、误操作、缺少必要的安全生产和岗位技能知识；工作责任心不强。</w:t>
      </w:r>
    </w:p>
    <w:p>
      <w:pPr>
        <w:pStyle w:val="7"/>
        <w:ind w:firstLine="480"/>
      </w:pPr>
      <w:r>
        <w:rPr>
          <w:rFonts w:hint="eastAsia"/>
        </w:rPr>
        <w:t>④外来因素</w:t>
      </w:r>
    </w:p>
    <w:p>
      <w:pPr>
        <w:pStyle w:val="7"/>
        <w:ind w:firstLine="480"/>
      </w:pPr>
      <w:r>
        <w:rPr>
          <w:rFonts w:hint="eastAsia"/>
        </w:rPr>
        <w:t>外来物体的打击、碰撞。</w:t>
      </w:r>
    </w:p>
    <w:p>
      <w:pPr>
        <w:pStyle w:val="7"/>
        <w:ind w:firstLine="480"/>
      </w:pPr>
      <w:r>
        <w:rPr>
          <w:rFonts w:hint="eastAsia"/>
        </w:rPr>
        <w:t>⑤其他因素</w:t>
      </w:r>
    </w:p>
    <w:p>
      <w:pPr>
        <w:pStyle w:val="7"/>
        <w:ind w:firstLine="480"/>
      </w:pPr>
      <w:r>
        <w:rPr>
          <w:rFonts w:hint="eastAsia"/>
        </w:rPr>
        <w:t>不属于以上四种原因之一。</w:t>
      </w:r>
    </w:p>
    <w:p>
      <w:pPr>
        <w:pStyle w:val="7"/>
        <w:ind w:firstLine="480"/>
      </w:pPr>
      <w:r>
        <w:rPr>
          <w:rFonts w:hint="eastAsia"/>
        </w:rPr>
        <w:t>从以上统计可以看出，泄漏事故的发生主要是因为设备等产品的质量不过关，职工不按操作规程进行操作和安全生产意识不强等主要原因造成的。针对这些原因，有关部门应加强产品质量的检查和验收，积极开展安全生产及岗位操作技能教育，真正做到岗前培训，持证上岗。</w:t>
      </w:r>
    </w:p>
    <w:p>
      <w:pPr>
        <w:pStyle w:val="9"/>
      </w:pPr>
      <w:r>
        <w:rPr>
          <w:rFonts w:hint="eastAsia"/>
        </w:rPr>
        <w:t>7.3.1.3铝液爆炸事故</w:t>
      </w:r>
    </w:p>
    <w:p>
      <w:pPr>
        <w:pStyle w:val="7"/>
        <w:ind w:firstLine="480"/>
      </w:pPr>
      <w:r>
        <w:rPr>
          <w:rFonts w:hint="eastAsia"/>
        </w:rPr>
        <w:t>（1）事故经过</w:t>
      </w:r>
    </w:p>
    <w:p>
      <w:pPr>
        <w:pStyle w:val="7"/>
        <w:ind w:firstLine="480"/>
      </w:pPr>
      <w:r>
        <w:rPr>
          <w:rFonts w:hint="eastAsia"/>
        </w:rPr>
        <w:t>2007年8月19日下午4点，山东魏桥创业集团所属铝母线铸造分厂生产乙班接班组织生产，当班在岗人员27人，首先由1号40吨混合炉向1号铝母线铸造机供铝液生产铝母线，因铝母线铸造机的结晶器漏铝，岗位工人堵住混合炉炉眼后停止铸造工作。19∶00左右，混合炉开始向2号普通铝锭铸造机供铝液生产普通铝锭，至19∶45左右，混合炉的炉眼铝液流量异常增大、出现跑铝，铝液溢出流槽流到地面，部分铝液进入1号普通铝锭铸造机分配器的循环冷却水回水坑内，熔融铝液与水发生反应形成大量水蒸汽，体积急剧膨胀，在一个相对密闭的空间中，能量大量聚集无法释放，约20:10发生剧烈爆炸。事故造成厂房东区8跨顶盖板全部塌落，中间5跨的钢屋架完全严重扭曲变形且倒塌，南北两侧墙体全部倒塌，东侧办公室门窗全部损毁。1号普通铝锭铸造机头部由西向东向上翻折。原铸造机头部下方地面形成9m×7m×1.9m的爆炸冲击坑。1号混合炉与2号混合炉之间的溜槽严重移位。另造成两台天车部分损坏，临近厂房局部受损。</w:t>
      </w:r>
    </w:p>
    <w:p>
      <w:pPr>
        <w:pStyle w:val="7"/>
        <w:ind w:firstLine="480"/>
      </w:pPr>
      <w:r>
        <w:rPr>
          <w:rFonts w:hint="eastAsia"/>
        </w:rPr>
        <w:t xml:space="preserve">（2）事故原因分析 </w:t>
      </w:r>
    </w:p>
    <w:p>
      <w:pPr>
        <w:pStyle w:val="7"/>
        <w:ind w:firstLine="480"/>
      </w:pPr>
      <w:r>
        <w:rPr>
          <w:rFonts w:hint="eastAsia"/>
        </w:rPr>
        <w:t>经专家对事故现场初步勘察分析，造成这起事故发生的主要原因有：</w:t>
      </w:r>
    </w:p>
    <w:p>
      <w:pPr>
        <w:pStyle w:val="7"/>
        <w:ind w:firstLine="480"/>
      </w:pPr>
      <w:r>
        <w:rPr>
          <w:rFonts w:hint="eastAsia"/>
        </w:rPr>
        <w:t>①直接原因</w:t>
      </w:r>
    </w:p>
    <w:p>
      <w:pPr>
        <w:pStyle w:val="7"/>
        <w:ind w:firstLine="480"/>
      </w:pPr>
      <w:r>
        <w:rPr>
          <w:rFonts w:hint="eastAsia"/>
        </w:rPr>
        <w:t>因为1号混合炉放铝口炉眼砖内套(材质为炭化硅)缺失（是否脱落或破碎，由于现场知情人全部在事故中遇难，现场反复搜寻炉眼砖内套未果，目前难以判断事故前内套的真实状态），导致炉眼变大、铝液失控后，大量高温铝液溢出溜槽，流入1号16吨普通铝锭铸造机分配器南侧的循环冷却水回水坑，在相对密闭空间内，熔融铝与水发生反应同时产生大量蒸汽，压力急剧升高，能量聚集发生爆炸。</w:t>
      </w:r>
    </w:p>
    <w:p>
      <w:pPr>
        <w:pStyle w:val="7"/>
        <w:ind w:firstLine="480"/>
      </w:pPr>
      <w:r>
        <w:rPr>
          <w:rFonts w:hint="eastAsia"/>
        </w:rPr>
        <w:t>②间接原因</w:t>
      </w:r>
    </w:p>
    <w:p>
      <w:pPr>
        <w:pStyle w:val="7"/>
        <w:ind w:firstLine="480"/>
      </w:pPr>
      <w:r>
        <w:rPr>
          <w:rFonts w:hint="eastAsia"/>
        </w:rPr>
        <w:t>A、该工程由无设计资质的山东魏桥铝电有限公司进行设计。</w:t>
      </w:r>
    </w:p>
    <w:p>
      <w:pPr>
        <w:pStyle w:val="7"/>
        <w:ind w:firstLine="480"/>
      </w:pPr>
      <w:r>
        <w:rPr>
          <w:rFonts w:hint="eastAsia"/>
        </w:rPr>
        <w:t>B、设计图纸存在重大缺陷。铸造机循环水回水系统设计违反了排水而不存水的原则。该厂铸造车间回水管铺设角度过小，静态时管内余水达到管径的1/3，回水坑内水深约0.92米，循环水运行时回水坑内水深约1.28米，常规设计应不大于0.2米。上述情况的存在造成铝液流出后与大量冷却水接触发生爆炸。</w:t>
      </w:r>
    </w:p>
    <w:p>
      <w:pPr>
        <w:pStyle w:val="7"/>
        <w:ind w:firstLine="480"/>
      </w:pPr>
      <w:r>
        <w:rPr>
          <w:rFonts w:hint="eastAsia"/>
        </w:rPr>
        <w:t>C、工厂现场建设施工违反设计。一是将1号铸造机北侧和2号铸造机南侧的回水坑表面用30cm混凝土浇铸封死，导致大量铝液与水接触后产生的水蒸汽无法释放，能量大量聚集，压力急剧升高爆炸。二是厂房东区原设计为三条16吨普通铝锭铸造机生产线，现场实际安装了两条16吨普通铝锭铸造机生产线和两条铝母线铸造机生产线。造成现场通道变窄，事故发生时影响现场人员撤离，是造成人员伤亡扩大的原因之一。</w:t>
      </w:r>
    </w:p>
    <w:p>
      <w:pPr>
        <w:pStyle w:val="7"/>
        <w:ind w:firstLine="480"/>
      </w:pPr>
      <w:r>
        <w:rPr>
          <w:rFonts w:hint="eastAsia"/>
        </w:rPr>
        <w:t>D、现场应急处置不当。该厂应急预案第二条第五款规定：“如炉眼砖发生漏铝，在短时间处理不好，应及时撤离现场”。而当班人员发现漏铝后，20分钟左右未处理好，当班人员不但未撤离，反而更多人员涌入，是导致事故伤亡扩大的重要原因。</w:t>
      </w:r>
    </w:p>
    <w:p>
      <w:pPr>
        <w:pStyle w:val="7"/>
        <w:ind w:firstLine="480"/>
      </w:pPr>
      <w:r>
        <w:rPr>
          <w:rFonts w:hint="eastAsia"/>
        </w:rPr>
        <w:t>E、工厂制定的部分工艺技术和安全操作规程未履行审核和批准程序，也无发布和实施日期，且内容不明确、不具体，如放铝口操作未对控流、放流和巡视检查作出规定。</w:t>
      </w:r>
    </w:p>
    <w:p>
      <w:pPr>
        <w:pStyle w:val="7"/>
        <w:ind w:firstLine="480"/>
      </w:pPr>
      <w:r>
        <w:rPr>
          <w:rFonts w:hint="eastAsia"/>
        </w:rPr>
        <w:t>F、工厂制定的应急预案不符合规范要求，内容缺失，可操作性差。无应急报告程序、联络方式、组织机构和应急处置的具体措施。</w:t>
      </w:r>
    </w:p>
    <w:p>
      <w:pPr>
        <w:pStyle w:val="8"/>
      </w:pPr>
      <w:r>
        <w:rPr>
          <w:rFonts w:hint="eastAsia"/>
        </w:rPr>
        <w:t>7.3.3生产装置危险性辨识</w:t>
      </w:r>
    </w:p>
    <w:p>
      <w:pPr>
        <w:pStyle w:val="7"/>
        <w:ind w:firstLine="480"/>
      </w:pPr>
      <w:r>
        <w:rPr>
          <w:rFonts w:hint="eastAsia"/>
        </w:rPr>
        <w:t xml:space="preserve">根据项目特点，功能单元可分为生产区、存储区等，分述如下： </w:t>
      </w:r>
    </w:p>
    <w:p>
      <w:pPr>
        <w:pStyle w:val="7"/>
        <w:ind w:firstLine="480"/>
      </w:pPr>
      <w:r>
        <w:rPr>
          <w:rFonts w:hint="eastAsia"/>
        </w:rPr>
        <w:t>（1）生产区</w:t>
      </w:r>
    </w:p>
    <w:p>
      <w:pPr>
        <w:pStyle w:val="7"/>
        <w:ind w:firstLine="480"/>
      </w:pPr>
      <w:r>
        <w:rPr>
          <w:rFonts w:hint="eastAsia"/>
        </w:rPr>
        <w:t>项目在生产中涉及天然气、液化石油气使用，生产过程中，由于设备或管道阀门、法兰等因腐蚀、老化、密闭不严、误操作等造成破裂或泄漏，可燃物质在空气中形成爆炸性气体，一旦遇到火源即可引发火灾爆炸事故。</w:t>
      </w:r>
    </w:p>
    <w:p>
      <w:pPr>
        <w:pStyle w:val="7"/>
        <w:ind w:firstLine="480"/>
      </w:pPr>
      <w:r>
        <w:rPr>
          <w:rFonts w:hint="eastAsia"/>
        </w:rPr>
        <w:t>在精炼过程中涉及到氯气的使用，在生产中由于设备或管道阀门、法兰等因腐蚀、老化、密闭不严、误操作等造成破裂，导致氯气的泄漏。</w:t>
      </w:r>
    </w:p>
    <w:p>
      <w:pPr>
        <w:pStyle w:val="7"/>
        <w:ind w:firstLine="480"/>
      </w:pPr>
      <w:r>
        <w:rPr>
          <w:rFonts w:hint="eastAsia"/>
        </w:rPr>
        <w:t>（2）罐区</w:t>
      </w:r>
    </w:p>
    <w:p>
      <w:pPr>
        <w:pStyle w:val="7"/>
        <w:ind w:firstLine="480"/>
      </w:pPr>
      <w:r>
        <w:rPr>
          <w:rFonts w:hint="eastAsia"/>
        </w:rPr>
        <w:t>一期工程氯气站位于项目西北角，占地面积212m</w:t>
      </w:r>
      <w:r>
        <w:rPr>
          <w:rFonts w:hint="eastAsia"/>
          <w:vertAlign w:val="superscript"/>
        </w:rPr>
        <w:t>2</w:t>
      </w:r>
      <w:r>
        <w:rPr>
          <w:rFonts w:hint="eastAsia"/>
        </w:rPr>
        <w:t>，用氯气就近采购储存于氯气站内，氯气站共设置500kg规格钢瓶2个，1用1备。本项目年用氯气量为</w:t>
      </w:r>
      <w:r>
        <w:rPr>
          <w:rFonts w:hint="eastAsia"/>
          <w:bCs/>
        </w:rPr>
        <w:t>2492.2</w:t>
      </w:r>
      <w:r>
        <w:rPr>
          <w:rFonts w:hint="eastAsia"/>
        </w:rPr>
        <w:t>m</w:t>
      </w:r>
      <w:r>
        <w:rPr>
          <w:rFonts w:hint="eastAsia"/>
          <w:vertAlign w:val="superscript"/>
        </w:rPr>
        <w:t>3</w:t>
      </w:r>
      <w:r>
        <w:rPr>
          <w:rFonts w:hint="eastAsia"/>
        </w:rPr>
        <w:t>，合计30t。</w:t>
      </w:r>
    </w:p>
    <w:p>
      <w:pPr>
        <w:pStyle w:val="7"/>
        <w:ind w:firstLine="480"/>
        <w:rPr>
          <w:bCs/>
        </w:rPr>
      </w:pPr>
      <w:r>
        <w:rPr>
          <w:rFonts w:hint="eastAsia"/>
          <w:bCs/>
        </w:rPr>
        <w:t>项目于二期工程生产车间南侧设置</w:t>
      </w:r>
      <w:r>
        <w:rPr>
          <w:bCs/>
        </w:rPr>
        <w:t>液化石油气</w:t>
      </w:r>
      <w:r>
        <w:rPr>
          <w:rFonts w:hint="eastAsia"/>
          <w:bCs/>
        </w:rPr>
        <w:t>储存区，所用</w:t>
      </w:r>
      <w:r>
        <w:rPr>
          <w:bCs/>
        </w:rPr>
        <w:t>液化石油气采用钢瓶转运使用</w:t>
      </w:r>
      <w:r>
        <w:rPr>
          <w:rFonts w:hint="eastAsia"/>
          <w:bCs/>
        </w:rPr>
        <w:t>，年</w:t>
      </w:r>
      <w:r>
        <w:rPr>
          <w:bCs/>
        </w:rPr>
        <w:t>使用量为</w:t>
      </w:r>
      <w:r>
        <w:rPr>
          <w:rFonts w:hint="eastAsia"/>
          <w:bCs/>
        </w:rPr>
        <w:t>30t，最大存储量1t。</w:t>
      </w:r>
    </w:p>
    <w:p>
      <w:pPr>
        <w:pStyle w:val="7"/>
        <w:ind w:firstLine="480"/>
      </w:pPr>
      <w:r>
        <w:rPr>
          <w:rFonts w:hint="eastAsia"/>
        </w:rPr>
        <w:t>罐区发生风险事故的可能性有两种，一种是储罐或者钢瓶破裂发生泄漏事故，一种是罐区火灾事故。</w:t>
      </w:r>
    </w:p>
    <w:p>
      <w:pPr>
        <w:pStyle w:val="8"/>
      </w:pPr>
      <w:r>
        <w:rPr>
          <w:rFonts w:hint="eastAsia"/>
        </w:rPr>
        <w:t>7.3.2物质危险性辨识</w:t>
      </w:r>
    </w:p>
    <w:p>
      <w:pPr>
        <w:pStyle w:val="7"/>
        <w:ind w:firstLine="480"/>
      </w:pPr>
      <w:r>
        <w:rPr>
          <w:rFonts w:hint="eastAsia"/>
        </w:rPr>
        <w:t>物质危险物质识别包括：主要原辅材料、燃料、中间产品、副产品、最终产品、污染物、火灾和爆炸伴生/次生物等。</w:t>
      </w:r>
    </w:p>
    <w:p>
      <w:pPr>
        <w:pStyle w:val="7"/>
        <w:ind w:firstLine="480"/>
      </w:pPr>
      <w:r>
        <w:rPr>
          <w:rFonts w:hint="eastAsia"/>
        </w:rPr>
        <w:t>对照《建设项目环境风险评价技术导则》（HJ169-2018）附录B，项目涉及危险物质有氯气</w:t>
      </w:r>
      <w:r>
        <w:t>、</w:t>
      </w:r>
      <w:r>
        <w:rPr>
          <w:rFonts w:hint="eastAsia"/>
        </w:rPr>
        <w:t>盐酸、氢氟酸、硝酸、天然气、液化石油气、CO（火灾爆炸半生/次生物），具体见表7.3-2。</w:t>
      </w:r>
    </w:p>
    <w:p>
      <w:pPr>
        <w:pStyle w:val="31"/>
      </w:pPr>
      <w:r>
        <w:t>表</w:t>
      </w:r>
      <w:r>
        <w:rPr>
          <w:rFonts w:hint="eastAsia"/>
        </w:rPr>
        <w:t>7.3-2</w:t>
      </w:r>
      <w:r>
        <w:t xml:space="preserve">  </w:t>
      </w:r>
      <w:r>
        <w:rPr>
          <w:rFonts w:hint="eastAsia"/>
        </w:rPr>
        <w:t>危险物质汇总表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59"/>
        <w:gridCol w:w="1275"/>
        <w:gridCol w:w="2891"/>
        <w:gridCol w:w="2063"/>
        <w:gridCol w:w="123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69" w:type="pct"/>
            <w:gridSpan w:val="2"/>
            <w:vMerge w:val="restart"/>
            <w:vAlign w:val="center"/>
          </w:tcPr>
          <w:p>
            <w:pPr>
              <w:pStyle w:val="33"/>
            </w:pPr>
            <w:r>
              <w:rPr>
                <w:rFonts w:hint="eastAsia"/>
              </w:rPr>
              <w:t>物料名称</w:t>
            </w:r>
          </w:p>
        </w:tc>
        <w:tc>
          <w:tcPr>
            <w:tcW w:w="3630" w:type="pct"/>
            <w:gridSpan w:val="3"/>
            <w:vAlign w:val="center"/>
          </w:tcPr>
          <w:p>
            <w:pPr>
              <w:pStyle w:val="33"/>
            </w:pPr>
            <w:r>
              <w:rPr>
                <w:rFonts w:hint="eastAsia"/>
              </w:rPr>
              <w:t>是否属于风险物质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69" w:type="pct"/>
            <w:gridSpan w:val="2"/>
            <w:vMerge w:val="continue"/>
            <w:vAlign w:val="center"/>
          </w:tcPr>
          <w:p>
            <w:pPr>
              <w:pStyle w:val="33"/>
            </w:pPr>
          </w:p>
        </w:tc>
        <w:tc>
          <w:tcPr>
            <w:tcW w:w="1696" w:type="pct"/>
            <w:vAlign w:val="center"/>
          </w:tcPr>
          <w:p>
            <w:pPr>
              <w:pStyle w:val="33"/>
            </w:pPr>
            <w:r>
              <w:rPr>
                <w:rFonts w:hint="eastAsia"/>
              </w:rPr>
              <w:t>B.1（风险物质）</w:t>
            </w:r>
          </w:p>
        </w:tc>
        <w:tc>
          <w:tcPr>
            <w:tcW w:w="1210" w:type="pct"/>
            <w:vAlign w:val="center"/>
          </w:tcPr>
          <w:p>
            <w:pPr>
              <w:pStyle w:val="33"/>
            </w:pPr>
            <w:r>
              <w:rPr>
                <w:rFonts w:hint="eastAsia"/>
              </w:rPr>
              <w:t>B.2（其他风险物质）</w:t>
            </w:r>
          </w:p>
        </w:tc>
        <w:tc>
          <w:tcPr>
            <w:tcW w:w="724" w:type="pct"/>
            <w:vAlign w:val="center"/>
          </w:tcPr>
          <w:p>
            <w:pPr>
              <w:pStyle w:val="33"/>
            </w:pPr>
            <w:r>
              <w:rPr>
                <w:rFonts w:hint="eastAsia"/>
              </w:rPr>
              <w:t>判定结果</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33"/>
            </w:pPr>
            <w:r>
              <w:rPr>
                <w:rFonts w:hint="eastAsia"/>
              </w:rPr>
              <w:t>原料</w:t>
            </w:r>
          </w:p>
        </w:tc>
        <w:tc>
          <w:tcPr>
            <w:tcW w:w="748" w:type="pct"/>
            <w:vAlign w:val="center"/>
          </w:tcPr>
          <w:p>
            <w:pPr>
              <w:pStyle w:val="33"/>
            </w:pPr>
            <w:r>
              <w:rPr>
                <w:rFonts w:hint="eastAsia"/>
              </w:rPr>
              <w:t>天然气</w:t>
            </w:r>
          </w:p>
        </w:tc>
        <w:tc>
          <w:tcPr>
            <w:tcW w:w="1696" w:type="pct"/>
            <w:vAlign w:val="center"/>
          </w:tcPr>
          <w:p>
            <w:pPr>
              <w:pStyle w:val="33"/>
            </w:pPr>
            <w:r>
              <w:rPr>
                <w:rFonts w:hint="eastAsia"/>
              </w:rPr>
              <w:t>是（天然气C</w:t>
            </w:r>
            <w:r>
              <w:t>AS74—82—8</w:t>
            </w:r>
            <w:r>
              <w:rPr>
                <w:rFonts w:hint="eastAsia"/>
              </w:rPr>
              <w:t>）</w:t>
            </w:r>
          </w:p>
        </w:tc>
        <w:tc>
          <w:tcPr>
            <w:tcW w:w="1210" w:type="pct"/>
            <w:vAlign w:val="center"/>
          </w:tcPr>
          <w:p>
            <w:pPr>
              <w:pStyle w:val="33"/>
            </w:pPr>
            <w:r>
              <w:rPr>
                <w:rFonts w:hint="eastAsia"/>
              </w:rPr>
              <w:t>/</w:t>
            </w:r>
          </w:p>
        </w:tc>
        <w:tc>
          <w:tcPr>
            <w:tcW w:w="724" w:type="pct"/>
            <w:vAlign w:val="center"/>
          </w:tcPr>
          <w:p>
            <w:pPr>
              <w:pStyle w:val="33"/>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33"/>
            </w:pPr>
            <w:r>
              <w:rPr>
                <w:rFonts w:hint="eastAsia"/>
              </w:rPr>
              <w:t>原料</w:t>
            </w:r>
          </w:p>
        </w:tc>
        <w:tc>
          <w:tcPr>
            <w:tcW w:w="748" w:type="pct"/>
            <w:vAlign w:val="center"/>
          </w:tcPr>
          <w:p>
            <w:pPr>
              <w:pStyle w:val="33"/>
            </w:pPr>
            <w:r>
              <w:rPr>
                <w:rFonts w:hint="eastAsia"/>
              </w:rPr>
              <w:t>氯气</w:t>
            </w:r>
          </w:p>
        </w:tc>
        <w:tc>
          <w:tcPr>
            <w:tcW w:w="1696" w:type="pct"/>
            <w:vAlign w:val="center"/>
          </w:tcPr>
          <w:p>
            <w:pPr>
              <w:pStyle w:val="33"/>
            </w:pPr>
            <w:r>
              <w:rPr>
                <w:rFonts w:hint="eastAsia"/>
              </w:rPr>
              <w:t>是（CAS号：7782-50-5）</w:t>
            </w:r>
          </w:p>
        </w:tc>
        <w:tc>
          <w:tcPr>
            <w:tcW w:w="1210" w:type="pct"/>
            <w:vAlign w:val="center"/>
          </w:tcPr>
          <w:p>
            <w:pPr>
              <w:pStyle w:val="33"/>
            </w:pPr>
            <w:r>
              <w:rPr>
                <w:rFonts w:hint="eastAsia"/>
              </w:rPr>
              <w:t>有毒气体</w:t>
            </w:r>
          </w:p>
        </w:tc>
        <w:tc>
          <w:tcPr>
            <w:tcW w:w="724" w:type="pct"/>
            <w:vAlign w:val="center"/>
          </w:tcPr>
          <w:p>
            <w:pPr>
              <w:pStyle w:val="33"/>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33"/>
            </w:pPr>
            <w:r>
              <w:rPr>
                <w:rFonts w:hint="eastAsia"/>
              </w:rPr>
              <w:t>原料</w:t>
            </w:r>
          </w:p>
        </w:tc>
        <w:tc>
          <w:tcPr>
            <w:tcW w:w="748" w:type="pct"/>
            <w:vAlign w:val="center"/>
          </w:tcPr>
          <w:p>
            <w:pPr>
              <w:pStyle w:val="33"/>
            </w:pPr>
            <w:r>
              <w:rPr>
                <w:rFonts w:hint="eastAsia"/>
              </w:rPr>
              <w:t>液化石油气</w:t>
            </w:r>
          </w:p>
        </w:tc>
        <w:tc>
          <w:tcPr>
            <w:tcW w:w="1696" w:type="pct"/>
            <w:vAlign w:val="center"/>
          </w:tcPr>
          <w:p>
            <w:pPr>
              <w:pStyle w:val="33"/>
            </w:pPr>
            <w:r>
              <w:rPr>
                <w:rFonts w:hint="eastAsia"/>
              </w:rPr>
              <w:t>是（CAS号：68476-85-7）</w:t>
            </w:r>
          </w:p>
        </w:tc>
        <w:tc>
          <w:tcPr>
            <w:tcW w:w="1210" w:type="pct"/>
            <w:vAlign w:val="center"/>
          </w:tcPr>
          <w:p>
            <w:pPr>
              <w:pStyle w:val="33"/>
            </w:pPr>
            <w:r>
              <w:rPr>
                <w:rFonts w:hint="eastAsia"/>
              </w:rPr>
              <w:t>/</w:t>
            </w:r>
          </w:p>
        </w:tc>
        <w:tc>
          <w:tcPr>
            <w:tcW w:w="724" w:type="pct"/>
            <w:vAlign w:val="center"/>
          </w:tcPr>
          <w:p>
            <w:pPr>
              <w:pStyle w:val="33"/>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原料</w:t>
            </w:r>
          </w:p>
        </w:tc>
        <w:tc>
          <w:tcPr>
            <w:tcW w:w="748"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盐酸</w:t>
            </w:r>
          </w:p>
        </w:tc>
        <w:tc>
          <w:tcPr>
            <w:tcW w:w="1696"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是（CAS号：7647-01-0）</w:t>
            </w:r>
          </w:p>
        </w:tc>
        <w:tc>
          <w:tcPr>
            <w:tcW w:w="1210"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腐蚀性</w:t>
            </w:r>
          </w:p>
        </w:tc>
        <w:tc>
          <w:tcPr>
            <w:tcW w:w="724"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原料</w:t>
            </w:r>
          </w:p>
        </w:tc>
        <w:tc>
          <w:tcPr>
            <w:tcW w:w="748"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氢氟酸</w:t>
            </w:r>
          </w:p>
        </w:tc>
        <w:tc>
          <w:tcPr>
            <w:tcW w:w="1696"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是（CAS号：7664-39-3）</w:t>
            </w:r>
          </w:p>
        </w:tc>
        <w:tc>
          <w:tcPr>
            <w:tcW w:w="1210"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腐蚀性</w:t>
            </w:r>
          </w:p>
        </w:tc>
        <w:tc>
          <w:tcPr>
            <w:tcW w:w="724"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原料</w:t>
            </w:r>
          </w:p>
        </w:tc>
        <w:tc>
          <w:tcPr>
            <w:tcW w:w="748" w:type="pct"/>
            <w:vAlign w:val="center"/>
          </w:tcPr>
          <w:p>
            <w:pPr>
              <w:pStyle w:val="75"/>
              <w:rPr>
                <w:rFonts w:ascii="Times New Roman" w:hAnsi="Times New Roman" w:eastAsia="宋体" w:cs="Times New Roman"/>
                <w:sz w:val="21"/>
                <w:szCs w:val="21"/>
              </w:rPr>
            </w:pPr>
            <w:r>
              <w:rPr>
                <w:rFonts w:hint="eastAsia" w:ascii="Times New Roman" w:hAnsi="Times New Roman" w:eastAsia="宋体" w:cs="Times New Roman"/>
                <w:sz w:val="21"/>
                <w:szCs w:val="21"/>
              </w:rPr>
              <w:t>硝酸</w:t>
            </w:r>
          </w:p>
        </w:tc>
        <w:tc>
          <w:tcPr>
            <w:tcW w:w="1696" w:type="pct"/>
            <w:vAlign w:val="center"/>
          </w:tcPr>
          <w:p>
            <w:pPr>
              <w:pStyle w:val="33"/>
            </w:pPr>
            <w:r>
              <w:rPr>
                <w:rFonts w:hint="eastAsia"/>
                <w:szCs w:val="21"/>
              </w:rPr>
              <w:t>是（CAS号：7697-37-2）</w:t>
            </w:r>
          </w:p>
        </w:tc>
        <w:tc>
          <w:tcPr>
            <w:tcW w:w="1210" w:type="pct"/>
            <w:vAlign w:val="center"/>
          </w:tcPr>
          <w:p>
            <w:pPr>
              <w:pStyle w:val="33"/>
            </w:pPr>
            <w:r>
              <w:rPr>
                <w:rFonts w:hint="eastAsia"/>
                <w:szCs w:val="21"/>
              </w:rPr>
              <w:t>腐蚀性</w:t>
            </w:r>
          </w:p>
        </w:tc>
        <w:tc>
          <w:tcPr>
            <w:tcW w:w="724" w:type="pct"/>
            <w:vAlign w:val="center"/>
          </w:tcPr>
          <w:p>
            <w:pPr>
              <w:pStyle w:val="33"/>
            </w:pPr>
            <w:r>
              <w:rPr>
                <w:rFonts w:hint="eastAsia"/>
                <w:szCs w:val="21"/>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21" w:type="pct"/>
            <w:vAlign w:val="center"/>
          </w:tcPr>
          <w:p>
            <w:pPr>
              <w:pStyle w:val="33"/>
            </w:pPr>
            <w:r>
              <w:rPr>
                <w:rFonts w:hint="eastAsia"/>
              </w:rPr>
              <w:t>火灾和爆炸伴生/次生物</w:t>
            </w:r>
          </w:p>
        </w:tc>
        <w:tc>
          <w:tcPr>
            <w:tcW w:w="748" w:type="pct"/>
            <w:vAlign w:val="center"/>
          </w:tcPr>
          <w:p>
            <w:pPr>
              <w:pStyle w:val="33"/>
            </w:pPr>
            <w:r>
              <w:rPr>
                <w:rFonts w:hint="eastAsia"/>
              </w:rPr>
              <w:t>一氧化碳</w:t>
            </w:r>
          </w:p>
        </w:tc>
        <w:tc>
          <w:tcPr>
            <w:tcW w:w="1696" w:type="pct"/>
            <w:vAlign w:val="center"/>
          </w:tcPr>
          <w:p>
            <w:pPr>
              <w:pStyle w:val="33"/>
            </w:pPr>
            <w:r>
              <w:rPr>
                <w:rFonts w:hint="eastAsia"/>
              </w:rPr>
              <w:t>是（CAS号：630-08- 0）</w:t>
            </w:r>
          </w:p>
        </w:tc>
        <w:tc>
          <w:tcPr>
            <w:tcW w:w="1210" w:type="pct"/>
            <w:vAlign w:val="center"/>
          </w:tcPr>
          <w:p>
            <w:pPr>
              <w:pStyle w:val="33"/>
            </w:pPr>
            <w:r>
              <w:rPr>
                <w:rFonts w:hint="eastAsia"/>
              </w:rPr>
              <w:t>/</w:t>
            </w:r>
          </w:p>
        </w:tc>
        <w:tc>
          <w:tcPr>
            <w:tcW w:w="724" w:type="pct"/>
            <w:vAlign w:val="center"/>
          </w:tcPr>
          <w:p>
            <w:pPr>
              <w:pStyle w:val="33"/>
            </w:pPr>
            <w:r>
              <w:rPr>
                <w:rFonts w:hint="eastAsia"/>
              </w:rPr>
              <w:t>是</w:t>
            </w:r>
          </w:p>
        </w:tc>
      </w:tr>
    </w:tbl>
    <w:p>
      <w:pPr>
        <w:pStyle w:val="7"/>
        <w:ind w:firstLine="480"/>
      </w:pPr>
    </w:p>
    <w:p>
      <w:pPr>
        <w:pStyle w:val="31"/>
      </w:pPr>
      <w:r>
        <w:t>表</w:t>
      </w:r>
      <w:r>
        <w:rPr>
          <w:rFonts w:hint="eastAsia"/>
        </w:rPr>
        <w:t xml:space="preserve">7.3-3  </w:t>
      </w:r>
      <w:r>
        <w:t>CO理化性质及危险特性</w:t>
      </w:r>
    </w:p>
    <w:tbl>
      <w:tblPr>
        <w:tblStyle w:val="27"/>
        <w:tblW w:w="4999"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601"/>
        <w:gridCol w:w="2212"/>
        <w:gridCol w:w="525"/>
        <w:gridCol w:w="718"/>
        <w:gridCol w:w="404"/>
        <w:gridCol w:w="535"/>
        <w:gridCol w:w="218"/>
        <w:gridCol w:w="330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标识</w:t>
            </w:r>
          </w:p>
        </w:tc>
        <w:tc>
          <w:tcPr>
            <w:tcW w:w="2027" w:type="pct"/>
            <w:gridSpan w:val="3"/>
            <w:tcBorders>
              <w:top w:val="single" w:color="auto" w:sz="4" w:space="0"/>
              <w:left w:val="single" w:color="auto" w:sz="4" w:space="0"/>
              <w:bottom w:val="single" w:color="auto" w:sz="4" w:space="0"/>
              <w:right w:val="single" w:color="auto" w:sz="4" w:space="0"/>
            </w:tcBorders>
          </w:tcPr>
          <w:p>
            <w:pPr>
              <w:pStyle w:val="32"/>
              <w:spacing w:before="0" w:after="0"/>
            </w:pPr>
            <w:r>
              <w:t>中文名：一氧化碳</w:t>
            </w:r>
          </w:p>
        </w:tc>
        <w:tc>
          <w:tcPr>
            <w:tcW w:w="2619" w:type="pct"/>
            <w:gridSpan w:val="4"/>
            <w:tcBorders>
              <w:top w:val="single" w:color="auto" w:sz="4" w:space="0"/>
              <w:left w:val="single" w:color="auto" w:sz="4" w:space="0"/>
              <w:bottom w:val="single" w:color="auto" w:sz="4" w:space="0"/>
              <w:right w:val="single" w:color="auto" w:sz="4" w:space="0"/>
            </w:tcBorders>
          </w:tcPr>
          <w:p>
            <w:pPr>
              <w:pStyle w:val="32"/>
              <w:spacing w:before="0" w:after="0"/>
            </w:pPr>
            <w:r>
              <w:t>英文名：carbon monoxide</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606" w:type="pct"/>
            <w:gridSpan w:val="2"/>
            <w:tcBorders>
              <w:top w:val="single" w:color="auto" w:sz="4" w:space="0"/>
              <w:left w:val="single" w:color="auto" w:sz="4" w:space="0"/>
              <w:bottom w:val="single" w:color="auto" w:sz="4" w:space="0"/>
              <w:right w:val="single" w:color="auto" w:sz="4" w:space="0"/>
            </w:tcBorders>
          </w:tcPr>
          <w:p>
            <w:pPr>
              <w:pStyle w:val="32"/>
              <w:spacing w:before="0" w:after="0"/>
            </w:pPr>
            <w:r>
              <w:t>分子式：CO</w:t>
            </w:r>
          </w:p>
        </w:tc>
        <w:tc>
          <w:tcPr>
            <w:tcW w:w="972" w:type="pct"/>
            <w:gridSpan w:val="3"/>
            <w:tcBorders>
              <w:top w:val="single" w:color="auto" w:sz="4" w:space="0"/>
              <w:left w:val="single" w:color="auto" w:sz="4" w:space="0"/>
              <w:bottom w:val="single" w:color="auto" w:sz="4" w:space="0"/>
              <w:right w:val="single" w:color="auto" w:sz="4" w:space="0"/>
            </w:tcBorders>
          </w:tcPr>
          <w:p>
            <w:pPr>
              <w:pStyle w:val="32"/>
              <w:spacing w:before="0" w:after="0"/>
            </w:pPr>
            <w:r>
              <w:t>分子量：28.01</w:t>
            </w:r>
          </w:p>
        </w:tc>
        <w:tc>
          <w:tcPr>
            <w:tcW w:w="2067" w:type="pct"/>
            <w:gridSpan w:val="2"/>
            <w:tcBorders>
              <w:top w:val="single" w:color="auto" w:sz="4" w:space="0"/>
              <w:left w:val="single" w:color="auto" w:sz="4" w:space="0"/>
              <w:bottom w:val="single" w:color="auto" w:sz="4" w:space="0"/>
              <w:right w:val="single" w:color="auto" w:sz="4" w:space="0"/>
            </w:tcBorders>
          </w:tcPr>
          <w:p>
            <w:pPr>
              <w:pStyle w:val="32"/>
              <w:spacing w:before="0" w:after="0"/>
            </w:pPr>
            <w:r>
              <w:t>CAS号：630-08-0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jc w:val="both"/>
            </w:pPr>
            <w:r>
              <w:t>危险化学品顺序号：2563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理化性质</w:t>
            </w: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jc w:val="both"/>
            </w:pPr>
            <w:r>
              <w:t>性状：无色无臭气体。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jc w:val="both"/>
            </w:pPr>
            <w:r>
              <w:t>溶解性：微溶于水，溶于乙醇、苯等多数有机溶剂。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熔点（</w:t>
            </w:r>
            <w:r>
              <w:rPr>
                <w:rFonts w:hint="eastAsia"/>
              </w:rPr>
              <w:t>℃</w:t>
            </w:r>
            <w:r>
              <w:t>）：-199.1</w:t>
            </w:r>
          </w:p>
        </w:tc>
        <w:tc>
          <w:tcPr>
            <w:tcW w:w="1408" w:type="pct"/>
            <w:gridSpan w:val="5"/>
            <w:tcBorders>
              <w:top w:val="single" w:color="auto" w:sz="4" w:space="0"/>
              <w:left w:val="single" w:color="auto" w:sz="4" w:space="0"/>
              <w:bottom w:val="single" w:color="auto" w:sz="4" w:space="0"/>
              <w:right w:val="single" w:color="auto" w:sz="4" w:space="0"/>
            </w:tcBorders>
          </w:tcPr>
          <w:p>
            <w:pPr>
              <w:pStyle w:val="32"/>
              <w:spacing w:before="0" w:after="0"/>
            </w:pPr>
            <w:r>
              <w:t>沸点（</w:t>
            </w:r>
            <w:r>
              <w:rPr>
                <w:rFonts w:hint="eastAsia"/>
              </w:rPr>
              <w:t>℃</w:t>
            </w:r>
            <w:r>
              <w:t>）：-191.4</w:t>
            </w:r>
          </w:p>
        </w:tc>
        <w:tc>
          <w:tcPr>
            <w:tcW w:w="1938" w:type="pct"/>
            <w:tcBorders>
              <w:top w:val="single" w:color="auto" w:sz="4" w:space="0"/>
              <w:left w:val="single" w:color="auto" w:sz="4" w:space="0"/>
              <w:bottom w:val="single" w:color="auto" w:sz="4" w:space="0"/>
              <w:right w:val="single" w:color="auto" w:sz="4" w:space="0"/>
            </w:tcBorders>
          </w:tcPr>
          <w:p>
            <w:pPr>
              <w:pStyle w:val="32"/>
              <w:spacing w:before="0" w:after="0"/>
            </w:pPr>
            <w:r>
              <w:t>相对密度（水＝1）：0.79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临界温度（</w:t>
            </w:r>
            <w:r>
              <w:rPr>
                <w:rFonts w:hint="eastAsia"/>
              </w:rPr>
              <w:t>℃</w:t>
            </w:r>
            <w:r>
              <w:t>）：-140.2</w:t>
            </w:r>
          </w:p>
        </w:tc>
        <w:tc>
          <w:tcPr>
            <w:tcW w:w="1408" w:type="pct"/>
            <w:gridSpan w:val="5"/>
            <w:tcBorders>
              <w:top w:val="single" w:color="auto" w:sz="4" w:space="0"/>
              <w:left w:val="single" w:color="auto" w:sz="4" w:space="0"/>
              <w:bottom w:val="single" w:color="auto" w:sz="4" w:space="0"/>
              <w:right w:val="single" w:color="auto" w:sz="4" w:space="0"/>
            </w:tcBorders>
          </w:tcPr>
          <w:p>
            <w:pPr>
              <w:pStyle w:val="32"/>
              <w:spacing w:before="0" w:after="0"/>
            </w:pPr>
            <w:r>
              <w:t>临界压力（MPa）：3.50</w:t>
            </w:r>
          </w:p>
        </w:tc>
        <w:tc>
          <w:tcPr>
            <w:tcW w:w="1938" w:type="pct"/>
            <w:tcBorders>
              <w:top w:val="single" w:color="auto" w:sz="4" w:space="0"/>
              <w:left w:val="single" w:color="auto" w:sz="4" w:space="0"/>
              <w:bottom w:val="single" w:color="auto" w:sz="4" w:space="0"/>
              <w:right w:val="single" w:color="auto" w:sz="4" w:space="0"/>
            </w:tcBorders>
          </w:tcPr>
          <w:p>
            <w:pPr>
              <w:pStyle w:val="32"/>
              <w:spacing w:before="0" w:after="0"/>
            </w:pPr>
            <w:r>
              <w:t>相对密度（空气＝1）：0.97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燃烧热（KJ/mol）：</w:t>
            </w:r>
          </w:p>
        </w:tc>
        <w:tc>
          <w:tcPr>
            <w:tcW w:w="1408" w:type="pct"/>
            <w:gridSpan w:val="5"/>
            <w:tcBorders>
              <w:top w:val="single" w:color="auto" w:sz="4" w:space="0"/>
              <w:left w:val="single" w:color="auto" w:sz="4" w:space="0"/>
              <w:bottom w:val="single" w:color="auto" w:sz="4" w:space="0"/>
              <w:right w:val="single" w:color="auto" w:sz="4" w:space="0"/>
            </w:tcBorders>
          </w:tcPr>
          <w:p>
            <w:pPr>
              <w:pStyle w:val="32"/>
              <w:spacing w:before="0" w:after="0"/>
            </w:pPr>
            <w:r>
              <w:t>最小点火能（mJ）：</w:t>
            </w:r>
          </w:p>
        </w:tc>
        <w:tc>
          <w:tcPr>
            <w:tcW w:w="1938" w:type="pct"/>
            <w:tcBorders>
              <w:top w:val="single" w:color="auto" w:sz="4" w:space="0"/>
              <w:left w:val="single" w:color="auto" w:sz="4" w:space="0"/>
              <w:bottom w:val="single" w:color="auto" w:sz="4" w:space="0"/>
              <w:right w:val="single" w:color="auto" w:sz="4" w:space="0"/>
            </w:tcBorders>
          </w:tcPr>
          <w:p>
            <w:pPr>
              <w:pStyle w:val="32"/>
              <w:spacing w:before="0" w:after="0"/>
            </w:pPr>
            <w:r>
              <w:t>饱和蒸汽压（KPa）：</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restart"/>
            <w:tcBorders>
              <w:top w:val="single" w:color="auto" w:sz="4" w:space="0"/>
              <w:left w:val="single" w:color="auto" w:sz="4" w:space="0"/>
              <w:bottom w:val="single" w:color="auto" w:sz="4" w:space="0"/>
              <w:right w:val="single" w:color="auto" w:sz="4" w:space="0"/>
            </w:tcBorders>
            <w:vAlign w:val="center"/>
          </w:tcPr>
          <w:p>
            <w:pPr>
              <w:pStyle w:val="32"/>
              <w:spacing w:before="0" w:after="0"/>
            </w:pPr>
            <w:r>
              <w:t>燃烧爆炸危险性</w:t>
            </w: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燃烧性：</w:t>
            </w:r>
          </w:p>
        </w:tc>
        <w:tc>
          <w:tcPr>
            <w:tcW w:w="3347" w:type="pct"/>
            <w:gridSpan w:val="6"/>
            <w:tcBorders>
              <w:top w:val="single" w:color="auto" w:sz="4" w:space="0"/>
              <w:left w:val="single" w:color="auto" w:sz="4" w:space="0"/>
              <w:bottom w:val="single" w:color="auto" w:sz="4" w:space="0"/>
              <w:right w:val="single" w:color="auto" w:sz="4" w:space="0"/>
            </w:tcBorders>
          </w:tcPr>
          <w:p>
            <w:pPr>
              <w:pStyle w:val="32"/>
              <w:spacing w:before="0" w:after="0"/>
            </w:pPr>
            <w:r>
              <w:t>燃烧分解产物：二氧化碳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闪点（</w:t>
            </w:r>
            <w:r>
              <w:rPr>
                <w:rFonts w:hint="eastAsia"/>
              </w:rPr>
              <w:t>℃</w:t>
            </w:r>
            <w:r>
              <w:t>）：&lt;-50</w:t>
            </w:r>
          </w:p>
        </w:tc>
        <w:tc>
          <w:tcPr>
            <w:tcW w:w="3347" w:type="pct"/>
            <w:gridSpan w:val="6"/>
            <w:tcBorders>
              <w:top w:val="single" w:color="auto" w:sz="4" w:space="0"/>
              <w:left w:val="single" w:color="auto" w:sz="4" w:space="0"/>
              <w:bottom w:val="single" w:color="auto" w:sz="4" w:space="0"/>
              <w:right w:val="single" w:color="auto" w:sz="4" w:space="0"/>
            </w:tcBorders>
          </w:tcPr>
          <w:p>
            <w:pPr>
              <w:pStyle w:val="32"/>
              <w:spacing w:before="0" w:after="0"/>
            </w:pPr>
            <w:r>
              <w:t>聚合危害：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爆炸下限（％）：12.5</w:t>
            </w:r>
          </w:p>
        </w:tc>
        <w:tc>
          <w:tcPr>
            <w:tcW w:w="3347" w:type="pct"/>
            <w:gridSpan w:val="6"/>
            <w:tcBorders>
              <w:top w:val="single" w:color="auto" w:sz="4" w:space="0"/>
              <w:left w:val="single" w:color="auto" w:sz="4" w:space="0"/>
              <w:bottom w:val="single" w:color="auto" w:sz="4" w:space="0"/>
              <w:right w:val="single" w:color="auto" w:sz="4" w:space="0"/>
            </w:tcBorders>
          </w:tcPr>
          <w:p>
            <w:pPr>
              <w:pStyle w:val="32"/>
              <w:spacing w:before="0" w:after="0"/>
            </w:pPr>
            <w:r>
              <w:t>稳定性：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爆炸上限（％）：74.2</w:t>
            </w:r>
          </w:p>
        </w:tc>
        <w:tc>
          <w:tcPr>
            <w:tcW w:w="3347" w:type="pct"/>
            <w:gridSpan w:val="6"/>
            <w:tcBorders>
              <w:top w:val="single" w:color="auto" w:sz="4" w:space="0"/>
              <w:left w:val="single" w:color="auto" w:sz="4" w:space="0"/>
              <w:bottom w:val="single" w:color="auto" w:sz="4" w:space="0"/>
              <w:right w:val="single" w:color="auto" w:sz="4" w:space="0"/>
            </w:tcBorders>
          </w:tcPr>
          <w:p>
            <w:pPr>
              <w:pStyle w:val="32"/>
              <w:spacing w:before="0" w:after="0"/>
            </w:pPr>
            <w:r>
              <w:t>最大爆炸压力（MPa）：</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1298" w:type="pct"/>
            <w:tcBorders>
              <w:top w:val="single" w:color="auto" w:sz="4" w:space="0"/>
              <w:left w:val="single" w:color="auto" w:sz="4" w:space="0"/>
              <w:bottom w:val="single" w:color="auto" w:sz="4" w:space="0"/>
              <w:right w:val="single" w:color="auto" w:sz="4" w:space="0"/>
            </w:tcBorders>
          </w:tcPr>
          <w:p>
            <w:pPr>
              <w:pStyle w:val="32"/>
              <w:spacing w:before="0" w:after="0"/>
            </w:pPr>
            <w:r>
              <w:t>引燃温度（</w:t>
            </w:r>
            <w:r>
              <w:rPr>
                <w:rFonts w:hint="eastAsia"/>
              </w:rPr>
              <w:t>℃</w:t>
            </w:r>
            <w:r>
              <w:t>）：610</w:t>
            </w:r>
          </w:p>
        </w:tc>
        <w:tc>
          <w:tcPr>
            <w:tcW w:w="3347" w:type="pct"/>
            <w:gridSpan w:val="6"/>
            <w:tcBorders>
              <w:top w:val="single" w:color="auto" w:sz="4" w:space="0"/>
              <w:left w:val="single" w:color="auto" w:sz="4" w:space="0"/>
              <w:bottom w:val="single" w:color="auto" w:sz="4" w:space="0"/>
              <w:right w:val="single" w:color="auto" w:sz="4" w:space="0"/>
            </w:tcBorders>
          </w:tcPr>
          <w:p>
            <w:pPr>
              <w:pStyle w:val="32"/>
              <w:spacing w:before="0" w:after="0"/>
            </w:pPr>
            <w:r>
              <w:t>禁忌物：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危险特性：是一种易燃易爆气体。与空气混合能形成爆炸性混合物，遇明火、高热能引起燃烧爆炸。本品易燃。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3" w:hRule="atLeast"/>
        </w:trPr>
        <w:tc>
          <w:tcPr>
            <w:tcW w:w="353" w:type="pct"/>
            <w:vMerge w:val="continue"/>
            <w:tcBorders>
              <w:top w:val="single" w:color="auto" w:sz="4" w:space="0"/>
              <w:left w:val="single" w:color="auto" w:sz="4" w:space="0"/>
              <w:bottom w:val="single" w:color="auto" w:sz="4" w:space="0"/>
              <w:right w:val="single" w:color="auto" w:sz="4" w:space="0"/>
            </w:tcBorders>
            <w:vAlign w:val="center"/>
          </w:tcPr>
          <w:p>
            <w:pPr>
              <w:pStyle w:val="32"/>
              <w:spacing w:before="0" w:after="0"/>
            </w:pP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灭火方法：切断气源。若不能切断气源，则不允许熄灭泄漏处的火焰。喷水冷却容器，可能的话将容器从火场移至空旷处。灭火剂：雾状水、泡沫、二氧化碳、干粉。</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5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毒性</w:t>
            </w:r>
          </w:p>
        </w:tc>
        <w:tc>
          <w:tcPr>
            <w:tcW w:w="2264" w:type="pct"/>
            <w:gridSpan w:val="4"/>
            <w:tcBorders>
              <w:top w:val="single" w:color="auto" w:sz="4" w:space="0"/>
              <w:left w:val="single" w:color="auto" w:sz="4" w:space="0"/>
              <w:bottom w:val="single" w:color="auto" w:sz="4" w:space="0"/>
              <w:right w:val="single" w:color="auto" w:sz="4" w:space="0"/>
            </w:tcBorders>
          </w:tcPr>
          <w:p>
            <w:pPr>
              <w:pStyle w:val="32"/>
              <w:spacing w:before="0" w:after="0"/>
            </w:pPr>
            <w:r>
              <w:t>LD50：无资料</w:t>
            </w:r>
          </w:p>
        </w:tc>
        <w:tc>
          <w:tcPr>
            <w:tcW w:w="2381" w:type="pct"/>
            <w:gridSpan w:val="3"/>
            <w:tcBorders>
              <w:top w:val="single" w:color="auto" w:sz="4" w:space="0"/>
              <w:left w:val="single" w:color="auto" w:sz="4" w:space="0"/>
              <w:bottom w:val="single" w:color="auto" w:sz="4" w:space="0"/>
              <w:right w:val="single" w:color="auto" w:sz="4" w:space="0"/>
            </w:tcBorders>
          </w:tcPr>
          <w:p>
            <w:pPr>
              <w:pStyle w:val="32"/>
              <w:spacing w:before="0" w:after="0"/>
            </w:pPr>
            <w:r>
              <w:t>LC50：2069mg/m</w:t>
            </w:r>
            <w:r>
              <w:rPr>
                <w:vertAlign w:val="superscript"/>
              </w:rPr>
              <w:t>3</w:t>
            </w:r>
            <w:r>
              <w:t>，4小时(大鼠吸入)</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5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对人体危害</w:t>
            </w: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健康危害：一氧化碳在血中与血红蛋白结合而造成组织缺氧。急性中毒：轻度中毒者出现头痛、头晕、耳鸣、心悸、恶心、呕吐、无力，血液碳氧血红蛋白浓度可高于10％；中度中毒者除上述症状外，还有皮肤粘膜呈樱红色、脉快、烦躁、步态不稳、浅至中度昏迷，血液碳氧血红蛋白浓度可高于30％；重度患者深度昏迷、瞳孔缩小、肌张力增强、频繁抽搐、大小便失禁、休克、肺水肿、严重心肌损害等，血液碳氧血红蛋白可高于50％。部分患者昏迷苏醒后，约经 2～60天的症状缓解期后，又可能出现迟发性脑病，以意识精神障碍、锥体系或锥体外系损害为主。 慢性影响：能否造成慢性中毒及对心血管影响无定论。 </w:t>
            </w:r>
          </w:p>
          <w:p>
            <w:pPr>
              <w:pStyle w:val="32"/>
              <w:spacing w:before="0" w:after="0"/>
            </w:pPr>
            <w:r>
              <w:t>环境危害：对环境有危害，对水体、土壤和大气可造成污染。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5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急救</w:t>
            </w: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吸入：迅速脱离现场至空气新鲜处。保持呼吸道通畅。如呼吸困难，给输氧。呼吸心跳停止时，立即进行人工呼吸和胸外心脏按压术。就医。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5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防护</w:t>
            </w: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工程防护：严加密闭，提供充分的局部排风和全面通风。生产生活用气必须分路。</w:t>
            </w:r>
          </w:p>
          <w:p>
            <w:pPr>
              <w:pStyle w:val="32"/>
              <w:spacing w:before="0" w:after="0"/>
            </w:pPr>
            <w:r>
              <w:t>呼吸系统防护：空气中浓度超标时，佩戴自吸过滤式防毒面具（半面罩）。紧急事态抢救或撤离时，建议佩戴空气呼吸器、一氧化碳过滤式自救器。</w:t>
            </w:r>
          </w:p>
          <w:p>
            <w:pPr>
              <w:pStyle w:val="32"/>
              <w:spacing w:before="0" w:after="0"/>
            </w:pPr>
            <w:r>
              <w:t>眼睛防护：一般不需特殊防护。</w:t>
            </w:r>
          </w:p>
          <w:p>
            <w:pPr>
              <w:pStyle w:val="32"/>
              <w:spacing w:before="0" w:after="0"/>
            </w:pPr>
            <w:r>
              <w:t>身体防护：穿防静电工作服。</w:t>
            </w:r>
          </w:p>
          <w:p>
            <w:pPr>
              <w:pStyle w:val="32"/>
              <w:spacing w:before="0" w:after="0"/>
            </w:pPr>
            <w:r>
              <w:t>手防护：戴一般作业防护手套。</w:t>
            </w:r>
          </w:p>
          <w:p>
            <w:pPr>
              <w:pStyle w:val="32"/>
              <w:spacing w:before="0" w:after="0"/>
            </w:pPr>
            <w:r>
              <w:t>其他防护：工作现场严禁吸烟。实行就业前和定期的体检。避免高浓度吸入。进入罐、限制性空间</w:t>
            </w:r>
            <w:r>
              <w:rPr>
                <w:rFonts w:hint="eastAsia"/>
                <w:lang w:eastAsia="zh-CN"/>
              </w:rPr>
              <w:t>或其他</w:t>
            </w:r>
            <w:r>
              <w:t>高浓度区作业，须有人监护。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5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泄漏处理</w:t>
            </w: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迅速撤离泄漏污染区人员至上风处，并立即隔离150m，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用管路导至炉中、凹地焚之。漏气容器要妥善处理，修复、检验后再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53"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t>贮运</w:t>
            </w:r>
          </w:p>
        </w:tc>
        <w:tc>
          <w:tcPr>
            <w:tcW w:w="4646" w:type="pct"/>
            <w:gridSpan w:val="7"/>
            <w:tcBorders>
              <w:top w:val="single" w:color="auto" w:sz="4" w:space="0"/>
              <w:left w:val="single" w:color="auto" w:sz="4" w:space="0"/>
              <w:bottom w:val="single" w:color="auto" w:sz="4" w:space="0"/>
              <w:right w:val="single" w:color="auto" w:sz="4" w:space="0"/>
            </w:tcBorders>
          </w:tcPr>
          <w:p>
            <w:pPr>
              <w:pStyle w:val="32"/>
              <w:spacing w:before="0" w:after="0"/>
            </w:pPr>
            <w:r>
              <w:t>储运条件：储存于阴凉、通风的库房。远离火种、热源。库温不宜超过30</w:t>
            </w:r>
            <w:r>
              <w:rPr>
                <w:rFonts w:hint="eastAsia"/>
              </w:rPr>
              <w:t>℃</w:t>
            </w:r>
            <w:r>
              <w:t>。应与氧化剂、碱类、食用化学品分开存放，切忌混储。采用防爆型照明、通风设施。禁止使用易产生火花的机械设备和工具。储区应备有泄漏应急处理设备。采用</w:t>
            </w:r>
            <w:r>
              <w:rPr>
                <w:rFonts w:hint="eastAsia"/>
                <w:lang w:eastAsia="zh-CN"/>
              </w:rPr>
              <w:t>钢瓶</w:t>
            </w:r>
            <w:r>
              <w:t>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碱类、食用化学品等混装混运。夏季应早晚运输，防止日光曝晒。中途停留时应远离火种、热源。公路运输时要按规定路线行驶，禁止在居民区和人口稠密区停留。铁路运输时要禁止溜放。</w:t>
            </w:r>
          </w:p>
        </w:tc>
      </w:tr>
    </w:tbl>
    <w:p>
      <w:pPr>
        <w:pStyle w:val="31"/>
      </w:pPr>
    </w:p>
    <w:p>
      <w:pPr>
        <w:pStyle w:val="31"/>
      </w:pPr>
    </w:p>
    <w:p>
      <w:pPr>
        <w:pStyle w:val="31"/>
      </w:pPr>
    </w:p>
    <w:p>
      <w:pPr>
        <w:pStyle w:val="31"/>
      </w:pPr>
      <w:r>
        <w:t>表</w:t>
      </w:r>
      <w:r>
        <w:rPr>
          <w:rFonts w:hint="eastAsia"/>
        </w:rPr>
        <w:t>7</w:t>
      </w:r>
      <w:r>
        <w:t>.</w:t>
      </w:r>
      <w:r>
        <w:rPr>
          <w:rFonts w:hint="eastAsia"/>
        </w:rPr>
        <w:t>3</w:t>
      </w:r>
      <w:r>
        <w:t>-</w:t>
      </w:r>
      <w:r>
        <w:rPr>
          <w:rFonts w:hint="eastAsia"/>
        </w:rPr>
        <w:t>4</w:t>
      </w:r>
      <w:r>
        <w:t xml:space="preserve"> </w:t>
      </w:r>
      <w:r>
        <w:rPr>
          <w:rFonts w:hint="eastAsia"/>
        </w:rPr>
        <w:t>液氯</w:t>
      </w:r>
      <w:r>
        <w:t>危险特性识别</w:t>
      </w:r>
    </w:p>
    <w:tbl>
      <w:tblPr>
        <w:tblStyle w:val="27"/>
        <w:tblW w:w="514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18"/>
        <w:gridCol w:w="1256"/>
        <w:gridCol w:w="1042"/>
        <w:gridCol w:w="286"/>
        <w:gridCol w:w="605"/>
        <w:gridCol w:w="868"/>
        <w:gridCol w:w="977"/>
        <w:gridCol w:w="1948"/>
        <w:gridCol w:w="96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41" w:hRule="atLeast"/>
          <w:jc w:val="center"/>
        </w:trPr>
        <w:tc>
          <w:tcPr>
            <w:tcW w:w="467" w:type="pct"/>
            <w:vMerge w:val="restart"/>
            <w:vAlign w:val="center"/>
          </w:tcPr>
          <w:p>
            <w:pPr>
              <w:pStyle w:val="33"/>
            </w:pPr>
            <w:r>
              <w:t>标识</w:t>
            </w:r>
          </w:p>
        </w:tc>
        <w:tc>
          <w:tcPr>
            <w:tcW w:w="2870" w:type="pct"/>
            <w:gridSpan w:val="6"/>
            <w:vAlign w:val="center"/>
          </w:tcPr>
          <w:p>
            <w:pPr>
              <w:pStyle w:val="33"/>
            </w:pPr>
            <w:r>
              <w:t>中文名：氯；液氯；氯气</w:t>
            </w:r>
          </w:p>
        </w:tc>
        <w:tc>
          <w:tcPr>
            <w:tcW w:w="1662" w:type="pct"/>
            <w:gridSpan w:val="2"/>
            <w:vAlign w:val="center"/>
          </w:tcPr>
          <w:p>
            <w:pPr>
              <w:pStyle w:val="33"/>
            </w:pPr>
            <w:r>
              <w:t>危险货物编号：23002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18" w:hRule="atLeast"/>
          <w:jc w:val="center"/>
        </w:trPr>
        <w:tc>
          <w:tcPr>
            <w:tcW w:w="467" w:type="pct"/>
            <w:vMerge w:val="continue"/>
            <w:vAlign w:val="center"/>
          </w:tcPr>
          <w:p>
            <w:pPr>
              <w:pStyle w:val="33"/>
            </w:pPr>
          </w:p>
        </w:tc>
        <w:tc>
          <w:tcPr>
            <w:tcW w:w="2870" w:type="pct"/>
            <w:gridSpan w:val="6"/>
            <w:vAlign w:val="center"/>
          </w:tcPr>
          <w:p>
            <w:pPr>
              <w:pStyle w:val="33"/>
            </w:pPr>
            <w:r>
              <w:t>英文名：chlorine</w:t>
            </w:r>
          </w:p>
        </w:tc>
        <w:tc>
          <w:tcPr>
            <w:tcW w:w="1662" w:type="pct"/>
            <w:gridSpan w:val="2"/>
            <w:vAlign w:val="center"/>
          </w:tcPr>
          <w:p>
            <w:pPr>
              <w:pStyle w:val="33"/>
            </w:pPr>
            <w:r>
              <w:t>UN编号：1017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07" w:hRule="atLeast"/>
          <w:jc w:val="center"/>
        </w:trPr>
        <w:tc>
          <w:tcPr>
            <w:tcW w:w="467" w:type="pct"/>
            <w:vMerge w:val="continue"/>
            <w:vAlign w:val="center"/>
          </w:tcPr>
          <w:p>
            <w:pPr>
              <w:pStyle w:val="33"/>
            </w:pPr>
          </w:p>
        </w:tc>
        <w:tc>
          <w:tcPr>
            <w:tcW w:w="1473" w:type="pct"/>
            <w:gridSpan w:val="3"/>
            <w:vAlign w:val="center"/>
          </w:tcPr>
          <w:p>
            <w:pPr>
              <w:pStyle w:val="33"/>
            </w:pPr>
            <w:r>
              <w:t>分子式：Cl</w:t>
            </w:r>
            <w:r>
              <w:rPr>
                <w:vertAlign w:val="subscript"/>
              </w:rPr>
              <w:t>2</w:t>
            </w:r>
          </w:p>
        </w:tc>
        <w:tc>
          <w:tcPr>
            <w:tcW w:w="1397" w:type="pct"/>
            <w:gridSpan w:val="3"/>
            <w:vAlign w:val="center"/>
          </w:tcPr>
          <w:p>
            <w:pPr>
              <w:pStyle w:val="33"/>
            </w:pPr>
            <w:r>
              <w:t>分子量：70.91</w:t>
            </w:r>
          </w:p>
        </w:tc>
        <w:tc>
          <w:tcPr>
            <w:tcW w:w="1662" w:type="pct"/>
            <w:gridSpan w:val="2"/>
            <w:vAlign w:val="center"/>
          </w:tcPr>
          <w:p>
            <w:pPr>
              <w:pStyle w:val="33"/>
            </w:pPr>
            <w:r>
              <w:t>CAS号：7782-50-5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38" w:hRule="atLeast"/>
          <w:jc w:val="center"/>
        </w:trPr>
        <w:tc>
          <w:tcPr>
            <w:tcW w:w="467" w:type="pct"/>
            <w:vMerge w:val="restart"/>
            <w:vAlign w:val="center"/>
          </w:tcPr>
          <w:p>
            <w:pPr>
              <w:pStyle w:val="33"/>
            </w:pPr>
            <w:r>
              <w:t>理化性质</w:t>
            </w:r>
          </w:p>
        </w:tc>
        <w:tc>
          <w:tcPr>
            <w:tcW w:w="716" w:type="pct"/>
            <w:vAlign w:val="center"/>
          </w:tcPr>
          <w:p>
            <w:pPr>
              <w:pStyle w:val="33"/>
            </w:pPr>
            <w:r>
              <w:t>外观与性状</w:t>
            </w:r>
          </w:p>
        </w:tc>
        <w:tc>
          <w:tcPr>
            <w:tcW w:w="3815" w:type="pct"/>
            <w:gridSpan w:val="7"/>
            <w:vAlign w:val="center"/>
          </w:tcPr>
          <w:p>
            <w:pPr>
              <w:pStyle w:val="33"/>
            </w:pPr>
            <w:r>
              <w:t>黄绿色有强刺激性气味气体；液态氯为金黄色。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6" w:hRule="atLeast"/>
          <w:jc w:val="center"/>
        </w:trPr>
        <w:tc>
          <w:tcPr>
            <w:tcW w:w="467" w:type="pct"/>
            <w:vMerge w:val="continue"/>
            <w:vAlign w:val="center"/>
          </w:tcPr>
          <w:p>
            <w:pPr>
              <w:pStyle w:val="33"/>
            </w:pPr>
          </w:p>
        </w:tc>
        <w:tc>
          <w:tcPr>
            <w:tcW w:w="716" w:type="pct"/>
            <w:vAlign w:val="center"/>
          </w:tcPr>
          <w:p>
            <w:pPr>
              <w:pStyle w:val="33"/>
            </w:pPr>
            <w:r>
              <w:t>熔点（℃）</w:t>
            </w:r>
          </w:p>
        </w:tc>
        <w:tc>
          <w:tcPr>
            <w:tcW w:w="594" w:type="pct"/>
            <w:vAlign w:val="center"/>
          </w:tcPr>
          <w:p>
            <w:pPr>
              <w:pStyle w:val="33"/>
            </w:pPr>
            <w:r>
              <w:t>-102</w:t>
            </w:r>
          </w:p>
        </w:tc>
        <w:tc>
          <w:tcPr>
            <w:tcW w:w="1003" w:type="pct"/>
            <w:gridSpan w:val="3"/>
            <w:vAlign w:val="center"/>
          </w:tcPr>
          <w:p>
            <w:pPr>
              <w:pStyle w:val="33"/>
            </w:pPr>
            <w:r>
              <w:t>相对密度(水=1)</w:t>
            </w:r>
          </w:p>
        </w:tc>
        <w:tc>
          <w:tcPr>
            <w:tcW w:w="556" w:type="pct"/>
            <w:vAlign w:val="center"/>
          </w:tcPr>
          <w:p>
            <w:pPr>
              <w:pStyle w:val="33"/>
            </w:pPr>
            <w:r>
              <w:t>3.214</w:t>
            </w:r>
          </w:p>
        </w:tc>
        <w:tc>
          <w:tcPr>
            <w:tcW w:w="1111" w:type="pct"/>
            <w:vAlign w:val="center"/>
          </w:tcPr>
          <w:p>
            <w:pPr>
              <w:pStyle w:val="33"/>
            </w:pPr>
            <w:r>
              <w:t>相对密度(空气=1)</w:t>
            </w:r>
          </w:p>
        </w:tc>
        <w:tc>
          <w:tcPr>
            <w:tcW w:w="550" w:type="pct"/>
            <w:vAlign w:val="center"/>
          </w:tcPr>
          <w:p>
            <w:pPr>
              <w:pStyle w:val="33"/>
            </w:pPr>
            <w:r>
              <w:t>2.49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4" w:hRule="atLeast"/>
          <w:jc w:val="center"/>
        </w:trPr>
        <w:tc>
          <w:tcPr>
            <w:tcW w:w="467" w:type="pct"/>
            <w:vMerge w:val="continue"/>
            <w:vAlign w:val="center"/>
          </w:tcPr>
          <w:p>
            <w:pPr>
              <w:pStyle w:val="33"/>
            </w:pPr>
          </w:p>
        </w:tc>
        <w:tc>
          <w:tcPr>
            <w:tcW w:w="716" w:type="pct"/>
            <w:vAlign w:val="center"/>
          </w:tcPr>
          <w:p>
            <w:pPr>
              <w:pStyle w:val="33"/>
            </w:pPr>
            <w:r>
              <w:t>沸点（℃）</w:t>
            </w:r>
          </w:p>
        </w:tc>
        <w:tc>
          <w:tcPr>
            <w:tcW w:w="594" w:type="pct"/>
            <w:vAlign w:val="center"/>
          </w:tcPr>
          <w:p>
            <w:pPr>
              <w:pStyle w:val="33"/>
            </w:pPr>
            <w:r>
              <w:t>-34.6</w:t>
            </w:r>
          </w:p>
        </w:tc>
        <w:tc>
          <w:tcPr>
            <w:tcW w:w="1559" w:type="pct"/>
            <w:gridSpan w:val="4"/>
            <w:vAlign w:val="center"/>
          </w:tcPr>
          <w:p>
            <w:pPr>
              <w:pStyle w:val="33"/>
            </w:pPr>
            <w:r>
              <w:t>饱和蒸气压（kPa）</w:t>
            </w:r>
          </w:p>
        </w:tc>
        <w:tc>
          <w:tcPr>
            <w:tcW w:w="1662" w:type="pct"/>
            <w:gridSpan w:val="2"/>
            <w:vAlign w:val="center"/>
          </w:tcPr>
          <w:p>
            <w:pPr>
              <w:pStyle w:val="33"/>
            </w:pPr>
            <w:r>
              <w:t>640/20℃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51" w:hRule="atLeast"/>
          <w:jc w:val="center"/>
        </w:trPr>
        <w:tc>
          <w:tcPr>
            <w:tcW w:w="467" w:type="pct"/>
            <w:vMerge w:val="continue"/>
            <w:vAlign w:val="center"/>
          </w:tcPr>
          <w:p>
            <w:pPr>
              <w:pStyle w:val="33"/>
            </w:pPr>
          </w:p>
        </w:tc>
        <w:tc>
          <w:tcPr>
            <w:tcW w:w="716" w:type="pct"/>
            <w:vAlign w:val="center"/>
          </w:tcPr>
          <w:p>
            <w:pPr>
              <w:pStyle w:val="33"/>
            </w:pPr>
            <w:r>
              <w:t>溶解性</w:t>
            </w:r>
          </w:p>
        </w:tc>
        <w:tc>
          <w:tcPr>
            <w:tcW w:w="3815" w:type="pct"/>
            <w:gridSpan w:val="7"/>
            <w:vAlign w:val="center"/>
          </w:tcPr>
          <w:p>
            <w:pPr>
              <w:pStyle w:val="33"/>
            </w:pPr>
            <w:r>
              <w:t>溶于水、碱液。</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14" w:hRule="atLeast"/>
          <w:jc w:val="center"/>
        </w:trPr>
        <w:tc>
          <w:tcPr>
            <w:tcW w:w="467" w:type="pct"/>
            <w:vMerge w:val="restart"/>
            <w:vAlign w:val="center"/>
          </w:tcPr>
          <w:p>
            <w:pPr>
              <w:pStyle w:val="33"/>
            </w:pPr>
            <w:r>
              <w:t>毒性及健康危害</w:t>
            </w:r>
          </w:p>
        </w:tc>
        <w:tc>
          <w:tcPr>
            <w:tcW w:w="716" w:type="pct"/>
            <w:vAlign w:val="center"/>
          </w:tcPr>
          <w:p>
            <w:pPr>
              <w:pStyle w:val="33"/>
            </w:pPr>
            <w:r>
              <w:t>接触限值</w:t>
            </w:r>
          </w:p>
        </w:tc>
        <w:tc>
          <w:tcPr>
            <w:tcW w:w="2153" w:type="pct"/>
            <w:gridSpan w:val="5"/>
            <w:vAlign w:val="center"/>
          </w:tcPr>
          <w:p>
            <w:pPr>
              <w:pStyle w:val="33"/>
            </w:pPr>
            <w:r>
              <w:t>MAC(mg/m3)</w:t>
            </w:r>
          </w:p>
        </w:tc>
        <w:tc>
          <w:tcPr>
            <w:tcW w:w="1662" w:type="pct"/>
            <w:gridSpan w:val="2"/>
            <w:vAlign w:val="center"/>
          </w:tcPr>
          <w:p>
            <w:pPr>
              <w:pStyle w:val="33"/>
            </w:pPr>
            <w: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6" w:hRule="atLeast"/>
          <w:jc w:val="center"/>
        </w:trPr>
        <w:tc>
          <w:tcPr>
            <w:tcW w:w="467" w:type="pct"/>
            <w:vMerge w:val="continue"/>
            <w:vAlign w:val="center"/>
          </w:tcPr>
          <w:p>
            <w:pPr>
              <w:pStyle w:val="33"/>
            </w:pPr>
          </w:p>
        </w:tc>
        <w:tc>
          <w:tcPr>
            <w:tcW w:w="716" w:type="pct"/>
            <w:vAlign w:val="center"/>
          </w:tcPr>
          <w:p>
            <w:pPr>
              <w:pStyle w:val="33"/>
            </w:pPr>
            <w:r>
              <w:t>侵入途径</w:t>
            </w:r>
          </w:p>
        </w:tc>
        <w:tc>
          <w:tcPr>
            <w:tcW w:w="3815" w:type="pct"/>
            <w:gridSpan w:val="7"/>
            <w:vAlign w:val="center"/>
          </w:tcPr>
          <w:p>
            <w:pPr>
              <w:pStyle w:val="33"/>
            </w:pPr>
            <w:r>
              <w:t>吸入。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08" w:hRule="atLeast"/>
          <w:jc w:val="center"/>
        </w:trPr>
        <w:tc>
          <w:tcPr>
            <w:tcW w:w="467" w:type="pct"/>
            <w:vMerge w:val="continue"/>
            <w:vAlign w:val="center"/>
          </w:tcPr>
          <w:p>
            <w:pPr>
              <w:pStyle w:val="33"/>
            </w:pPr>
          </w:p>
        </w:tc>
        <w:tc>
          <w:tcPr>
            <w:tcW w:w="716" w:type="pct"/>
            <w:vAlign w:val="center"/>
          </w:tcPr>
          <w:p>
            <w:pPr>
              <w:pStyle w:val="33"/>
            </w:pPr>
            <w:r>
              <w:t>毒性</w:t>
            </w:r>
          </w:p>
        </w:tc>
        <w:tc>
          <w:tcPr>
            <w:tcW w:w="3815" w:type="pct"/>
            <w:gridSpan w:val="7"/>
            <w:vAlign w:val="center"/>
          </w:tcPr>
          <w:p>
            <w:pPr>
              <w:pStyle w:val="33"/>
            </w:pPr>
            <w:r>
              <w:t>LC50：850 mg/m3 ，1小时(大鼠吸入)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422" w:hRule="atLeast"/>
          <w:jc w:val="center"/>
        </w:trPr>
        <w:tc>
          <w:tcPr>
            <w:tcW w:w="467" w:type="pct"/>
            <w:vMerge w:val="continue"/>
            <w:vAlign w:val="center"/>
          </w:tcPr>
          <w:p>
            <w:pPr>
              <w:pStyle w:val="33"/>
            </w:pPr>
          </w:p>
        </w:tc>
        <w:tc>
          <w:tcPr>
            <w:tcW w:w="716" w:type="pct"/>
            <w:vAlign w:val="center"/>
          </w:tcPr>
          <w:p>
            <w:pPr>
              <w:pStyle w:val="33"/>
            </w:pPr>
            <w:r>
              <w:t>健康危害</w:t>
            </w:r>
          </w:p>
        </w:tc>
        <w:tc>
          <w:tcPr>
            <w:tcW w:w="3815" w:type="pct"/>
            <w:gridSpan w:val="7"/>
            <w:vAlign w:val="center"/>
          </w:tcPr>
          <w:p>
            <w:pPr>
              <w:pStyle w:val="33"/>
            </w:pPr>
            <w:r>
              <w:t>对眼、呼吸道粘膜有刺激作用。急性中毒：轻度者有流泪、咳嗽、咳少量痰、胸闷，出现气管炎的表现；中度中毒发生支气管肺炎或间质性肺水肿，病人除有上述症状的加重外，出现呼吸困难、轻度紫绀等；重者发生肺水肿、昏迷和休克，可出现气胸、纵隔气肿等并发症。吸入极高浓度的氯气，可引起迷走神经反射性心跳骤停或喉头痉挛而发生“电击样”死亡。皮肤接触液氯或高浓度氯，在暴露部位可有灼伤或急性皮炎。慢性影响：长期低浓度接触，可引起慢性支气管炎、支气管哮喘等；可引起职业性痤疮及牙齿酸蚀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1149" w:hRule="atLeast"/>
          <w:jc w:val="center"/>
        </w:trPr>
        <w:tc>
          <w:tcPr>
            <w:tcW w:w="467" w:type="pct"/>
            <w:vMerge w:val="continue"/>
            <w:vAlign w:val="center"/>
          </w:tcPr>
          <w:p>
            <w:pPr>
              <w:pStyle w:val="33"/>
            </w:pPr>
          </w:p>
        </w:tc>
        <w:tc>
          <w:tcPr>
            <w:tcW w:w="716" w:type="pct"/>
            <w:vAlign w:val="center"/>
          </w:tcPr>
          <w:p>
            <w:pPr>
              <w:pStyle w:val="33"/>
            </w:pPr>
            <w:r>
              <w:t>急救方法</w:t>
            </w:r>
          </w:p>
        </w:tc>
        <w:tc>
          <w:tcPr>
            <w:tcW w:w="3815" w:type="pct"/>
            <w:gridSpan w:val="7"/>
            <w:vAlign w:val="center"/>
          </w:tcPr>
          <w:p>
            <w:pPr>
              <w:pStyle w:val="33"/>
            </w:pPr>
            <w:r>
              <w:t>皮肤接触：立即脱去被污染的衣着，用大量清水冲洗。就医。眼睛接触：提起眼睑，用流动清水或生理盐水冲洗。吸入：迅速脱离现场至空气新鲜处。呼吸心跳停止时，立即进行人工呼吸和胸外心脏按压术。就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72" w:hRule="atLeast"/>
          <w:jc w:val="center"/>
        </w:trPr>
        <w:tc>
          <w:tcPr>
            <w:tcW w:w="467" w:type="pct"/>
            <w:vMerge w:val="restart"/>
            <w:vAlign w:val="center"/>
          </w:tcPr>
          <w:p>
            <w:pPr>
              <w:pStyle w:val="33"/>
            </w:pPr>
            <w:r>
              <w:t>燃烧爆炸危险性</w:t>
            </w:r>
          </w:p>
        </w:tc>
        <w:tc>
          <w:tcPr>
            <w:tcW w:w="716" w:type="pct"/>
            <w:vAlign w:val="center"/>
          </w:tcPr>
          <w:p>
            <w:pPr>
              <w:pStyle w:val="33"/>
            </w:pPr>
            <w:r>
              <w:t>燃烧性</w:t>
            </w:r>
          </w:p>
        </w:tc>
        <w:tc>
          <w:tcPr>
            <w:tcW w:w="1102" w:type="pct"/>
            <w:gridSpan w:val="3"/>
            <w:vAlign w:val="center"/>
          </w:tcPr>
          <w:p>
            <w:pPr>
              <w:pStyle w:val="33"/>
            </w:pPr>
            <w:r>
              <w:t>不燃</w:t>
            </w:r>
          </w:p>
        </w:tc>
        <w:tc>
          <w:tcPr>
            <w:tcW w:w="1051" w:type="pct"/>
            <w:gridSpan w:val="2"/>
            <w:vAlign w:val="center"/>
          </w:tcPr>
          <w:p>
            <w:pPr>
              <w:pStyle w:val="33"/>
            </w:pPr>
            <w:r>
              <w:t>燃烧分解物</w:t>
            </w:r>
          </w:p>
        </w:tc>
        <w:tc>
          <w:tcPr>
            <w:tcW w:w="1662" w:type="pct"/>
            <w:gridSpan w:val="2"/>
            <w:vAlign w:val="center"/>
          </w:tcPr>
          <w:p>
            <w:pPr>
              <w:pStyle w:val="33"/>
            </w:pPr>
            <w:r>
              <w:t>氯化氢</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24" w:hRule="atLeast"/>
          <w:jc w:val="center"/>
        </w:trPr>
        <w:tc>
          <w:tcPr>
            <w:tcW w:w="467" w:type="pct"/>
            <w:vMerge w:val="continue"/>
            <w:vAlign w:val="center"/>
          </w:tcPr>
          <w:p>
            <w:pPr>
              <w:pStyle w:val="33"/>
            </w:pPr>
          </w:p>
        </w:tc>
        <w:tc>
          <w:tcPr>
            <w:tcW w:w="716" w:type="pct"/>
            <w:vAlign w:val="center"/>
          </w:tcPr>
          <w:p>
            <w:pPr>
              <w:pStyle w:val="33"/>
            </w:pPr>
            <w:r>
              <w:t>闪点(℃)</w:t>
            </w:r>
          </w:p>
        </w:tc>
        <w:tc>
          <w:tcPr>
            <w:tcW w:w="1102" w:type="pct"/>
            <w:gridSpan w:val="3"/>
            <w:vAlign w:val="center"/>
          </w:tcPr>
          <w:p>
            <w:pPr>
              <w:pStyle w:val="33"/>
            </w:pPr>
            <w:r>
              <w:t>/</w:t>
            </w:r>
          </w:p>
        </w:tc>
        <w:tc>
          <w:tcPr>
            <w:tcW w:w="1051" w:type="pct"/>
            <w:gridSpan w:val="2"/>
            <w:vAlign w:val="center"/>
          </w:tcPr>
          <w:p>
            <w:pPr>
              <w:pStyle w:val="33"/>
            </w:pPr>
            <w:r>
              <w:t>爆炸上限（v%）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6" w:hRule="atLeast"/>
          <w:jc w:val="center"/>
        </w:trPr>
        <w:tc>
          <w:tcPr>
            <w:tcW w:w="467" w:type="pct"/>
            <w:vMerge w:val="continue"/>
            <w:vAlign w:val="center"/>
          </w:tcPr>
          <w:p>
            <w:pPr>
              <w:pStyle w:val="33"/>
            </w:pPr>
          </w:p>
        </w:tc>
        <w:tc>
          <w:tcPr>
            <w:tcW w:w="716" w:type="pct"/>
            <w:vAlign w:val="center"/>
          </w:tcPr>
          <w:p>
            <w:pPr>
              <w:pStyle w:val="33"/>
            </w:pPr>
            <w:r>
              <w:t>引燃温度(℃)</w:t>
            </w:r>
          </w:p>
        </w:tc>
        <w:tc>
          <w:tcPr>
            <w:tcW w:w="1102" w:type="pct"/>
            <w:gridSpan w:val="3"/>
            <w:vAlign w:val="center"/>
          </w:tcPr>
          <w:p>
            <w:pPr>
              <w:pStyle w:val="33"/>
            </w:pPr>
            <w:r>
              <w:t>/</w:t>
            </w:r>
          </w:p>
        </w:tc>
        <w:tc>
          <w:tcPr>
            <w:tcW w:w="1051" w:type="pct"/>
            <w:gridSpan w:val="2"/>
            <w:vAlign w:val="center"/>
          </w:tcPr>
          <w:p>
            <w:pPr>
              <w:pStyle w:val="33"/>
            </w:pPr>
            <w:r>
              <w:t>爆炸下限（v%）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548" w:hRule="atLeast"/>
          <w:jc w:val="center"/>
        </w:trPr>
        <w:tc>
          <w:tcPr>
            <w:tcW w:w="467" w:type="pct"/>
            <w:vMerge w:val="continue"/>
            <w:vAlign w:val="center"/>
          </w:tcPr>
          <w:p>
            <w:pPr>
              <w:pStyle w:val="33"/>
            </w:pPr>
          </w:p>
        </w:tc>
        <w:tc>
          <w:tcPr>
            <w:tcW w:w="716" w:type="pct"/>
            <w:vAlign w:val="center"/>
          </w:tcPr>
          <w:p>
            <w:pPr>
              <w:pStyle w:val="33"/>
            </w:pPr>
            <w:r>
              <w:t>危险特性</w:t>
            </w:r>
          </w:p>
        </w:tc>
        <w:tc>
          <w:tcPr>
            <w:tcW w:w="3815" w:type="pct"/>
            <w:gridSpan w:val="7"/>
            <w:vAlign w:val="center"/>
          </w:tcPr>
          <w:p>
            <w:pPr>
              <w:pStyle w:val="33"/>
            </w:pPr>
            <w:r>
              <w:t>本品不会燃烧，但可助燃。一般可燃物大都能在氯气中燃烧，一般易燃气体或蒸气也都能与氯气形成爆炸性混合物。氯气能与许多化学品如乙炔、松节油、乙醚、氨、燃料气、烃类、氢气、金属粉末等猛烈反应发生爆炸或生成爆炸性物质。它几乎对金属和非金属都有腐蚀作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22" w:hRule="atLeast"/>
          <w:jc w:val="center"/>
        </w:trPr>
        <w:tc>
          <w:tcPr>
            <w:tcW w:w="467" w:type="pct"/>
            <w:vMerge w:val="continue"/>
            <w:vAlign w:val="center"/>
          </w:tcPr>
          <w:p>
            <w:pPr>
              <w:pStyle w:val="33"/>
            </w:pPr>
          </w:p>
        </w:tc>
        <w:tc>
          <w:tcPr>
            <w:tcW w:w="716" w:type="pct"/>
            <w:vAlign w:val="center"/>
          </w:tcPr>
          <w:p>
            <w:pPr>
              <w:pStyle w:val="33"/>
            </w:pPr>
            <w:r>
              <w:t>储运条件</w:t>
            </w:r>
          </w:p>
          <w:p>
            <w:pPr>
              <w:pStyle w:val="33"/>
            </w:pPr>
            <w:r>
              <w:t>与泄漏处理</w:t>
            </w:r>
          </w:p>
        </w:tc>
        <w:tc>
          <w:tcPr>
            <w:tcW w:w="3815" w:type="pct"/>
            <w:gridSpan w:val="7"/>
            <w:vAlign w:val="center"/>
          </w:tcPr>
          <w:p>
            <w:pPr>
              <w:pStyle w:val="33"/>
            </w:pPr>
            <w:r>
              <w:t>储运条件：储存于阴凉、通风仓间内。远离火种、热源。防止阳光直射。应与易燃或可燃物、</w:t>
            </w:r>
            <w:r>
              <w:rPr>
                <w:rFonts w:hint="eastAsia"/>
                <w:lang w:eastAsia="zh-CN"/>
              </w:rPr>
              <w:t>金属粉末</w:t>
            </w:r>
            <w:r>
              <w:t>等分开存放。不可混储混运。搬运时要轻装轻卸，防止钢瓶或附件损坏。泄漏处理：迅速撤离泄漏污染区人员至上风处，并立即进行隔离，小泄漏时隔离150米，大泄漏时隔离450米，严格限制出入。建议应急处理人员戴自给正压式呼吸器，穿防毒服。尽可能切断泄漏源。合理通风，加速扩散。喷雾状水稀释、溶解。构筑围堤或挖坑收容产生的大量废水。如有可能，用管道将泄漏物导至还原剂(酸式硫酸钠或酸式碳酸钠)溶液。也可以将漏气钢瓶浸入石灰乳液中。漏气容器要妥善处理，修复、检验后再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421" w:hRule="atLeast"/>
          <w:jc w:val="center"/>
        </w:trPr>
        <w:tc>
          <w:tcPr>
            <w:tcW w:w="467" w:type="pct"/>
            <w:vMerge w:val="continue"/>
            <w:vAlign w:val="center"/>
          </w:tcPr>
          <w:p>
            <w:pPr>
              <w:pStyle w:val="33"/>
            </w:pPr>
          </w:p>
        </w:tc>
        <w:tc>
          <w:tcPr>
            <w:tcW w:w="716" w:type="pct"/>
            <w:vAlign w:val="center"/>
          </w:tcPr>
          <w:p>
            <w:pPr>
              <w:pStyle w:val="33"/>
            </w:pPr>
            <w:r>
              <w:t>灭火方法</w:t>
            </w:r>
          </w:p>
        </w:tc>
        <w:tc>
          <w:tcPr>
            <w:tcW w:w="3815" w:type="pct"/>
            <w:gridSpan w:val="7"/>
            <w:vAlign w:val="center"/>
          </w:tcPr>
          <w:p>
            <w:pPr>
              <w:pStyle w:val="33"/>
            </w:pPr>
            <w:r>
              <w:t>用雾状水、泡沫、干粉灭火。</w:t>
            </w:r>
          </w:p>
        </w:tc>
      </w:tr>
    </w:tbl>
    <w:p>
      <w:pPr>
        <w:pStyle w:val="31"/>
      </w:pPr>
    </w:p>
    <w:p>
      <w:pPr>
        <w:pStyle w:val="31"/>
      </w:pPr>
      <w:r>
        <w:t>表</w:t>
      </w:r>
      <w:r>
        <w:rPr>
          <w:rFonts w:hint="eastAsia"/>
        </w:rPr>
        <w:t>7</w:t>
      </w:r>
      <w:r>
        <w:t>.</w:t>
      </w:r>
      <w:r>
        <w:rPr>
          <w:rFonts w:hint="eastAsia"/>
        </w:rPr>
        <w:t>3-5</w:t>
      </w:r>
      <w:r>
        <w:t xml:space="preserve"> </w:t>
      </w:r>
      <w:r>
        <w:rPr>
          <w:rFonts w:hint="eastAsia"/>
        </w:rPr>
        <w:t>硝酸</w:t>
      </w:r>
      <w:r>
        <w:t>危险特性识别</w:t>
      </w:r>
    </w:p>
    <w:tbl>
      <w:tblPr>
        <w:tblStyle w:val="27"/>
        <w:tblW w:w="514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18"/>
        <w:gridCol w:w="1256"/>
        <w:gridCol w:w="1042"/>
        <w:gridCol w:w="286"/>
        <w:gridCol w:w="605"/>
        <w:gridCol w:w="868"/>
        <w:gridCol w:w="977"/>
        <w:gridCol w:w="1948"/>
        <w:gridCol w:w="96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标识</w:t>
            </w:r>
          </w:p>
        </w:tc>
        <w:tc>
          <w:tcPr>
            <w:tcW w:w="2870" w:type="pct"/>
            <w:gridSpan w:val="6"/>
            <w:vAlign w:val="center"/>
          </w:tcPr>
          <w:p>
            <w:pPr>
              <w:pStyle w:val="33"/>
            </w:pPr>
            <w:r>
              <w:rPr>
                <w:rFonts w:hint="eastAsia"/>
              </w:rPr>
              <w:t>中文名：硝酸；硝酸氢；硝漒水</w:t>
            </w:r>
          </w:p>
        </w:tc>
        <w:tc>
          <w:tcPr>
            <w:tcW w:w="1662" w:type="pct"/>
            <w:gridSpan w:val="2"/>
            <w:vAlign w:val="center"/>
          </w:tcPr>
          <w:p>
            <w:pPr>
              <w:pStyle w:val="33"/>
            </w:pPr>
            <w:r>
              <w:t>危险货物编号：</w:t>
            </w:r>
            <w:r>
              <w:rPr>
                <w:rFonts w:hint="eastAsia"/>
              </w:rPr>
              <w:t>81002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2870" w:type="pct"/>
            <w:gridSpan w:val="6"/>
            <w:vAlign w:val="center"/>
          </w:tcPr>
          <w:p>
            <w:pPr>
              <w:pStyle w:val="33"/>
            </w:pPr>
            <w:r>
              <w:t>英文名：</w:t>
            </w:r>
            <w:r>
              <w:rPr>
                <w:rFonts w:hint="eastAsia"/>
              </w:rPr>
              <w:t>Nitric acid</w:t>
            </w:r>
          </w:p>
        </w:tc>
        <w:tc>
          <w:tcPr>
            <w:tcW w:w="1662" w:type="pct"/>
            <w:gridSpan w:val="2"/>
            <w:vAlign w:val="center"/>
          </w:tcPr>
          <w:p>
            <w:pPr>
              <w:pStyle w:val="33"/>
            </w:pPr>
            <w:r>
              <w:t>UN编号：</w:t>
            </w:r>
            <w:r>
              <w:rPr>
                <w:rFonts w:hint="eastAsia"/>
              </w:rPr>
              <w:t>2031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1473" w:type="pct"/>
            <w:gridSpan w:val="3"/>
            <w:vAlign w:val="center"/>
          </w:tcPr>
          <w:p>
            <w:pPr>
              <w:pStyle w:val="33"/>
            </w:pPr>
            <w:r>
              <w:t>分子式：</w:t>
            </w:r>
            <w:r>
              <w:rPr>
                <w:rFonts w:hint="eastAsia"/>
              </w:rPr>
              <w:t>HNO</w:t>
            </w:r>
            <w:r>
              <w:rPr>
                <w:rFonts w:hint="eastAsia"/>
                <w:vertAlign w:val="subscript"/>
              </w:rPr>
              <w:t>3</w:t>
            </w:r>
          </w:p>
        </w:tc>
        <w:tc>
          <w:tcPr>
            <w:tcW w:w="1397" w:type="pct"/>
            <w:gridSpan w:val="3"/>
            <w:vAlign w:val="center"/>
          </w:tcPr>
          <w:p>
            <w:pPr>
              <w:pStyle w:val="33"/>
            </w:pPr>
            <w:r>
              <w:t>分子量：</w:t>
            </w:r>
            <w:r>
              <w:rPr>
                <w:rFonts w:hint="eastAsia"/>
              </w:rPr>
              <w:t>63.01</w:t>
            </w:r>
          </w:p>
        </w:tc>
        <w:tc>
          <w:tcPr>
            <w:tcW w:w="1662" w:type="pct"/>
            <w:gridSpan w:val="2"/>
            <w:vAlign w:val="center"/>
          </w:tcPr>
          <w:p>
            <w:pPr>
              <w:pStyle w:val="33"/>
            </w:pPr>
            <w:r>
              <w:t>CAS号：</w:t>
            </w:r>
            <w:r>
              <w:rPr>
                <w:rFonts w:hint="eastAsia"/>
              </w:rPr>
              <w:t>7697-37-2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理化性质</w:t>
            </w:r>
          </w:p>
        </w:tc>
        <w:tc>
          <w:tcPr>
            <w:tcW w:w="716" w:type="pct"/>
            <w:vAlign w:val="center"/>
          </w:tcPr>
          <w:p>
            <w:pPr>
              <w:pStyle w:val="33"/>
            </w:pPr>
            <w:r>
              <w:t>外观与性状</w:t>
            </w:r>
          </w:p>
        </w:tc>
        <w:tc>
          <w:tcPr>
            <w:tcW w:w="3815" w:type="pct"/>
            <w:gridSpan w:val="7"/>
            <w:vAlign w:val="center"/>
          </w:tcPr>
          <w:p>
            <w:pPr>
              <w:pStyle w:val="33"/>
            </w:pPr>
            <w:r>
              <w:rPr>
                <w:rFonts w:hint="eastAsia"/>
              </w:rPr>
              <w:t>纯品为无色透明发烟液体，有酸味。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熔点（℃）</w:t>
            </w:r>
          </w:p>
        </w:tc>
        <w:tc>
          <w:tcPr>
            <w:tcW w:w="594" w:type="pct"/>
            <w:vAlign w:val="center"/>
          </w:tcPr>
          <w:p>
            <w:pPr>
              <w:pStyle w:val="33"/>
            </w:pPr>
            <w:r>
              <w:t>-</w:t>
            </w:r>
            <w:r>
              <w:rPr>
                <w:rFonts w:hint="eastAsia"/>
              </w:rPr>
              <w:t>4</w:t>
            </w:r>
            <w:r>
              <w:t>2</w:t>
            </w:r>
          </w:p>
        </w:tc>
        <w:tc>
          <w:tcPr>
            <w:tcW w:w="1003" w:type="pct"/>
            <w:gridSpan w:val="3"/>
            <w:vAlign w:val="center"/>
          </w:tcPr>
          <w:p>
            <w:pPr>
              <w:pStyle w:val="33"/>
            </w:pPr>
            <w:r>
              <w:t>相对密度(水=1)</w:t>
            </w:r>
          </w:p>
        </w:tc>
        <w:tc>
          <w:tcPr>
            <w:tcW w:w="556" w:type="pct"/>
            <w:vAlign w:val="center"/>
          </w:tcPr>
          <w:p>
            <w:pPr>
              <w:pStyle w:val="33"/>
            </w:pPr>
            <w:r>
              <w:rPr>
                <w:rFonts w:hint="eastAsia"/>
              </w:rPr>
              <w:t>1.5</w:t>
            </w:r>
          </w:p>
        </w:tc>
        <w:tc>
          <w:tcPr>
            <w:tcW w:w="1111" w:type="pct"/>
            <w:vAlign w:val="center"/>
          </w:tcPr>
          <w:p>
            <w:pPr>
              <w:pStyle w:val="33"/>
            </w:pPr>
            <w:r>
              <w:t>相对密度(空气=1)</w:t>
            </w:r>
          </w:p>
        </w:tc>
        <w:tc>
          <w:tcPr>
            <w:tcW w:w="550" w:type="pct"/>
            <w:vAlign w:val="center"/>
          </w:tcPr>
          <w:p>
            <w:pPr>
              <w:pStyle w:val="33"/>
            </w:pPr>
            <w:r>
              <w:t>2.</w:t>
            </w:r>
            <w:r>
              <w:rPr>
                <w:rFonts w:hint="eastAsia"/>
              </w:rPr>
              <w:t>17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沸点（℃）</w:t>
            </w:r>
          </w:p>
        </w:tc>
        <w:tc>
          <w:tcPr>
            <w:tcW w:w="594" w:type="pct"/>
            <w:vAlign w:val="center"/>
          </w:tcPr>
          <w:p>
            <w:pPr>
              <w:pStyle w:val="33"/>
            </w:pPr>
            <w:r>
              <w:rPr>
                <w:rFonts w:hint="eastAsia"/>
              </w:rPr>
              <w:t>86</w:t>
            </w:r>
          </w:p>
        </w:tc>
        <w:tc>
          <w:tcPr>
            <w:tcW w:w="1559" w:type="pct"/>
            <w:gridSpan w:val="4"/>
            <w:vAlign w:val="center"/>
          </w:tcPr>
          <w:p>
            <w:pPr>
              <w:pStyle w:val="33"/>
            </w:pPr>
            <w:r>
              <w:t>饱和蒸气压（kPa）</w:t>
            </w:r>
          </w:p>
        </w:tc>
        <w:tc>
          <w:tcPr>
            <w:tcW w:w="1662" w:type="pct"/>
            <w:gridSpan w:val="2"/>
            <w:vAlign w:val="center"/>
          </w:tcPr>
          <w:p>
            <w:pPr>
              <w:pStyle w:val="33"/>
            </w:pPr>
            <w:r>
              <w:rPr>
                <w:rFonts w:hint="eastAsia"/>
              </w:rPr>
              <w:t>4.4</w:t>
            </w:r>
            <w:r>
              <w:t>/20℃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溶解性</w:t>
            </w:r>
          </w:p>
        </w:tc>
        <w:tc>
          <w:tcPr>
            <w:tcW w:w="3815" w:type="pct"/>
            <w:gridSpan w:val="7"/>
            <w:vAlign w:val="center"/>
          </w:tcPr>
          <w:p>
            <w:pPr>
              <w:pStyle w:val="33"/>
            </w:pPr>
            <w:r>
              <w:rPr>
                <w:rFonts w:hint="eastAsia"/>
              </w:rPr>
              <w:t>与水混溶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毒性及健康危害</w:t>
            </w:r>
          </w:p>
        </w:tc>
        <w:tc>
          <w:tcPr>
            <w:tcW w:w="716" w:type="pct"/>
            <w:vAlign w:val="center"/>
          </w:tcPr>
          <w:p>
            <w:pPr>
              <w:pStyle w:val="33"/>
            </w:pPr>
            <w:r>
              <w:t>接触限值</w:t>
            </w:r>
          </w:p>
        </w:tc>
        <w:tc>
          <w:tcPr>
            <w:tcW w:w="2153" w:type="pct"/>
            <w:gridSpan w:val="5"/>
            <w:vAlign w:val="center"/>
          </w:tcPr>
          <w:p>
            <w:pPr>
              <w:pStyle w:val="33"/>
            </w:pPr>
            <w:r>
              <w:t>MAC(mg/m3)</w:t>
            </w:r>
          </w:p>
        </w:tc>
        <w:tc>
          <w:tcPr>
            <w:tcW w:w="1662" w:type="pct"/>
            <w:gridSpan w:val="2"/>
            <w:vAlign w:val="center"/>
          </w:tcPr>
          <w:p>
            <w:pPr>
              <w:pStyle w:val="33"/>
            </w:pPr>
            <w: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侵入途径</w:t>
            </w:r>
          </w:p>
        </w:tc>
        <w:tc>
          <w:tcPr>
            <w:tcW w:w="3815" w:type="pct"/>
            <w:gridSpan w:val="7"/>
            <w:vAlign w:val="center"/>
          </w:tcPr>
          <w:p>
            <w:pPr>
              <w:pStyle w:val="33"/>
            </w:pPr>
            <w:r>
              <w:rPr>
                <w:rFonts w:hint="eastAsia"/>
              </w:rPr>
              <w:t>吸入、食入、经皮吸收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毒性</w:t>
            </w:r>
          </w:p>
        </w:tc>
        <w:tc>
          <w:tcPr>
            <w:tcW w:w="3815" w:type="pct"/>
            <w:gridSpan w:val="7"/>
            <w:vAlign w:val="center"/>
          </w:tcPr>
          <w:p>
            <w:pPr>
              <w:pStyle w:val="33"/>
            </w:pPr>
            <w:r>
              <w:rPr>
                <w:rFonts w:hint="eastAsia"/>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健康危害</w:t>
            </w:r>
          </w:p>
        </w:tc>
        <w:tc>
          <w:tcPr>
            <w:tcW w:w="3815" w:type="pct"/>
            <w:gridSpan w:val="7"/>
            <w:vAlign w:val="center"/>
          </w:tcPr>
          <w:p>
            <w:pPr>
              <w:pStyle w:val="33"/>
            </w:pPr>
            <w:r>
              <w:rPr>
                <w:rFonts w:hint="eastAsia"/>
              </w:rPr>
              <w:t>其蒸气有刺激作用，引起粘膜和上呼吸道的刺激症状。如流泪、咽喉刺激感、呛咳、并伴有头痛、头晕、胸闷等。长期接触可引起牙齿酸蚀 症，皮肤接触引起灼伤。口服硝酸，引起上消化道剧痛、烧灼伤以至形成溃疡；严重者可能有胃穿孔、腹膜炎、喉痉挛、肾损害、休克以至窒息等。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急救方法</w:t>
            </w:r>
          </w:p>
        </w:tc>
        <w:tc>
          <w:tcPr>
            <w:tcW w:w="3815" w:type="pct"/>
            <w:gridSpan w:val="7"/>
            <w:vAlign w:val="center"/>
          </w:tcPr>
          <w:p>
            <w:pPr>
              <w:pStyle w:val="33"/>
            </w:pPr>
            <w:r>
              <w:rPr>
                <w:rFonts w:hint="eastAsia"/>
              </w:rPr>
              <w:t>皮肤接触：立即用水冲洗至少15分钟。或用2%碳酸氢钠溶液冲洗。若有灼伤，就医治疗。眼睛接触：立即提起眼睑，用流动清水或生理盐水冲洗至少15分钟。就医。吸入：迅速脱离现场至空气新鲜处。呼吸困难时给输氧。给予2-4%碳酸氢钠溶液雾化吸入。就医。食入：误服者给牛奶、蛋清、植物油等口服，不可催吐。立即就医</w:t>
            </w: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restart"/>
            <w:vAlign w:val="center"/>
          </w:tcPr>
          <w:p>
            <w:pPr>
              <w:pStyle w:val="33"/>
            </w:pPr>
            <w:r>
              <w:t>燃烧爆炸危险性</w:t>
            </w:r>
          </w:p>
        </w:tc>
        <w:tc>
          <w:tcPr>
            <w:tcW w:w="716" w:type="pct"/>
            <w:vAlign w:val="center"/>
          </w:tcPr>
          <w:p>
            <w:pPr>
              <w:pStyle w:val="33"/>
            </w:pPr>
            <w:r>
              <w:t>燃烧性</w:t>
            </w:r>
          </w:p>
        </w:tc>
        <w:tc>
          <w:tcPr>
            <w:tcW w:w="1102" w:type="pct"/>
            <w:gridSpan w:val="3"/>
            <w:vAlign w:val="center"/>
          </w:tcPr>
          <w:p>
            <w:pPr>
              <w:pStyle w:val="33"/>
            </w:pPr>
            <w:r>
              <w:t>不燃</w:t>
            </w:r>
          </w:p>
        </w:tc>
        <w:tc>
          <w:tcPr>
            <w:tcW w:w="1051" w:type="pct"/>
            <w:gridSpan w:val="2"/>
            <w:vAlign w:val="center"/>
          </w:tcPr>
          <w:p>
            <w:pPr>
              <w:pStyle w:val="33"/>
            </w:pPr>
            <w:r>
              <w:t>燃烧分解物</w:t>
            </w:r>
          </w:p>
        </w:tc>
        <w:tc>
          <w:tcPr>
            <w:tcW w:w="1662" w:type="pct"/>
            <w:gridSpan w:val="2"/>
            <w:vAlign w:val="center"/>
          </w:tcPr>
          <w:p>
            <w:pPr>
              <w:pStyle w:val="33"/>
            </w:pPr>
            <w:r>
              <w:rPr>
                <w:rFonts w:hint="eastAsia"/>
              </w:rPr>
              <w:t>氧化氮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闪点(℃)</w:t>
            </w:r>
          </w:p>
        </w:tc>
        <w:tc>
          <w:tcPr>
            <w:tcW w:w="1102" w:type="pct"/>
            <w:gridSpan w:val="3"/>
            <w:vAlign w:val="center"/>
          </w:tcPr>
          <w:p>
            <w:pPr>
              <w:pStyle w:val="33"/>
            </w:pPr>
            <w:r>
              <w:t>/</w:t>
            </w:r>
          </w:p>
        </w:tc>
        <w:tc>
          <w:tcPr>
            <w:tcW w:w="1051" w:type="pct"/>
            <w:gridSpan w:val="2"/>
            <w:vAlign w:val="center"/>
          </w:tcPr>
          <w:p>
            <w:pPr>
              <w:pStyle w:val="33"/>
            </w:pPr>
            <w:r>
              <w:t>爆炸上限（v%）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引燃温度(℃)</w:t>
            </w:r>
          </w:p>
        </w:tc>
        <w:tc>
          <w:tcPr>
            <w:tcW w:w="1102" w:type="pct"/>
            <w:gridSpan w:val="3"/>
            <w:vAlign w:val="center"/>
          </w:tcPr>
          <w:p>
            <w:pPr>
              <w:pStyle w:val="33"/>
            </w:pPr>
            <w:r>
              <w:t>/</w:t>
            </w:r>
          </w:p>
        </w:tc>
        <w:tc>
          <w:tcPr>
            <w:tcW w:w="1051" w:type="pct"/>
            <w:gridSpan w:val="2"/>
            <w:vAlign w:val="center"/>
          </w:tcPr>
          <w:p>
            <w:pPr>
              <w:pStyle w:val="33"/>
            </w:pPr>
            <w:r>
              <w:t>爆炸下限（v%）</w:t>
            </w:r>
          </w:p>
        </w:tc>
        <w:tc>
          <w:tcPr>
            <w:tcW w:w="1662" w:type="pct"/>
            <w:gridSpan w:val="2"/>
            <w:vAlign w:val="center"/>
          </w:tcPr>
          <w:p>
            <w:pPr>
              <w:pStyle w:val="33"/>
            </w:pPr>
            <w: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危险特性</w:t>
            </w:r>
          </w:p>
        </w:tc>
        <w:tc>
          <w:tcPr>
            <w:tcW w:w="3815" w:type="pct"/>
            <w:gridSpan w:val="7"/>
            <w:vAlign w:val="center"/>
          </w:tcPr>
          <w:p>
            <w:pPr>
              <w:pStyle w:val="33"/>
            </w:pPr>
            <w:r>
              <w:rPr>
                <w:rFonts w:hint="eastAsia"/>
              </w:rPr>
              <w:t>强氧化剂。能与多种物质如金属粉末、电石、硫化氢、松节油等猛烈反应，甚至发生爆炸。与还原剂、可燃物如糖、纤维素、木屑、棉花、稻草或废纱头等接触，引起燃烧并散发出剧毒的棕色烟雾。具有强腐蚀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储运条件</w:t>
            </w:r>
          </w:p>
          <w:p>
            <w:pPr>
              <w:pStyle w:val="33"/>
            </w:pPr>
            <w:r>
              <w:t>与泄漏处理</w:t>
            </w:r>
          </w:p>
        </w:tc>
        <w:tc>
          <w:tcPr>
            <w:tcW w:w="3815" w:type="pct"/>
            <w:gridSpan w:val="7"/>
            <w:vAlign w:val="center"/>
          </w:tcPr>
          <w:p>
            <w:pPr>
              <w:pStyle w:val="33"/>
            </w:pPr>
            <w:r>
              <w:rPr>
                <w:rFonts w:hint="eastAsia"/>
              </w:rPr>
              <w:t>储运条件：储存于阴凉、干燥、通风处。应与易燃、可燃物，碱类、金属粉末等分开存放。不可混储混运。搬运时要轻装轻卸，防止包装及容  器损坏。分装和搬运作业要注意个人防护。运输按规定路线行驶，勿在  居民区和人口稠密区停留。泄漏处理 ：迅速撤离泄漏污染区人员至安全区，并进行隔离，严格限制出入。建议应急处理人员戴自给正压式呼吸器，穿防酸碱工作服。从上风处进入现场。尽可能切断泄漏源。防止流入下水道、排洪沟等限制性空间。不要直接接触泄漏物，勿使泄漏物与可燃物质(木材、纸、油等)接触，在确保安全情况下堵漏。喷水雾能减少蒸发但不要使水进入储存容器内。小量泄漏：将地面洒上苏打灰，然后用大量水冲洗，洗水稀释后放入废水系统。大量泄漏：构筑围堤或挖坑收容。喷雾状水冷却和稀释蒸汽、保护现场人员、把泄漏物稀释成不燃物。用泵转移至槽车或专用收集器内，回收或运至废物处理场所处</w:t>
            </w:r>
          </w:p>
          <w:p>
            <w:pPr>
              <w:pStyle w:val="33"/>
            </w:pPr>
            <w:r>
              <w:rPr>
                <w:rFonts w:hint="eastAsia"/>
              </w:rPr>
              <w:t>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jc w:val="center"/>
        </w:trPr>
        <w:tc>
          <w:tcPr>
            <w:tcW w:w="467" w:type="pct"/>
            <w:vMerge w:val="continue"/>
            <w:vAlign w:val="center"/>
          </w:tcPr>
          <w:p>
            <w:pPr>
              <w:pStyle w:val="33"/>
            </w:pPr>
          </w:p>
        </w:tc>
        <w:tc>
          <w:tcPr>
            <w:tcW w:w="716" w:type="pct"/>
            <w:vAlign w:val="center"/>
          </w:tcPr>
          <w:p>
            <w:pPr>
              <w:pStyle w:val="33"/>
            </w:pPr>
            <w:r>
              <w:t>灭火方法</w:t>
            </w:r>
          </w:p>
        </w:tc>
        <w:tc>
          <w:tcPr>
            <w:tcW w:w="3815" w:type="pct"/>
            <w:gridSpan w:val="7"/>
            <w:vAlign w:val="center"/>
          </w:tcPr>
          <w:p>
            <w:pPr>
              <w:pStyle w:val="33"/>
            </w:pPr>
            <w:r>
              <w:rPr>
                <w:rFonts w:hint="eastAsia"/>
              </w:rPr>
              <w:t>用二氧化碳、砂土、雾状水、火场周围可用的灭火介质灭火。</w:t>
            </w:r>
          </w:p>
        </w:tc>
      </w:tr>
    </w:tbl>
    <w:p>
      <w:pPr>
        <w:pStyle w:val="31"/>
      </w:pPr>
    </w:p>
    <w:p>
      <w:pPr>
        <w:pStyle w:val="31"/>
      </w:pPr>
      <w:r>
        <w:t>表</w:t>
      </w:r>
      <w:r>
        <w:rPr>
          <w:rFonts w:hint="eastAsia"/>
        </w:rPr>
        <w:t>7</w:t>
      </w:r>
      <w:r>
        <w:t>.</w:t>
      </w:r>
      <w:r>
        <w:rPr>
          <w:rFonts w:hint="eastAsia"/>
        </w:rPr>
        <w:t>3-6</w:t>
      </w:r>
      <w:r>
        <w:t xml:space="preserve"> </w:t>
      </w:r>
      <w:r>
        <w:rPr>
          <w:rFonts w:hint="eastAsia"/>
        </w:rPr>
        <w:t>盐酸</w:t>
      </w:r>
      <w:r>
        <w:t>危险特性识别</w:t>
      </w:r>
    </w:p>
    <w:tbl>
      <w:tblPr>
        <w:tblStyle w:val="27"/>
        <w:tblW w:w="9179"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476"/>
        <w:gridCol w:w="1558"/>
        <w:gridCol w:w="1202"/>
        <w:gridCol w:w="255"/>
        <w:gridCol w:w="163"/>
        <w:gridCol w:w="1561"/>
        <w:gridCol w:w="959"/>
        <w:gridCol w:w="180"/>
        <w:gridCol w:w="1922"/>
        <w:gridCol w:w="903"/>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6"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标识</w:t>
            </w:r>
          </w:p>
        </w:tc>
        <w:tc>
          <w:tcPr>
            <w:tcW w:w="5698" w:type="dxa"/>
            <w:gridSpan w:val="6"/>
            <w:tcBorders>
              <w:top w:val="single" w:color="auto" w:sz="6" w:space="0"/>
              <w:left w:val="single" w:color="auto" w:sz="6" w:space="0"/>
              <w:bottom w:val="single" w:color="auto" w:sz="6" w:space="0"/>
              <w:right w:val="single" w:color="auto" w:sz="6" w:space="0"/>
            </w:tcBorders>
            <w:vAlign w:val="center"/>
          </w:tcPr>
          <w:p>
            <w:pPr>
              <w:pStyle w:val="33"/>
            </w:pPr>
            <w:r>
              <w:t>中文名：盐酸；氢氯酸</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危险货物编号：81013</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5698" w:type="dxa"/>
            <w:gridSpan w:val="6"/>
            <w:tcBorders>
              <w:top w:val="single" w:color="auto" w:sz="6" w:space="0"/>
              <w:left w:val="single" w:color="auto" w:sz="6" w:space="0"/>
              <w:bottom w:val="single" w:color="auto" w:sz="6" w:space="0"/>
              <w:right w:val="single" w:color="auto" w:sz="6" w:space="0"/>
            </w:tcBorders>
            <w:vAlign w:val="center"/>
          </w:tcPr>
          <w:p>
            <w:pPr>
              <w:pStyle w:val="33"/>
            </w:pPr>
            <w:r>
              <w:t>英文名：Hydrochloric acid；Chlorohydric acid</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UN编号：1789</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3"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3015" w:type="dxa"/>
            <w:gridSpan w:val="3"/>
            <w:tcBorders>
              <w:top w:val="single" w:color="auto" w:sz="6" w:space="0"/>
              <w:left w:val="single" w:color="auto" w:sz="6" w:space="0"/>
              <w:bottom w:val="single" w:color="auto" w:sz="6" w:space="0"/>
              <w:right w:val="single" w:color="auto" w:sz="6" w:space="0"/>
            </w:tcBorders>
            <w:vAlign w:val="center"/>
          </w:tcPr>
          <w:p>
            <w:pPr>
              <w:pStyle w:val="33"/>
            </w:pPr>
            <w:r>
              <w:t>分子式：HCl</w:t>
            </w:r>
          </w:p>
        </w:tc>
        <w:tc>
          <w:tcPr>
            <w:tcW w:w="2683" w:type="dxa"/>
            <w:gridSpan w:val="3"/>
            <w:tcBorders>
              <w:top w:val="single" w:color="auto" w:sz="6" w:space="0"/>
              <w:left w:val="single" w:color="auto" w:sz="6" w:space="0"/>
              <w:bottom w:val="single" w:color="auto" w:sz="6" w:space="0"/>
              <w:right w:val="single" w:color="auto" w:sz="6" w:space="0"/>
            </w:tcBorders>
            <w:vAlign w:val="center"/>
          </w:tcPr>
          <w:p>
            <w:pPr>
              <w:pStyle w:val="33"/>
            </w:pPr>
            <w:r>
              <w:t>分子量：36.46</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CAS号：7647-01-0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5"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理化性质</w:t>
            </w: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外观与性状</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无色或微黄色发烟液体，有刺鼻的酸味。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7"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熔点（℃）</w:t>
            </w:r>
          </w:p>
        </w:tc>
        <w:tc>
          <w:tcPr>
            <w:tcW w:w="1202" w:type="dxa"/>
            <w:tcBorders>
              <w:top w:val="single" w:color="auto" w:sz="6" w:space="0"/>
              <w:left w:val="single" w:color="auto" w:sz="6" w:space="0"/>
              <w:bottom w:val="single" w:color="auto" w:sz="6" w:space="0"/>
              <w:right w:val="single" w:color="auto" w:sz="6" w:space="0"/>
            </w:tcBorders>
            <w:vAlign w:val="center"/>
          </w:tcPr>
          <w:p>
            <w:pPr>
              <w:pStyle w:val="33"/>
            </w:pPr>
            <w:r>
              <w:t>-114.8</w:t>
            </w:r>
          </w:p>
        </w:tc>
        <w:tc>
          <w:tcPr>
            <w:tcW w:w="1979" w:type="dxa"/>
            <w:gridSpan w:val="3"/>
            <w:tcBorders>
              <w:top w:val="single" w:color="auto" w:sz="6" w:space="0"/>
              <w:left w:val="single" w:color="auto" w:sz="6" w:space="0"/>
              <w:bottom w:val="single" w:color="auto" w:sz="6" w:space="0"/>
              <w:right w:val="single" w:color="auto" w:sz="6" w:space="0"/>
            </w:tcBorders>
            <w:vAlign w:val="center"/>
          </w:tcPr>
          <w:p>
            <w:pPr>
              <w:pStyle w:val="33"/>
            </w:pPr>
            <w:r>
              <w:t>相对密度(水=1)</w:t>
            </w:r>
          </w:p>
        </w:tc>
        <w:tc>
          <w:tcPr>
            <w:tcW w:w="959" w:type="dxa"/>
            <w:tcBorders>
              <w:top w:val="single" w:color="auto" w:sz="6" w:space="0"/>
              <w:left w:val="single" w:color="auto" w:sz="6" w:space="0"/>
              <w:bottom w:val="single" w:color="auto" w:sz="6" w:space="0"/>
              <w:right w:val="single" w:color="auto" w:sz="6" w:space="0"/>
            </w:tcBorders>
            <w:vAlign w:val="center"/>
          </w:tcPr>
          <w:p>
            <w:pPr>
              <w:pStyle w:val="33"/>
            </w:pPr>
            <w:r>
              <w:t>1.20</w:t>
            </w:r>
          </w:p>
        </w:tc>
        <w:tc>
          <w:tcPr>
            <w:tcW w:w="2102" w:type="dxa"/>
            <w:gridSpan w:val="2"/>
            <w:tcBorders>
              <w:top w:val="single" w:color="auto" w:sz="6" w:space="0"/>
              <w:left w:val="single" w:color="auto" w:sz="6" w:space="0"/>
              <w:bottom w:val="single" w:color="auto" w:sz="6" w:space="0"/>
              <w:right w:val="single" w:color="auto" w:sz="6" w:space="0"/>
            </w:tcBorders>
            <w:vAlign w:val="center"/>
          </w:tcPr>
          <w:p>
            <w:pPr>
              <w:pStyle w:val="33"/>
            </w:pPr>
            <w:r>
              <w:t>相对密度(空气=1)</w:t>
            </w:r>
          </w:p>
        </w:tc>
        <w:tc>
          <w:tcPr>
            <w:tcW w:w="903" w:type="dxa"/>
            <w:tcBorders>
              <w:top w:val="single" w:color="auto" w:sz="6" w:space="0"/>
              <w:left w:val="single" w:color="auto" w:sz="6" w:space="0"/>
              <w:bottom w:val="single" w:color="auto" w:sz="6" w:space="0"/>
              <w:right w:val="single" w:color="auto" w:sz="6" w:space="0"/>
            </w:tcBorders>
            <w:vAlign w:val="center"/>
          </w:tcPr>
          <w:p>
            <w:pPr>
              <w:pStyle w:val="33"/>
            </w:pPr>
            <w:r>
              <w:t>1.26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沸点（℃）</w:t>
            </w:r>
          </w:p>
        </w:tc>
        <w:tc>
          <w:tcPr>
            <w:tcW w:w="1202" w:type="dxa"/>
            <w:tcBorders>
              <w:top w:val="single" w:color="auto" w:sz="6" w:space="0"/>
              <w:left w:val="single" w:color="auto" w:sz="6" w:space="0"/>
              <w:bottom w:val="single" w:color="auto" w:sz="6" w:space="0"/>
              <w:right w:val="single" w:color="auto" w:sz="6" w:space="0"/>
            </w:tcBorders>
            <w:vAlign w:val="center"/>
          </w:tcPr>
          <w:p>
            <w:pPr>
              <w:pStyle w:val="33"/>
            </w:pPr>
            <w:r>
              <w:t>108.6</w:t>
            </w:r>
          </w:p>
        </w:tc>
        <w:tc>
          <w:tcPr>
            <w:tcW w:w="2938" w:type="dxa"/>
            <w:gridSpan w:val="4"/>
            <w:tcBorders>
              <w:top w:val="single" w:color="auto" w:sz="6" w:space="0"/>
              <w:left w:val="single" w:color="auto" w:sz="6" w:space="0"/>
              <w:bottom w:val="single" w:color="auto" w:sz="6" w:space="0"/>
              <w:right w:val="single" w:color="auto" w:sz="6" w:space="0"/>
            </w:tcBorders>
            <w:vAlign w:val="center"/>
          </w:tcPr>
          <w:p>
            <w:pPr>
              <w:pStyle w:val="33"/>
            </w:pPr>
            <w:r>
              <w:t>饱和蒸气压（kPa）</w:t>
            </w:r>
          </w:p>
        </w:tc>
        <w:tc>
          <w:tcPr>
            <w:tcW w:w="3005" w:type="dxa"/>
            <w:gridSpan w:val="3"/>
            <w:tcBorders>
              <w:top w:val="single" w:color="auto" w:sz="6" w:space="0"/>
              <w:left w:val="single" w:color="auto" w:sz="6" w:space="0"/>
              <w:bottom w:val="single" w:color="auto" w:sz="6" w:space="0"/>
              <w:right w:val="single" w:color="auto" w:sz="6" w:space="0"/>
            </w:tcBorders>
            <w:vAlign w:val="center"/>
          </w:tcPr>
          <w:p>
            <w:pPr>
              <w:pStyle w:val="33"/>
            </w:pPr>
            <w:r>
              <w:t>30.66/21℃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溶解性</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与水混溶，溶于碱液。</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8"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毒性及健康危害</w:t>
            </w: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侵入途径</w:t>
            </w:r>
          </w:p>
        </w:tc>
        <w:tc>
          <w:tcPr>
            <w:tcW w:w="7145" w:type="dxa"/>
            <w:gridSpan w:val="8"/>
            <w:tcBorders>
              <w:top w:val="single" w:color="auto" w:sz="6" w:space="0"/>
              <w:left w:val="single" w:color="auto" w:sz="6" w:space="0"/>
              <w:bottom w:val="single" w:color="auto" w:sz="6" w:space="0"/>
              <w:right w:val="single" w:color="auto" w:sz="4" w:space="0"/>
            </w:tcBorders>
            <w:vAlign w:val="center"/>
          </w:tcPr>
          <w:p>
            <w:pPr>
              <w:pStyle w:val="33"/>
            </w:pPr>
            <w:r>
              <w:rPr>
                <w:rFonts w:hint="eastAsia"/>
              </w:rPr>
              <w:t>吸入、食入、经皮吸收</w:t>
            </w:r>
            <w: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6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毒性</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 xml:space="preserve"> LD50：900mg/kg(兔经口)；</w:t>
            </w:r>
          </w:p>
          <w:p>
            <w:pPr>
              <w:pStyle w:val="33"/>
            </w:pPr>
            <w:r>
              <w:t xml:space="preserve"> LC50：3124ppm，1小时(大鼠吸入)</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34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4" w:space="0"/>
              <w:right w:val="single" w:color="auto" w:sz="6" w:space="0"/>
            </w:tcBorders>
            <w:vAlign w:val="center"/>
          </w:tcPr>
          <w:p>
            <w:pPr>
              <w:pStyle w:val="33"/>
            </w:pPr>
            <w:r>
              <w:t>健康危害</w:t>
            </w:r>
          </w:p>
        </w:tc>
        <w:tc>
          <w:tcPr>
            <w:tcW w:w="7145" w:type="dxa"/>
            <w:gridSpan w:val="8"/>
            <w:tcBorders>
              <w:top w:val="single" w:color="auto" w:sz="6" w:space="0"/>
              <w:left w:val="single" w:color="auto" w:sz="6" w:space="0"/>
              <w:bottom w:val="single" w:color="auto" w:sz="4" w:space="0"/>
              <w:right w:val="single" w:color="auto" w:sz="6" w:space="0"/>
            </w:tcBorders>
            <w:vAlign w:val="center"/>
          </w:tcPr>
          <w:p>
            <w:pPr>
              <w:pStyle w:val="33"/>
            </w:pPr>
            <w:r>
              <w:t>接触其蒸气或烟雾，可引起急性中毒，出现眼结膜炎，鼻及口腔粘膜有烧灼感，鼻衄、齿龈出血，气管炎等。误服可引起消化道灼伤、溃疡形成，有可能引起胃穿孔、腹膜炎等。眼和皮肤接触可致灼伤。慢性影响：长期接触，引起慢性鼻炎、慢性支气管炎、牙齿酸蚀症及皮肤损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4" w:space="0"/>
              <w:left w:val="single" w:color="auto" w:sz="6" w:space="0"/>
              <w:bottom w:val="single" w:color="auto" w:sz="6" w:space="0"/>
              <w:right w:val="single" w:color="auto" w:sz="6" w:space="0"/>
            </w:tcBorders>
            <w:vAlign w:val="center"/>
          </w:tcPr>
          <w:p>
            <w:pPr>
              <w:pStyle w:val="33"/>
            </w:pPr>
            <w:r>
              <w:t>急救方法</w:t>
            </w:r>
          </w:p>
        </w:tc>
        <w:tc>
          <w:tcPr>
            <w:tcW w:w="7145" w:type="dxa"/>
            <w:gridSpan w:val="8"/>
            <w:tcBorders>
              <w:top w:val="single" w:color="auto" w:sz="4" w:space="0"/>
              <w:left w:val="single" w:color="auto" w:sz="6" w:space="0"/>
              <w:bottom w:val="single" w:color="auto" w:sz="6" w:space="0"/>
              <w:right w:val="single" w:color="auto" w:sz="6" w:space="0"/>
            </w:tcBorders>
            <w:vAlign w:val="center"/>
          </w:tcPr>
          <w:p>
            <w:pPr>
              <w:pStyle w:val="33"/>
            </w:pPr>
            <w:r>
              <w:t>皮肤接触：立即用水冲洗至少15分钟。或用2%碳酸氢钠溶液冲洗。若有灼伤，就医治疗。眼睛接触：立即提起眼睑，用流动清水冲洗10分钟或用2%碳酸氢钠溶液冲洗。吸入：迅速脱离现场至空气新鲜处。呼吸困难时给输氧。给予2-4%碳酸氢钠溶液雾化吸入。就医。食入：误服者立即漱口，给牛奶、蛋清、植物油等口服，不可催吐。立即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22"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pStyle w:val="33"/>
            </w:pPr>
            <w:r>
              <w:t>燃烧爆炸危险性</w:t>
            </w: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燃烧性</w:t>
            </w:r>
          </w:p>
        </w:tc>
        <w:tc>
          <w:tcPr>
            <w:tcW w:w="1620" w:type="dxa"/>
            <w:gridSpan w:val="3"/>
            <w:tcBorders>
              <w:top w:val="single" w:color="auto" w:sz="6" w:space="0"/>
              <w:left w:val="single" w:color="auto" w:sz="6" w:space="0"/>
              <w:bottom w:val="single" w:color="auto" w:sz="6" w:space="0"/>
              <w:right w:val="single" w:color="auto" w:sz="6" w:space="0"/>
            </w:tcBorders>
            <w:vAlign w:val="center"/>
          </w:tcPr>
          <w:p>
            <w:pPr>
              <w:pStyle w:val="33"/>
            </w:pPr>
            <w:r>
              <w:t>不燃</w:t>
            </w:r>
          </w:p>
        </w:tc>
        <w:tc>
          <w:tcPr>
            <w:tcW w:w="2700" w:type="dxa"/>
            <w:gridSpan w:val="3"/>
            <w:tcBorders>
              <w:top w:val="single" w:color="auto" w:sz="6" w:space="0"/>
              <w:left w:val="single" w:color="auto" w:sz="6" w:space="0"/>
              <w:bottom w:val="single" w:color="auto" w:sz="6" w:space="0"/>
              <w:right w:val="single" w:color="auto" w:sz="6" w:space="0"/>
            </w:tcBorders>
            <w:vAlign w:val="center"/>
          </w:tcPr>
          <w:p>
            <w:pPr>
              <w:pStyle w:val="33"/>
            </w:pPr>
            <w:r>
              <w:t>燃烧分解物</w:t>
            </w:r>
          </w:p>
        </w:tc>
        <w:tc>
          <w:tcPr>
            <w:tcW w:w="2825" w:type="dxa"/>
            <w:gridSpan w:val="2"/>
            <w:tcBorders>
              <w:top w:val="single" w:color="auto" w:sz="6" w:space="0"/>
              <w:left w:val="single" w:color="auto" w:sz="6" w:space="0"/>
              <w:bottom w:val="single" w:color="auto" w:sz="6" w:space="0"/>
              <w:right w:val="single" w:color="auto" w:sz="6" w:space="0"/>
            </w:tcBorders>
            <w:vAlign w:val="center"/>
          </w:tcPr>
          <w:p>
            <w:pPr>
              <w:pStyle w:val="33"/>
            </w:pPr>
            <w:r>
              <w:t>氯化氢。</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0"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闪点(℃)</w:t>
            </w:r>
          </w:p>
        </w:tc>
        <w:tc>
          <w:tcPr>
            <w:tcW w:w="1620" w:type="dxa"/>
            <w:gridSpan w:val="3"/>
            <w:tcBorders>
              <w:top w:val="single" w:color="auto" w:sz="6" w:space="0"/>
              <w:left w:val="single" w:color="auto" w:sz="6" w:space="0"/>
              <w:bottom w:val="single" w:color="auto" w:sz="6" w:space="0"/>
              <w:right w:val="single" w:color="auto" w:sz="6" w:space="0"/>
            </w:tcBorders>
            <w:vAlign w:val="center"/>
          </w:tcPr>
          <w:p>
            <w:pPr>
              <w:pStyle w:val="33"/>
            </w:pPr>
            <w:r>
              <w:t>/</w:t>
            </w:r>
          </w:p>
        </w:tc>
        <w:tc>
          <w:tcPr>
            <w:tcW w:w="2700" w:type="dxa"/>
            <w:gridSpan w:val="3"/>
            <w:tcBorders>
              <w:top w:val="single" w:color="auto" w:sz="6" w:space="0"/>
              <w:left w:val="single" w:color="auto" w:sz="6" w:space="0"/>
              <w:bottom w:val="single" w:color="auto" w:sz="6" w:space="0"/>
              <w:right w:val="single" w:color="auto" w:sz="6" w:space="0"/>
            </w:tcBorders>
            <w:vAlign w:val="center"/>
          </w:tcPr>
          <w:p>
            <w:pPr>
              <w:pStyle w:val="33"/>
            </w:pPr>
            <w:r>
              <w:t>爆炸上限（v%）</w:t>
            </w:r>
          </w:p>
        </w:tc>
        <w:tc>
          <w:tcPr>
            <w:tcW w:w="2825" w:type="dxa"/>
            <w:gridSpan w:val="2"/>
            <w:tcBorders>
              <w:top w:val="single" w:color="auto" w:sz="6" w:space="0"/>
              <w:left w:val="single" w:color="auto" w:sz="6" w:space="0"/>
              <w:bottom w:val="single" w:color="auto" w:sz="6" w:space="0"/>
              <w:right w:val="single" w:color="auto" w:sz="6" w:space="0"/>
            </w:tcBorders>
            <w:vAlign w:val="center"/>
          </w:tcPr>
          <w:p>
            <w:pPr>
              <w:pStyle w:val="33"/>
            </w:pPr>
            <w: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5"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引燃温度(℃)</w:t>
            </w:r>
          </w:p>
        </w:tc>
        <w:tc>
          <w:tcPr>
            <w:tcW w:w="1620" w:type="dxa"/>
            <w:gridSpan w:val="3"/>
            <w:tcBorders>
              <w:top w:val="single" w:color="auto" w:sz="6" w:space="0"/>
              <w:left w:val="single" w:color="auto" w:sz="6" w:space="0"/>
              <w:bottom w:val="single" w:color="auto" w:sz="6" w:space="0"/>
              <w:right w:val="single" w:color="auto" w:sz="6" w:space="0"/>
            </w:tcBorders>
            <w:vAlign w:val="center"/>
          </w:tcPr>
          <w:p>
            <w:pPr>
              <w:pStyle w:val="33"/>
            </w:pPr>
            <w:r>
              <w:t>/</w:t>
            </w:r>
          </w:p>
        </w:tc>
        <w:tc>
          <w:tcPr>
            <w:tcW w:w="2700" w:type="dxa"/>
            <w:gridSpan w:val="3"/>
            <w:tcBorders>
              <w:top w:val="single" w:color="auto" w:sz="6" w:space="0"/>
              <w:left w:val="single" w:color="auto" w:sz="6" w:space="0"/>
              <w:bottom w:val="single" w:color="auto" w:sz="6" w:space="0"/>
              <w:right w:val="single" w:color="auto" w:sz="6" w:space="0"/>
            </w:tcBorders>
            <w:vAlign w:val="center"/>
          </w:tcPr>
          <w:p>
            <w:pPr>
              <w:pStyle w:val="33"/>
            </w:pPr>
            <w:r>
              <w:t>爆炸下限（v%）</w:t>
            </w:r>
          </w:p>
        </w:tc>
        <w:tc>
          <w:tcPr>
            <w:tcW w:w="2825" w:type="dxa"/>
            <w:gridSpan w:val="2"/>
            <w:tcBorders>
              <w:top w:val="single" w:color="auto" w:sz="6" w:space="0"/>
              <w:left w:val="single" w:color="auto" w:sz="6" w:space="0"/>
              <w:bottom w:val="single" w:color="auto" w:sz="6" w:space="0"/>
              <w:right w:val="single" w:color="auto" w:sz="6" w:space="0"/>
            </w:tcBorders>
            <w:vAlign w:val="center"/>
          </w:tcPr>
          <w:p>
            <w:pPr>
              <w:pStyle w:val="33"/>
            </w:pPr>
            <w: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4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危险特性</w:t>
            </w:r>
          </w:p>
        </w:tc>
        <w:tc>
          <w:tcPr>
            <w:tcW w:w="7145" w:type="dxa"/>
            <w:gridSpan w:val="8"/>
            <w:tcBorders>
              <w:top w:val="single" w:color="auto" w:sz="6" w:space="0"/>
              <w:left w:val="single" w:color="auto" w:sz="6" w:space="0"/>
              <w:bottom w:val="single" w:color="auto" w:sz="6" w:space="0"/>
              <w:right w:val="single" w:color="auto" w:sz="6" w:space="0"/>
            </w:tcBorders>
          </w:tcPr>
          <w:p>
            <w:pPr>
              <w:pStyle w:val="33"/>
            </w:pPr>
            <w:r>
              <w:t>能与一些活性金属粉末发生反应，放出氢气。遇氰化物能产生剧毒的氰化氢气体。与碱发生中合反应，并放出大量的热。具有强腐蚀性。</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储运条件</w:t>
            </w:r>
          </w:p>
          <w:p>
            <w:pPr>
              <w:pStyle w:val="33"/>
            </w:pPr>
            <w:r>
              <w:t>与泄漏处理</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储运条件：储存于阴凉、干燥、通风处。应与易燃、可燃物，碱类、金属粉末等分开存放。不可混储混运。搬运时要轻装轻卸，防止包装及容器损坏。分装和搬运作业要注意个人防护。运输按规定路线行驶。泄漏处理：疏散泄漏污染区人员至安全区，禁止无关人员进入污染区，建议应急处理人员戴好面罩，穿化学防护服。不要直接接触泄漏物，禁止向泄漏物直接喷水。更不要让水进入包装容器内。用沙土、干燥石灰或苏打灰混合，然后收集运至废物处理场所处置。也可以用大量水冲洗，经稀释的洗水放入废水系统。如大量泄漏，利用围堤收容，然后收集、转移、回收或无害处理后废弃。</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pStyle w:val="33"/>
            </w:pPr>
          </w:p>
        </w:tc>
        <w:tc>
          <w:tcPr>
            <w:tcW w:w="1558" w:type="dxa"/>
            <w:tcBorders>
              <w:top w:val="single" w:color="auto" w:sz="6" w:space="0"/>
              <w:left w:val="single" w:color="auto" w:sz="6" w:space="0"/>
              <w:bottom w:val="single" w:color="auto" w:sz="6" w:space="0"/>
              <w:right w:val="single" w:color="auto" w:sz="6" w:space="0"/>
            </w:tcBorders>
            <w:vAlign w:val="center"/>
          </w:tcPr>
          <w:p>
            <w:pPr>
              <w:pStyle w:val="33"/>
            </w:pPr>
            <w:r>
              <w:t>灭火方法</w:t>
            </w:r>
          </w:p>
        </w:tc>
        <w:tc>
          <w:tcPr>
            <w:tcW w:w="7145" w:type="dxa"/>
            <w:gridSpan w:val="8"/>
            <w:tcBorders>
              <w:top w:val="single" w:color="auto" w:sz="6" w:space="0"/>
              <w:left w:val="single" w:color="auto" w:sz="6" w:space="0"/>
              <w:bottom w:val="single" w:color="auto" w:sz="6" w:space="0"/>
              <w:right w:val="single" w:color="auto" w:sz="6" w:space="0"/>
            </w:tcBorders>
            <w:vAlign w:val="center"/>
          </w:tcPr>
          <w:p>
            <w:pPr>
              <w:pStyle w:val="33"/>
            </w:pPr>
            <w:r>
              <w:t>用碱性物质如碳酸氢钠、碳酸钠、消石灰等中和。也可用大量水扑救。</w:t>
            </w:r>
          </w:p>
        </w:tc>
      </w:tr>
    </w:tbl>
    <w:p>
      <w:pPr>
        <w:pStyle w:val="2"/>
        <w:ind w:left="480" w:firstLine="480"/>
      </w:pPr>
    </w:p>
    <w:p>
      <w:pPr>
        <w:pStyle w:val="31"/>
      </w:pPr>
      <w:r>
        <w:t>表</w:t>
      </w:r>
      <w:r>
        <w:rPr>
          <w:rFonts w:hint="eastAsia"/>
        </w:rPr>
        <w:t>7</w:t>
      </w:r>
      <w:r>
        <w:t>.</w:t>
      </w:r>
      <w:r>
        <w:rPr>
          <w:rFonts w:hint="eastAsia"/>
        </w:rPr>
        <w:t>3-7</w:t>
      </w:r>
      <w:r>
        <w:t xml:space="preserve">  氟化氢危险特性识别</w:t>
      </w:r>
    </w:p>
    <w:tbl>
      <w:tblPr>
        <w:tblStyle w:val="27"/>
        <w:tblW w:w="515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9"/>
        <w:gridCol w:w="2453"/>
        <w:gridCol w:w="213"/>
        <w:gridCol w:w="1919"/>
        <w:gridCol w:w="364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318" w:type="pct"/>
            <w:vMerge w:val="restart"/>
            <w:vAlign w:val="center"/>
          </w:tcPr>
          <w:p>
            <w:pPr>
              <w:autoSpaceDE w:val="0"/>
              <w:autoSpaceDN w:val="0"/>
              <w:adjustRightInd w:val="0"/>
              <w:snapToGrid w:val="0"/>
              <w:spacing w:before="40" w:after="40"/>
              <w:jc w:val="center"/>
              <w:rPr>
                <w:sz w:val="21"/>
                <w:szCs w:val="21"/>
              </w:rPr>
            </w:pPr>
            <w:r>
              <w:rPr>
                <w:sz w:val="21"/>
                <w:szCs w:val="21"/>
              </w:rPr>
              <w:t>标识</w:t>
            </w:r>
          </w:p>
        </w:tc>
        <w:tc>
          <w:tcPr>
            <w:tcW w:w="1516" w:type="pct"/>
            <w:gridSpan w:val="2"/>
          </w:tcPr>
          <w:p>
            <w:pPr>
              <w:autoSpaceDE w:val="0"/>
              <w:autoSpaceDN w:val="0"/>
              <w:adjustRightInd w:val="0"/>
              <w:snapToGrid w:val="0"/>
              <w:spacing w:before="40" w:after="40"/>
              <w:rPr>
                <w:sz w:val="21"/>
                <w:szCs w:val="21"/>
              </w:rPr>
            </w:pPr>
            <w:r>
              <w:rPr>
                <w:sz w:val="21"/>
                <w:szCs w:val="21"/>
              </w:rPr>
              <w:t>中文名：氟化氢</w:t>
            </w:r>
          </w:p>
        </w:tc>
        <w:tc>
          <w:tcPr>
            <w:tcW w:w="3165" w:type="pct"/>
            <w:gridSpan w:val="2"/>
          </w:tcPr>
          <w:p>
            <w:pPr>
              <w:autoSpaceDE w:val="0"/>
              <w:autoSpaceDN w:val="0"/>
              <w:adjustRightInd w:val="0"/>
              <w:snapToGrid w:val="0"/>
              <w:spacing w:before="40" w:after="40"/>
              <w:rPr>
                <w:sz w:val="21"/>
                <w:szCs w:val="21"/>
              </w:rPr>
            </w:pPr>
            <w:r>
              <w:rPr>
                <w:sz w:val="21"/>
                <w:szCs w:val="21"/>
              </w:rPr>
              <w:t>英文名： hydrogen fluride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3"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1516" w:type="pct"/>
            <w:gridSpan w:val="2"/>
          </w:tcPr>
          <w:p>
            <w:pPr>
              <w:autoSpaceDE w:val="0"/>
              <w:autoSpaceDN w:val="0"/>
              <w:adjustRightInd w:val="0"/>
              <w:snapToGrid w:val="0"/>
              <w:spacing w:before="40" w:after="40"/>
              <w:rPr>
                <w:sz w:val="21"/>
                <w:szCs w:val="21"/>
                <w:vertAlign w:val="subscript"/>
              </w:rPr>
            </w:pPr>
            <w:r>
              <w:rPr>
                <w:sz w:val="21"/>
                <w:szCs w:val="21"/>
              </w:rPr>
              <w:t>分子式：HF</w:t>
            </w:r>
          </w:p>
        </w:tc>
        <w:tc>
          <w:tcPr>
            <w:tcW w:w="1091" w:type="pct"/>
          </w:tcPr>
          <w:p>
            <w:pPr>
              <w:autoSpaceDE w:val="0"/>
              <w:autoSpaceDN w:val="0"/>
              <w:adjustRightInd w:val="0"/>
              <w:snapToGrid w:val="0"/>
              <w:spacing w:before="40" w:after="40"/>
              <w:rPr>
                <w:sz w:val="21"/>
                <w:szCs w:val="21"/>
              </w:rPr>
            </w:pPr>
            <w:r>
              <w:rPr>
                <w:sz w:val="21"/>
                <w:szCs w:val="21"/>
              </w:rPr>
              <w:t>分子量： 20.01</w:t>
            </w:r>
          </w:p>
        </w:tc>
        <w:tc>
          <w:tcPr>
            <w:tcW w:w="2074" w:type="pct"/>
          </w:tcPr>
          <w:p>
            <w:pPr>
              <w:autoSpaceDE w:val="0"/>
              <w:autoSpaceDN w:val="0"/>
              <w:adjustRightInd w:val="0"/>
              <w:snapToGrid w:val="0"/>
              <w:spacing w:before="40" w:after="40"/>
              <w:rPr>
                <w:sz w:val="21"/>
                <w:szCs w:val="21"/>
              </w:rPr>
            </w:pPr>
            <w:r>
              <w:rPr>
                <w:sz w:val="21"/>
                <w:szCs w:val="21"/>
              </w:rPr>
              <w:t xml:space="preserve">CAS号：7664－39－3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318" w:type="pct"/>
            <w:vMerge w:val="restart"/>
            <w:vAlign w:val="center"/>
          </w:tcPr>
          <w:p>
            <w:pPr>
              <w:autoSpaceDE w:val="0"/>
              <w:autoSpaceDN w:val="0"/>
              <w:adjustRightInd w:val="0"/>
              <w:snapToGrid w:val="0"/>
              <w:spacing w:before="40" w:after="40"/>
              <w:jc w:val="center"/>
              <w:rPr>
                <w:sz w:val="21"/>
                <w:szCs w:val="21"/>
              </w:rPr>
            </w:pPr>
            <w:r>
              <w:rPr>
                <w:sz w:val="21"/>
                <w:szCs w:val="21"/>
              </w:rPr>
              <w:t>理化性质</w:t>
            </w:r>
          </w:p>
        </w:tc>
        <w:tc>
          <w:tcPr>
            <w:tcW w:w="4681" w:type="pct"/>
            <w:gridSpan w:val="4"/>
          </w:tcPr>
          <w:p>
            <w:pPr>
              <w:autoSpaceDE w:val="0"/>
              <w:autoSpaceDN w:val="0"/>
              <w:adjustRightInd w:val="0"/>
              <w:snapToGrid w:val="0"/>
              <w:spacing w:before="40" w:after="40"/>
              <w:rPr>
                <w:sz w:val="21"/>
                <w:szCs w:val="21"/>
              </w:rPr>
            </w:pPr>
            <w:r>
              <w:rPr>
                <w:sz w:val="21"/>
                <w:szCs w:val="21"/>
              </w:rPr>
              <w:t>性状：无色液体或气体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4681" w:type="pct"/>
            <w:gridSpan w:val="4"/>
          </w:tcPr>
          <w:p>
            <w:pPr>
              <w:autoSpaceDE w:val="0"/>
              <w:autoSpaceDN w:val="0"/>
              <w:adjustRightInd w:val="0"/>
              <w:snapToGrid w:val="0"/>
              <w:spacing w:before="40" w:after="40"/>
              <w:rPr>
                <w:sz w:val="21"/>
                <w:szCs w:val="21"/>
              </w:rPr>
            </w:pPr>
            <w:r>
              <w:rPr>
                <w:sz w:val="21"/>
                <w:szCs w:val="21"/>
              </w:rPr>
              <w:t>溶解性： 易溶于水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1395" w:type="pct"/>
          </w:tcPr>
          <w:p>
            <w:pPr>
              <w:autoSpaceDE w:val="0"/>
              <w:autoSpaceDN w:val="0"/>
              <w:adjustRightInd w:val="0"/>
              <w:snapToGrid w:val="0"/>
              <w:spacing w:before="40" w:after="40"/>
              <w:rPr>
                <w:sz w:val="21"/>
                <w:szCs w:val="21"/>
              </w:rPr>
            </w:pPr>
            <w:r>
              <w:rPr>
                <w:sz w:val="21"/>
                <w:szCs w:val="21"/>
              </w:rPr>
              <w:t>熔点(℃)：-83.7</w:t>
            </w:r>
          </w:p>
        </w:tc>
        <w:tc>
          <w:tcPr>
            <w:tcW w:w="1212" w:type="pct"/>
            <w:gridSpan w:val="2"/>
          </w:tcPr>
          <w:p>
            <w:pPr>
              <w:autoSpaceDE w:val="0"/>
              <w:autoSpaceDN w:val="0"/>
              <w:adjustRightInd w:val="0"/>
              <w:snapToGrid w:val="0"/>
              <w:spacing w:before="40" w:after="40"/>
              <w:rPr>
                <w:sz w:val="21"/>
                <w:szCs w:val="21"/>
              </w:rPr>
            </w:pPr>
            <w:r>
              <w:rPr>
                <w:sz w:val="21"/>
                <w:szCs w:val="21"/>
              </w:rPr>
              <w:t>沸点(℃)：19.5</w:t>
            </w:r>
          </w:p>
        </w:tc>
        <w:tc>
          <w:tcPr>
            <w:tcW w:w="2074" w:type="pct"/>
          </w:tcPr>
          <w:p>
            <w:pPr>
              <w:autoSpaceDE w:val="0"/>
              <w:autoSpaceDN w:val="0"/>
              <w:adjustRightInd w:val="0"/>
              <w:snapToGrid w:val="0"/>
              <w:spacing w:before="40" w:after="40"/>
              <w:rPr>
                <w:sz w:val="21"/>
                <w:szCs w:val="21"/>
              </w:rPr>
            </w:pPr>
            <w:r>
              <w:rPr>
                <w:sz w:val="21"/>
                <w:szCs w:val="21"/>
              </w:rPr>
              <w:t>相对密度(水＝1)：1.15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1395" w:type="pct"/>
          </w:tcPr>
          <w:p>
            <w:pPr>
              <w:autoSpaceDE w:val="0"/>
              <w:autoSpaceDN w:val="0"/>
              <w:adjustRightInd w:val="0"/>
              <w:snapToGrid w:val="0"/>
              <w:spacing w:before="40" w:after="40"/>
              <w:rPr>
                <w:sz w:val="21"/>
                <w:szCs w:val="21"/>
              </w:rPr>
            </w:pPr>
            <w:r>
              <w:rPr>
                <w:sz w:val="21"/>
                <w:szCs w:val="21"/>
              </w:rPr>
              <w:t>临界温度(℃)：188</w:t>
            </w:r>
          </w:p>
        </w:tc>
        <w:tc>
          <w:tcPr>
            <w:tcW w:w="1212" w:type="pct"/>
            <w:gridSpan w:val="2"/>
          </w:tcPr>
          <w:p>
            <w:pPr>
              <w:autoSpaceDE w:val="0"/>
              <w:autoSpaceDN w:val="0"/>
              <w:adjustRightInd w:val="0"/>
              <w:snapToGrid w:val="0"/>
              <w:spacing w:before="40" w:after="40"/>
              <w:rPr>
                <w:sz w:val="21"/>
                <w:szCs w:val="21"/>
              </w:rPr>
            </w:pPr>
            <w:r>
              <w:rPr>
                <w:sz w:val="21"/>
                <w:szCs w:val="21"/>
              </w:rPr>
              <w:t>临界压力(MPa)：6.48</w:t>
            </w:r>
          </w:p>
        </w:tc>
        <w:tc>
          <w:tcPr>
            <w:tcW w:w="2074" w:type="pct"/>
          </w:tcPr>
          <w:p>
            <w:pPr>
              <w:autoSpaceDE w:val="0"/>
              <w:autoSpaceDN w:val="0"/>
              <w:adjustRightInd w:val="0"/>
              <w:snapToGrid w:val="0"/>
              <w:spacing w:before="40" w:after="40"/>
              <w:rPr>
                <w:sz w:val="21"/>
                <w:szCs w:val="21"/>
              </w:rPr>
            </w:pPr>
            <w:r>
              <w:rPr>
                <w:sz w:val="21"/>
                <w:szCs w:val="21"/>
              </w:rPr>
              <w:t>相对密度(空气＝1)：1.27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318" w:type="pct"/>
            <w:vMerge w:val="continue"/>
            <w:vAlign w:val="center"/>
          </w:tcPr>
          <w:p>
            <w:pPr>
              <w:autoSpaceDE w:val="0"/>
              <w:autoSpaceDN w:val="0"/>
              <w:adjustRightInd w:val="0"/>
              <w:snapToGrid w:val="0"/>
              <w:spacing w:before="40" w:after="40"/>
              <w:jc w:val="center"/>
              <w:rPr>
                <w:sz w:val="21"/>
                <w:szCs w:val="21"/>
              </w:rPr>
            </w:pPr>
          </w:p>
        </w:tc>
        <w:tc>
          <w:tcPr>
            <w:tcW w:w="4681" w:type="pct"/>
            <w:gridSpan w:val="4"/>
          </w:tcPr>
          <w:p>
            <w:pPr>
              <w:autoSpaceDE w:val="0"/>
              <w:autoSpaceDN w:val="0"/>
              <w:adjustRightInd w:val="0"/>
              <w:snapToGrid w:val="0"/>
              <w:spacing w:before="40" w:after="40"/>
              <w:rPr>
                <w:sz w:val="21"/>
                <w:szCs w:val="21"/>
              </w:rPr>
            </w:pPr>
            <w:r>
              <w:rPr>
                <w:sz w:val="21"/>
                <w:szCs w:val="21"/>
              </w:rPr>
              <w:t xml:space="preserve">饱和蒸汽压(KPa)：53.32(2.5℃)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76" w:hRule="atLeast"/>
          <w:jc w:val="center"/>
        </w:trPr>
        <w:tc>
          <w:tcPr>
            <w:tcW w:w="318" w:type="pct"/>
            <w:vAlign w:val="center"/>
          </w:tcPr>
          <w:p>
            <w:pPr>
              <w:autoSpaceDE w:val="0"/>
              <w:autoSpaceDN w:val="0"/>
              <w:adjustRightInd w:val="0"/>
              <w:snapToGrid w:val="0"/>
              <w:spacing w:before="40" w:after="40"/>
              <w:jc w:val="center"/>
              <w:rPr>
                <w:sz w:val="21"/>
                <w:szCs w:val="21"/>
              </w:rPr>
            </w:pPr>
            <w:r>
              <w:rPr>
                <w:sz w:val="21"/>
                <w:szCs w:val="21"/>
              </w:rPr>
              <w:t>危险性</w:t>
            </w:r>
          </w:p>
        </w:tc>
        <w:tc>
          <w:tcPr>
            <w:tcW w:w="4681" w:type="pct"/>
            <w:gridSpan w:val="4"/>
          </w:tcPr>
          <w:p>
            <w:pPr>
              <w:autoSpaceDE w:val="0"/>
              <w:autoSpaceDN w:val="0"/>
              <w:adjustRightInd w:val="0"/>
              <w:snapToGrid w:val="0"/>
              <w:spacing w:before="40" w:after="40"/>
              <w:rPr>
                <w:sz w:val="21"/>
                <w:szCs w:val="21"/>
              </w:rPr>
            </w:pPr>
            <w:r>
              <w:rPr>
                <w:sz w:val="21"/>
                <w:szCs w:val="21"/>
              </w:rPr>
              <w:t>健康危害： 对呼吸道粘膜及皮肤有强烈的刺激和腐蚀作用。急性毒性：吸入较高浓度氟化氢，可引起眼及呼吸道粘膜刺激症状，严重者可发生支气管炎、肺炎或肺水肿，甚至发生反射性窒息。眼接触局部剧烈疼痛，重者角膜损伤，甚至发生穿孔。慢性影响：眼和上呼吸道刺激症状，或有鼻衄，嗅觉减退。可有牙齿酸蚀症。骨骼X线异常与工业氟病少见。</w:t>
            </w:r>
          </w:p>
          <w:p>
            <w:pPr>
              <w:autoSpaceDE w:val="0"/>
              <w:autoSpaceDN w:val="0"/>
              <w:adjustRightInd w:val="0"/>
              <w:snapToGrid w:val="0"/>
              <w:spacing w:before="40" w:after="40"/>
              <w:rPr>
                <w:sz w:val="21"/>
                <w:szCs w:val="21"/>
              </w:rPr>
            </w:pPr>
            <w:r>
              <w:rPr>
                <w:sz w:val="21"/>
                <w:szCs w:val="21"/>
              </w:rPr>
              <w:t>爆炸危险：本品不燃，高毒，具强腐蚀性、强刺激性，可致人体灼伤。</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97" w:hRule="atLeast"/>
          <w:jc w:val="center"/>
        </w:trPr>
        <w:tc>
          <w:tcPr>
            <w:tcW w:w="318" w:type="pct"/>
            <w:vAlign w:val="center"/>
          </w:tcPr>
          <w:p>
            <w:pPr>
              <w:autoSpaceDE w:val="0"/>
              <w:autoSpaceDN w:val="0"/>
              <w:adjustRightInd w:val="0"/>
              <w:snapToGrid w:val="0"/>
              <w:spacing w:before="40" w:after="40"/>
              <w:jc w:val="center"/>
              <w:rPr>
                <w:sz w:val="21"/>
                <w:szCs w:val="21"/>
              </w:rPr>
            </w:pPr>
            <w:r>
              <w:rPr>
                <w:sz w:val="21"/>
                <w:szCs w:val="21"/>
              </w:rPr>
              <w:t>毒性</w:t>
            </w:r>
          </w:p>
        </w:tc>
        <w:tc>
          <w:tcPr>
            <w:tcW w:w="4681" w:type="pct"/>
            <w:gridSpan w:val="4"/>
          </w:tcPr>
          <w:p>
            <w:pPr>
              <w:autoSpaceDE w:val="0"/>
              <w:autoSpaceDN w:val="0"/>
              <w:adjustRightInd w:val="0"/>
              <w:snapToGrid w:val="0"/>
              <w:spacing w:before="40" w:after="40"/>
              <w:rPr>
                <w:sz w:val="21"/>
                <w:szCs w:val="21"/>
              </w:rPr>
            </w:pPr>
            <w:r>
              <w:rPr>
                <w:sz w:val="21"/>
                <w:szCs w:val="21"/>
              </w:rPr>
              <w:t>急性毒性：LD</w:t>
            </w:r>
            <w:r>
              <w:rPr>
                <w:sz w:val="21"/>
                <w:szCs w:val="21"/>
                <w:vertAlign w:val="subscript"/>
              </w:rPr>
              <w:t>50</w:t>
            </w:r>
            <w:r>
              <w:rPr>
                <w:rFonts w:hint="eastAsia"/>
                <w:sz w:val="21"/>
                <w:szCs w:val="21"/>
                <w:vertAlign w:val="subscript"/>
                <w:lang w:eastAsia="zh-CN"/>
              </w:rPr>
              <w:t>：</w:t>
            </w:r>
            <w:r>
              <w:rPr>
                <w:sz w:val="21"/>
                <w:szCs w:val="21"/>
              </w:rPr>
              <w:t xml:space="preserve">无资料 </w:t>
            </w:r>
          </w:p>
          <w:p>
            <w:pPr>
              <w:autoSpaceDE w:val="0"/>
              <w:autoSpaceDN w:val="0"/>
              <w:adjustRightInd w:val="0"/>
              <w:snapToGrid w:val="0"/>
              <w:spacing w:before="40" w:after="40"/>
              <w:rPr>
                <w:sz w:val="21"/>
                <w:szCs w:val="21"/>
              </w:rPr>
            </w:pPr>
            <w:r>
              <w:rPr>
                <w:sz w:val="21"/>
                <w:szCs w:val="21"/>
              </w:rPr>
              <w:t>LC</w:t>
            </w:r>
            <w:r>
              <w:rPr>
                <w:sz w:val="21"/>
                <w:szCs w:val="21"/>
                <w:vertAlign w:val="subscript"/>
              </w:rPr>
              <w:t>50</w:t>
            </w:r>
            <w:r>
              <w:rPr>
                <w:sz w:val="21"/>
                <w:szCs w:val="21"/>
              </w:rPr>
              <w:t>：1044mg/m</w:t>
            </w:r>
            <w:r>
              <w:rPr>
                <w:sz w:val="21"/>
                <w:szCs w:val="21"/>
                <w:vertAlign w:val="superscript"/>
              </w:rPr>
              <w:t>3</w:t>
            </w:r>
            <w:r>
              <w:rPr>
                <w:sz w:val="21"/>
                <w:szCs w:val="21"/>
              </w:rPr>
              <w:t xml:space="preserve"> (大鼠吸入)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1" w:hRule="atLeast"/>
          <w:jc w:val="center"/>
        </w:trPr>
        <w:tc>
          <w:tcPr>
            <w:tcW w:w="318" w:type="pct"/>
            <w:vAlign w:val="center"/>
          </w:tcPr>
          <w:p>
            <w:pPr>
              <w:autoSpaceDE w:val="0"/>
              <w:autoSpaceDN w:val="0"/>
              <w:adjustRightInd w:val="0"/>
              <w:snapToGrid w:val="0"/>
              <w:spacing w:before="40" w:after="40"/>
              <w:jc w:val="center"/>
              <w:rPr>
                <w:sz w:val="21"/>
                <w:szCs w:val="21"/>
              </w:rPr>
            </w:pPr>
            <w:r>
              <w:rPr>
                <w:sz w:val="21"/>
                <w:szCs w:val="21"/>
              </w:rPr>
              <w:t>急救</w:t>
            </w:r>
          </w:p>
        </w:tc>
        <w:tc>
          <w:tcPr>
            <w:tcW w:w="4681" w:type="pct"/>
            <w:gridSpan w:val="4"/>
          </w:tcPr>
          <w:p>
            <w:pPr>
              <w:autoSpaceDE w:val="0"/>
              <w:autoSpaceDN w:val="0"/>
              <w:adjustRightInd w:val="0"/>
              <w:snapToGrid w:val="0"/>
              <w:spacing w:before="40" w:after="40"/>
              <w:rPr>
                <w:sz w:val="21"/>
                <w:szCs w:val="21"/>
              </w:rPr>
            </w:pPr>
            <w:r>
              <w:rPr>
                <w:sz w:val="21"/>
                <w:szCs w:val="21"/>
              </w:rPr>
              <w:t>吸入：迅速脱离现场至空气新鲜处，保持呼吸道通畅。如呼吸困难，给输氧。如呼吸停止，立即进行人工呼吸。就医。</w:t>
            </w:r>
          </w:p>
        </w:tc>
      </w:tr>
    </w:tbl>
    <w:p>
      <w:pPr>
        <w:pStyle w:val="2"/>
        <w:ind w:left="480" w:firstLine="480"/>
      </w:pPr>
    </w:p>
    <w:p>
      <w:pPr>
        <w:pStyle w:val="31"/>
      </w:pPr>
      <w:r>
        <w:rPr>
          <w:rFonts w:hint="eastAsia"/>
        </w:rPr>
        <w:t>表7.3-8  天然气危险特性识别</w:t>
      </w:r>
    </w:p>
    <w:tbl>
      <w:tblPr>
        <w:tblStyle w:val="27"/>
        <w:tblW w:w="878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76"/>
        <w:gridCol w:w="1517"/>
        <w:gridCol w:w="1249"/>
        <w:gridCol w:w="256"/>
        <w:gridCol w:w="433"/>
        <w:gridCol w:w="1295"/>
        <w:gridCol w:w="725"/>
        <w:gridCol w:w="149"/>
        <w:gridCol w:w="2193"/>
        <w:gridCol w:w="49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标识</w:t>
            </w:r>
          </w:p>
        </w:tc>
        <w:tc>
          <w:tcPr>
            <w:tcW w:w="5623" w:type="dxa"/>
            <w:gridSpan w:val="7"/>
            <w:vAlign w:val="center"/>
          </w:tcPr>
          <w:p>
            <w:pPr>
              <w:pStyle w:val="33"/>
            </w:pPr>
            <w:r>
              <w:t>中文名：天然气、油田气、液化天然气</w:t>
            </w:r>
          </w:p>
        </w:tc>
        <w:tc>
          <w:tcPr>
            <w:tcW w:w="2687" w:type="dxa"/>
            <w:gridSpan w:val="2"/>
            <w:vAlign w:val="center"/>
          </w:tcPr>
          <w:p>
            <w:pPr>
              <w:pStyle w:val="33"/>
            </w:pPr>
            <w:r>
              <w:t>危险货物编号：21007、21008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5623" w:type="dxa"/>
            <w:gridSpan w:val="7"/>
            <w:vAlign w:val="center"/>
          </w:tcPr>
          <w:p>
            <w:pPr>
              <w:pStyle w:val="33"/>
            </w:pPr>
            <w:r>
              <w:t>英文名：Natural</w:t>
            </w:r>
            <w:r>
              <w:rPr>
                <w:rFonts w:hint="eastAsia"/>
              </w:rPr>
              <w:t xml:space="preserve"> </w:t>
            </w:r>
            <w:r>
              <w:t>Gas，LNG</w:t>
            </w:r>
          </w:p>
        </w:tc>
        <w:tc>
          <w:tcPr>
            <w:tcW w:w="2687" w:type="dxa"/>
            <w:gridSpan w:val="2"/>
            <w:vAlign w:val="center"/>
          </w:tcPr>
          <w:p>
            <w:pPr>
              <w:pStyle w:val="33"/>
            </w:pPr>
            <w:r>
              <w:t>UN编号：1971、1927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3022" w:type="dxa"/>
            <w:gridSpan w:val="3"/>
            <w:vAlign w:val="center"/>
          </w:tcPr>
          <w:p>
            <w:pPr>
              <w:pStyle w:val="33"/>
            </w:pPr>
            <w:r>
              <w:t>分子式：无</w:t>
            </w:r>
          </w:p>
        </w:tc>
        <w:tc>
          <w:tcPr>
            <w:tcW w:w="2601" w:type="dxa"/>
            <w:gridSpan w:val="4"/>
            <w:vAlign w:val="center"/>
          </w:tcPr>
          <w:p>
            <w:pPr>
              <w:pStyle w:val="33"/>
            </w:pPr>
            <w:r>
              <w:t>分子量：无</w:t>
            </w:r>
          </w:p>
        </w:tc>
        <w:tc>
          <w:tcPr>
            <w:tcW w:w="2687" w:type="dxa"/>
            <w:gridSpan w:val="2"/>
            <w:vAlign w:val="center"/>
          </w:tcPr>
          <w:p>
            <w:pPr>
              <w:pStyle w:val="33"/>
            </w:pPr>
            <w:r>
              <w:t>CAS号：74—82—8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理化性质</w:t>
            </w:r>
          </w:p>
        </w:tc>
        <w:tc>
          <w:tcPr>
            <w:tcW w:w="1517" w:type="dxa"/>
            <w:vAlign w:val="center"/>
          </w:tcPr>
          <w:p>
            <w:pPr>
              <w:pStyle w:val="33"/>
            </w:pPr>
            <w:r>
              <w:t>外观与性状</w:t>
            </w:r>
          </w:p>
        </w:tc>
        <w:tc>
          <w:tcPr>
            <w:tcW w:w="6793" w:type="dxa"/>
            <w:gridSpan w:val="8"/>
            <w:vAlign w:val="center"/>
          </w:tcPr>
          <w:p>
            <w:pPr>
              <w:pStyle w:val="33"/>
            </w:pPr>
            <w:r>
              <w:t>无色、无臭气体（液）体。主要成分为含83%~99%甲烷、1%~13%乙烷、</w:t>
            </w:r>
          </w:p>
          <w:p>
            <w:pPr>
              <w:pStyle w:val="33"/>
            </w:pPr>
            <w:r>
              <w:t>0.1%~3%丙烷、0.2%~1.0%丁烷。</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熔点（℃）</w:t>
            </w:r>
          </w:p>
        </w:tc>
        <w:tc>
          <w:tcPr>
            <w:tcW w:w="1249" w:type="dxa"/>
            <w:vAlign w:val="center"/>
          </w:tcPr>
          <w:p>
            <w:pPr>
              <w:pStyle w:val="33"/>
            </w:pPr>
            <w:r>
              <w:t>-182.5</w:t>
            </w:r>
          </w:p>
        </w:tc>
        <w:tc>
          <w:tcPr>
            <w:tcW w:w="1984" w:type="dxa"/>
            <w:gridSpan w:val="3"/>
            <w:vAlign w:val="center"/>
          </w:tcPr>
          <w:p>
            <w:pPr>
              <w:pStyle w:val="33"/>
            </w:pPr>
            <w:r>
              <w:t>相对密度（水=1）</w:t>
            </w:r>
          </w:p>
        </w:tc>
        <w:tc>
          <w:tcPr>
            <w:tcW w:w="874" w:type="dxa"/>
            <w:gridSpan w:val="2"/>
            <w:vAlign w:val="center"/>
          </w:tcPr>
          <w:p>
            <w:pPr>
              <w:pStyle w:val="33"/>
            </w:pPr>
            <w:r>
              <w:t>0.42</w:t>
            </w:r>
          </w:p>
        </w:tc>
        <w:tc>
          <w:tcPr>
            <w:tcW w:w="2193" w:type="dxa"/>
            <w:vAlign w:val="center"/>
          </w:tcPr>
          <w:p>
            <w:pPr>
              <w:pStyle w:val="33"/>
            </w:pPr>
            <w:r>
              <w:t>相对密度（空气=1）</w:t>
            </w:r>
          </w:p>
        </w:tc>
        <w:tc>
          <w:tcPr>
            <w:tcW w:w="493" w:type="dxa"/>
            <w:vAlign w:val="center"/>
          </w:tcPr>
          <w:p>
            <w:pPr>
              <w:pStyle w:val="33"/>
            </w:pPr>
            <w:r>
              <w:t>0.55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沸点（℃）</w:t>
            </w:r>
          </w:p>
        </w:tc>
        <w:tc>
          <w:tcPr>
            <w:tcW w:w="1249" w:type="dxa"/>
            <w:vAlign w:val="center"/>
          </w:tcPr>
          <w:p>
            <w:pPr>
              <w:pStyle w:val="33"/>
            </w:pPr>
            <w:r>
              <w:t>-160</w:t>
            </w:r>
          </w:p>
        </w:tc>
        <w:tc>
          <w:tcPr>
            <w:tcW w:w="2858" w:type="dxa"/>
            <w:gridSpan w:val="5"/>
            <w:vAlign w:val="center"/>
          </w:tcPr>
          <w:p>
            <w:pPr>
              <w:pStyle w:val="33"/>
            </w:pPr>
            <w:r>
              <w:t>饱和蒸气压（kPa）</w:t>
            </w:r>
          </w:p>
        </w:tc>
        <w:tc>
          <w:tcPr>
            <w:tcW w:w="2686" w:type="dxa"/>
            <w:gridSpan w:val="2"/>
            <w:vAlign w:val="center"/>
          </w:tcPr>
          <w:p>
            <w:pPr>
              <w:pStyle w:val="33"/>
            </w:pPr>
            <w:r>
              <w:t>53.32（-168.8℃）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溶解性</w:t>
            </w:r>
          </w:p>
        </w:tc>
        <w:tc>
          <w:tcPr>
            <w:tcW w:w="6793" w:type="dxa"/>
            <w:gridSpan w:val="8"/>
            <w:vAlign w:val="center"/>
          </w:tcPr>
          <w:p>
            <w:pPr>
              <w:pStyle w:val="33"/>
            </w:pPr>
            <w:r>
              <w:t>溶于水、溶于醇、乙醚</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毒性及健康危害</w:t>
            </w:r>
          </w:p>
        </w:tc>
        <w:tc>
          <w:tcPr>
            <w:tcW w:w="1517" w:type="dxa"/>
            <w:vAlign w:val="center"/>
          </w:tcPr>
          <w:p>
            <w:pPr>
              <w:pStyle w:val="33"/>
            </w:pPr>
            <w:r>
              <w:t>接触限值</w:t>
            </w:r>
          </w:p>
        </w:tc>
        <w:tc>
          <w:tcPr>
            <w:tcW w:w="6793" w:type="dxa"/>
            <w:gridSpan w:val="8"/>
            <w:vAlign w:val="center"/>
          </w:tcPr>
          <w:p>
            <w:pPr>
              <w:pStyle w:val="33"/>
            </w:pPr>
            <w:r>
              <w:t>接触限值：中国：未制订标准。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健康危害</w:t>
            </w:r>
          </w:p>
        </w:tc>
        <w:tc>
          <w:tcPr>
            <w:tcW w:w="6793" w:type="dxa"/>
            <w:gridSpan w:val="8"/>
            <w:vAlign w:val="center"/>
          </w:tcPr>
          <w:p>
            <w:pPr>
              <w:pStyle w:val="33"/>
            </w:pPr>
            <w:r>
              <w:t>急性中毒时，可有头昏、头痛、呕吐、乏力甚至昏迷病程中尚可出现精神症状，步态不稳，昏迷过程久者，醒后可有运动性失语及偏瘫，L期接触天然气者，可出现神经衰弱综合症。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急救方法</w:t>
            </w:r>
          </w:p>
        </w:tc>
        <w:tc>
          <w:tcPr>
            <w:tcW w:w="6793" w:type="dxa"/>
            <w:gridSpan w:val="8"/>
            <w:vAlign w:val="center"/>
          </w:tcPr>
          <w:p>
            <w:pPr>
              <w:pStyle w:val="33"/>
            </w:pPr>
            <w:r>
              <w:t>吸入：脱离有毒环境，至空气新鲜处，给氧，对症治疗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restart"/>
            <w:vAlign w:val="center"/>
          </w:tcPr>
          <w:p>
            <w:pPr>
              <w:pStyle w:val="33"/>
            </w:pPr>
            <w:r>
              <w:t>燃烧爆炸危险性</w:t>
            </w:r>
          </w:p>
        </w:tc>
        <w:tc>
          <w:tcPr>
            <w:tcW w:w="1517" w:type="dxa"/>
            <w:vAlign w:val="center"/>
          </w:tcPr>
          <w:p>
            <w:pPr>
              <w:pStyle w:val="33"/>
            </w:pPr>
            <w:r>
              <w:t>燃烧性</w:t>
            </w:r>
          </w:p>
        </w:tc>
        <w:tc>
          <w:tcPr>
            <w:tcW w:w="1938" w:type="dxa"/>
            <w:gridSpan w:val="3"/>
            <w:vAlign w:val="center"/>
          </w:tcPr>
          <w:p>
            <w:pPr>
              <w:pStyle w:val="33"/>
            </w:pPr>
            <w:r>
              <w:t>易燃，具窒息性</w:t>
            </w:r>
          </w:p>
        </w:tc>
        <w:tc>
          <w:tcPr>
            <w:tcW w:w="2020" w:type="dxa"/>
            <w:gridSpan w:val="2"/>
            <w:vAlign w:val="center"/>
          </w:tcPr>
          <w:p>
            <w:pPr>
              <w:pStyle w:val="33"/>
            </w:pPr>
            <w:r>
              <w:t>燃烧分解物</w:t>
            </w:r>
          </w:p>
        </w:tc>
        <w:tc>
          <w:tcPr>
            <w:tcW w:w="2835" w:type="dxa"/>
            <w:gridSpan w:val="3"/>
            <w:vAlign w:val="center"/>
          </w:tcPr>
          <w:p>
            <w:pPr>
              <w:pStyle w:val="33"/>
            </w:pPr>
            <w:r>
              <w:t>一氧化碳、二氧化碳。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闪点（℃）</w:t>
            </w:r>
          </w:p>
        </w:tc>
        <w:tc>
          <w:tcPr>
            <w:tcW w:w="1938" w:type="dxa"/>
            <w:gridSpan w:val="3"/>
            <w:vAlign w:val="center"/>
          </w:tcPr>
          <w:p>
            <w:pPr>
              <w:pStyle w:val="33"/>
            </w:pPr>
            <w:r>
              <w:t>85（37%）</w:t>
            </w:r>
          </w:p>
        </w:tc>
        <w:tc>
          <w:tcPr>
            <w:tcW w:w="2020" w:type="dxa"/>
            <w:gridSpan w:val="2"/>
            <w:vAlign w:val="center"/>
          </w:tcPr>
          <w:p>
            <w:pPr>
              <w:pStyle w:val="33"/>
            </w:pPr>
            <w:r>
              <w:t>爆炸上限（v%）</w:t>
            </w:r>
          </w:p>
        </w:tc>
        <w:tc>
          <w:tcPr>
            <w:tcW w:w="2835" w:type="dxa"/>
            <w:gridSpan w:val="3"/>
            <w:vAlign w:val="center"/>
          </w:tcPr>
          <w:p>
            <w:pPr>
              <w:pStyle w:val="33"/>
            </w:pPr>
            <w:r>
              <w:t>5.3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引燃温度（℃）</w:t>
            </w:r>
          </w:p>
        </w:tc>
        <w:tc>
          <w:tcPr>
            <w:tcW w:w="1938" w:type="dxa"/>
            <w:gridSpan w:val="3"/>
            <w:vAlign w:val="center"/>
          </w:tcPr>
          <w:p>
            <w:pPr>
              <w:pStyle w:val="33"/>
            </w:pPr>
            <w:r>
              <w:t>538</w:t>
            </w:r>
          </w:p>
        </w:tc>
        <w:tc>
          <w:tcPr>
            <w:tcW w:w="2020" w:type="dxa"/>
            <w:gridSpan w:val="2"/>
            <w:vAlign w:val="center"/>
          </w:tcPr>
          <w:p>
            <w:pPr>
              <w:pStyle w:val="33"/>
            </w:pPr>
            <w:r>
              <w:t>爆炸下限（v%）</w:t>
            </w:r>
          </w:p>
        </w:tc>
        <w:tc>
          <w:tcPr>
            <w:tcW w:w="2835" w:type="dxa"/>
            <w:gridSpan w:val="3"/>
            <w:vAlign w:val="center"/>
          </w:tcPr>
          <w:p>
            <w:pPr>
              <w:pStyle w:val="33"/>
            </w:pPr>
            <w:r>
              <w:t>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77" w:type="dxa"/>
            <w:vMerge w:val="continue"/>
            <w:vAlign w:val="center"/>
          </w:tcPr>
          <w:p>
            <w:pPr>
              <w:pStyle w:val="33"/>
            </w:pPr>
          </w:p>
        </w:tc>
        <w:tc>
          <w:tcPr>
            <w:tcW w:w="1517" w:type="dxa"/>
            <w:vAlign w:val="center"/>
          </w:tcPr>
          <w:p>
            <w:pPr>
              <w:pStyle w:val="33"/>
            </w:pPr>
            <w:r>
              <w:t>危险特性</w:t>
            </w:r>
          </w:p>
        </w:tc>
        <w:tc>
          <w:tcPr>
            <w:tcW w:w="6793" w:type="dxa"/>
            <w:gridSpan w:val="8"/>
            <w:vAlign w:val="center"/>
          </w:tcPr>
          <w:p>
            <w:pPr>
              <w:pStyle w:val="33"/>
            </w:pPr>
            <w:r>
              <w:t>与空气混合能形成爆炸性混合物，遇热源和明火极易燃烧爆炸。与氟、氯等接触会发生剧烈的化学反应。其蒸气比空气重，能在较低处扩散到相当远的地方，遇明火引着回燃，若遇高热，容器内压增大，有开裂和爆炸危险。</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117" w:hRule="atLeast"/>
          <w:jc w:val="center"/>
        </w:trPr>
        <w:tc>
          <w:tcPr>
            <w:tcW w:w="477" w:type="dxa"/>
            <w:vMerge w:val="continue"/>
            <w:vAlign w:val="center"/>
          </w:tcPr>
          <w:p>
            <w:pPr>
              <w:pStyle w:val="33"/>
            </w:pPr>
          </w:p>
        </w:tc>
        <w:tc>
          <w:tcPr>
            <w:tcW w:w="1517" w:type="dxa"/>
            <w:vAlign w:val="center"/>
          </w:tcPr>
          <w:p>
            <w:pPr>
              <w:pStyle w:val="33"/>
            </w:pPr>
            <w:r>
              <w:t>储运条件</w:t>
            </w:r>
          </w:p>
          <w:p>
            <w:pPr>
              <w:pStyle w:val="33"/>
            </w:pPr>
            <w:r>
              <w:t>与泄漏处理</w:t>
            </w:r>
          </w:p>
        </w:tc>
        <w:tc>
          <w:tcPr>
            <w:tcW w:w="6793" w:type="dxa"/>
            <w:gridSpan w:val="8"/>
            <w:vAlign w:val="center"/>
          </w:tcPr>
          <w:p>
            <w:pPr>
              <w:pStyle w:val="33"/>
            </w:pPr>
            <w:r>
              <w:t>储运条件：储存于阴凉、通风的库房。远离火源、热源。库温不宜超过30℃。应与氧化剂、氯气分开放，切忌混储。采用防爆型照明、通风设施。禁止使用易产生火花</w:t>
            </w:r>
            <w:r>
              <w:rPr>
                <w:rFonts w:hint="eastAsia"/>
                <w:lang w:eastAsia="zh-CN"/>
              </w:rPr>
              <w:t>的</w:t>
            </w:r>
            <w:r>
              <w:t>机械设备和工具。在传送过程中，钢瓶的容器必须接地和跨接，防止产生静电。搬运时轻装轻卸，防止钢瓶及附件破损。储区应备有防泄漏的专门仪器和应急处理设备。配备相应品种和数量</w:t>
            </w:r>
            <w:r>
              <w:rPr>
                <w:rFonts w:hint="eastAsia"/>
                <w:lang w:eastAsia="zh-CN"/>
              </w:rPr>
              <w:t>的</w:t>
            </w:r>
            <w:r>
              <w:t>消防器材。罐储时要有防火防爆技术措施。灌装时应注意流速（不超过3m/s），且又接地装置，防止静电积聚。搬运时要轻装轻卸，防止包装及容器损坏。</w:t>
            </w:r>
          </w:p>
          <w:p>
            <w:pPr>
              <w:pStyle w:val="33"/>
            </w:pPr>
            <w:r>
              <w:t>泄漏处理：迅速撤离</w:t>
            </w:r>
            <w:r>
              <w:rPr>
                <w:rFonts w:hint="eastAsia"/>
              </w:rPr>
              <w:t>泄漏</w:t>
            </w:r>
            <w:r>
              <w:t>污染区人员至上风处，并进行隔离，严格限制出入。切断火源。建议应急处理人员带自给正压式呼吸器，穿防静电工作服。不要直接接触</w:t>
            </w:r>
            <w:r>
              <w:rPr>
                <w:rFonts w:hint="eastAsia"/>
              </w:rPr>
              <w:t>泄漏</w:t>
            </w:r>
            <w:r>
              <w:t>物，尽可能切断泄漏源。合理通风，加速扩散。</w:t>
            </w:r>
            <w:r>
              <w:rPr>
                <w:rFonts w:hint="eastAsia"/>
              </w:rPr>
              <w:t>泄漏</w:t>
            </w:r>
            <w:r>
              <w:t>的液体如未燃着，可用水喷淋使</w:t>
            </w:r>
            <w:r>
              <w:rPr>
                <w:rFonts w:hint="eastAsia"/>
              </w:rPr>
              <w:t>泄漏</w:t>
            </w:r>
            <w:r>
              <w:t>的液体蒸发、溶解，但蒸发速度要加以控制，不可将固体冰晶射至液体</w:t>
            </w:r>
            <w:r>
              <w:rPr>
                <w:rFonts w:hint="eastAsia"/>
                <w:lang w:eastAsia="zh-CN"/>
              </w:rPr>
              <w:t>的</w:t>
            </w:r>
            <w:r>
              <w:t>天然气上。构筑围低或挖坑收容产生的大量废水。如有可能，将漏出气用排风机送至空旷地方或者装设适当碰头烧掉。也可以将漏气</w:t>
            </w:r>
            <w:r>
              <w:rPr>
                <w:rFonts w:hint="eastAsia"/>
                <w:lang w:eastAsia="zh-CN"/>
              </w:rPr>
              <w:t>的</w:t>
            </w:r>
            <w:r>
              <w:t>容器移至空旷处，注意通风。漏气容器要妥善处理，修复、检验后再用。如果液化天然气已经被引燃，灭火方法参照氢气。</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10" w:hRule="atLeast"/>
          <w:jc w:val="center"/>
        </w:trPr>
        <w:tc>
          <w:tcPr>
            <w:tcW w:w="477" w:type="dxa"/>
            <w:vMerge w:val="continue"/>
            <w:vAlign w:val="center"/>
          </w:tcPr>
          <w:p>
            <w:pPr>
              <w:pStyle w:val="33"/>
            </w:pPr>
          </w:p>
        </w:tc>
        <w:tc>
          <w:tcPr>
            <w:tcW w:w="1517" w:type="dxa"/>
            <w:vAlign w:val="center"/>
          </w:tcPr>
          <w:p>
            <w:pPr>
              <w:pStyle w:val="33"/>
            </w:pPr>
            <w:r>
              <w:t>灭火方法</w:t>
            </w:r>
          </w:p>
        </w:tc>
        <w:tc>
          <w:tcPr>
            <w:tcW w:w="6793" w:type="dxa"/>
            <w:gridSpan w:val="8"/>
            <w:vAlign w:val="center"/>
          </w:tcPr>
          <w:p>
            <w:pPr>
              <w:pStyle w:val="33"/>
            </w:pPr>
            <w:r>
              <w:t>泄漏出的液体如未燃着，可用水喷淋驱散气体，防止引燃着火，最好用水喷淋泄漏液体迅速蒸发，川碳酸氢钠、碳酸氢钾、磷酸二氢铵等化学干粉，二氧化碳或卤代烃等灭火</w:t>
            </w:r>
          </w:p>
        </w:tc>
      </w:tr>
    </w:tbl>
    <w:p>
      <w:pPr>
        <w:pStyle w:val="31"/>
      </w:pPr>
      <w:r>
        <w:t>表</w:t>
      </w:r>
      <w:r>
        <w:rPr>
          <w:rFonts w:hint="eastAsia"/>
        </w:rPr>
        <w:t xml:space="preserve">7.3-9 </w:t>
      </w:r>
      <w:r>
        <w:t xml:space="preserve"> 丙烷</w:t>
      </w:r>
      <w:r>
        <w:rPr>
          <w:rFonts w:hint="eastAsia"/>
        </w:rPr>
        <w:t>（液化石油气）</w:t>
      </w:r>
      <w:r>
        <w:t>的理化性质及危险特性</w:t>
      </w:r>
    </w:p>
    <w:tbl>
      <w:tblPr>
        <w:tblStyle w:val="27"/>
        <w:tblW w:w="4999"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46"/>
        <w:gridCol w:w="1526"/>
        <w:gridCol w:w="1270"/>
        <w:gridCol w:w="149"/>
        <w:gridCol w:w="183"/>
        <w:gridCol w:w="967"/>
        <w:gridCol w:w="684"/>
        <w:gridCol w:w="282"/>
        <w:gridCol w:w="388"/>
        <w:gridCol w:w="1117"/>
        <w:gridCol w:w="883"/>
        <w:gridCol w:w="625"/>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标识</w:t>
            </w:r>
          </w:p>
        </w:tc>
        <w:tc>
          <w:tcPr>
            <w:tcW w:w="3202" w:type="pct"/>
            <w:gridSpan w:val="8"/>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中文名：丙烷</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危险货物编号：</w:t>
            </w:r>
            <w:r>
              <w:rPr>
                <w:sz w:val="21"/>
                <w:szCs w:val="21"/>
              </w:rPr>
              <w:t>21011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3202" w:type="pct"/>
            <w:gridSpan w:val="8"/>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英文名</w:t>
            </w:r>
            <w:r>
              <w:rPr>
                <w:sz w:val="21"/>
                <w:szCs w:val="21"/>
              </w:rPr>
              <w:t>propane</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UN编号：1978</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1642"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ind w:left="920" w:hanging="920" w:hangingChars="400"/>
              <w:rPr>
                <w:spacing w:val="10"/>
                <w:sz w:val="21"/>
                <w:szCs w:val="21"/>
              </w:rPr>
            </w:pPr>
            <w:r>
              <w:rPr>
                <w:spacing w:val="10"/>
                <w:sz w:val="21"/>
                <w:szCs w:val="21"/>
              </w:rPr>
              <w:t>分子式：</w:t>
            </w:r>
            <w:r>
              <w:rPr>
                <w:sz w:val="21"/>
                <w:szCs w:val="21"/>
              </w:rPr>
              <w:t>C</w:t>
            </w:r>
            <w:r>
              <w:rPr>
                <w:sz w:val="21"/>
                <w:szCs w:val="21"/>
                <w:vertAlign w:val="subscript"/>
              </w:rPr>
              <w:t>3</w:t>
            </w:r>
            <w:r>
              <w:rPr>
                <w:sz w:val="21"/>
                <w:szCs w:val="21"/>
              </w:rPr>
              <w:t>H</w:t>
            </w:r>
            <w:r>
              <w:rPr>
                <w:sz w:val="21"/>
                <w:szCs w:val="21"/>
                <w:vertAlign w:val="subscript"/>
              </w:rPr>
              <w:t>8</w:t>
            </w:r>
          </w:p>
        </w:tc>
        <w:tc>
          <w:tcPr>
            <w:tcW w:w="1559" w:type="pct"/>
            <w:gridSpan w:val="6"/>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分子量：44.10</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pacing w:val="10"/>
                <w:sz w:val="21"/>
                <w:szCs w:val="21"/>
              </w:rPr>
              <w:t>CAS号：</w:t>
            </w:r>
            <w:r>
              <w:rPr>
                <w:sz w:val="21"/>
                <w:szCs w:val="21"/>
              </w:rPr>
              <w:t>74-98-6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理化性质</w:t>
            </w: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外观与性状</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z w:val="21"/>
                <w:szCs w:val="21"/>
              </w:rPr>
              <w:t>无色气体，纯品无臭。</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熔点（℃）</w:t>
            </w:r>
          </w:p>
        </w:tc>
        <w:tc>
          <w:tcPr>
            <w:tcW w:w="834"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z w:val="21"/>
                <w:szCs w:val="21"/>
              </w:rPr>
              <w:t>-187.6</w:t>
            </w:r>
          </w:p>
        </w:tc>
        <w:tc>
          <w:tcPr>
            <w:tcW w:w="1078"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相对密度(水=1)</w:t>
            </w:r>
          </w:p>
        </w:tc>
        <w:tc>
          <w:tcPr>
            <w:tcW w:w="392"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z w:val="21"/>
                <w:szCs w:val="21"/>
              </w:rPr>
              <w:t>0.58</w:t>
            </w:r>
          </w:p>
        </w:tc>
        <w:tc>
          <w:tcPr>
            <w:tcW w:w="1175"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相对密度(空气=1)</w:t>
            </w:r>
          </w:p>
        </w:tc>
        <w:tc>
          <w:tcPr>
            <w:tcW w:w="363"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1.56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沸点（℃）</w:t>
            </w:r>
          </w:p>
        </w:tc>
        <w:tc>
          <w:tcPr>
            <w:tcW w:w="834"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-42.1</w:t>
            </w:r>
          </w:p>
        </w:tc>
        <w:tc>
          <w:tcPr>
            <w:tcW w:w="1471" w:type="pct"/>
            <w:gridSpan w:val="5"/>
            <w:tcBorders>
              <w:top w:val="single" w:color="auto" w:sz="6" w:space="0"/>
              <w:left w:val="single" w:color="auto" w:sz="6" w:space="0"/>
              <w:bottom w:val="single" w:color="auto" w:sz="6" w:space="0"/>
              <w:right w:val="single" w:color="auto" w:sz="6" w:space="0"/>
            </w:tcBorders>
            <w:vAlign w:val="center"/>
          </w:tcPr>
          <w:p>
            <w:pPr>
              <w:spacing w:line="320" w:lineRule="exact"/>
              <w:ind w:left="-40"/>
              <w:jc w:val="center"/>
              <w:rPr>
                <w:spacing w:val="10"/>
                <w:sz w:val="21"/>
                <w:szCs w:val="21"/>
              </w:rPr>
            </w:pPr>
            <w:r>
              <w:rPr>
                <w:spacing w:val="10"/>
                <w:sz w:val="21"/>
                <w:szCs w:val="21"/>
              </w:rPr>
              <w:t>饱和蒸气压（kPa）</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53.32/</w:t>
            </w:r>
            <w:r>
              <w:rPr>
                <w:sz w:val="21"/>
                <w:szCs w:val="21"/>
              </w:rPr>
              <w:t xml:space="preserve"> -44.5℃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临界温度（℃）</w:t>
            </w:r>
          </w:p>
        </w:tc>
        <w:tc>
          <w:tcPr>
            <w:tcW w:w="834" w:type="pct"/>
            <w:gridSpan w:val="2"/>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kern w:val="0"/>
                <w:sz w:val="21"/>
                <w:szCs w:val="21"/>
              </w:rPr>
              <w:t>96.8</w:t>
            </w:r>
          </w:p>
        </w:tc>
        <w:tc>
          <w:tcPr>
            <w:tcW w:w="1471" w:type="pct"/>
            <w:gridSpan w:val="5"/>
            <w:tcBorders>
              <w:top w:val="single" w:color="auto" w:sz="6" w:space="0"/>
              <w:left w:val="single" w:color="auto" w:sz="6" w:space="0"/>
              <w:bottom w:val="single" w:color="auto" w:sz="6" w:space="0"/>
              <w:right w:val="single" w:color="auto" w:sz="6" w:space="0"/>
            </w:tcBorders>
            <w:vAlign w:val="center"/>
          </w:tcPr>
          <w:p>
            <w:pPr>
              <w:spacing w:line="320" w:lineRule="exact"/>
              <w:ind w:left="-40"/>
              <w:jc w:val="center"/>
              <w:rPr>
                <w:spacing w:val="10"/>
                <w:sz w:val="21"/>
                <w:szCs w:val="21"/>
              </w:rPr>
            </w:pPr>
            <w:r>
              <w:rPr>
                <w:spacing w:val="10"/>
                <w:sz w:val="21"/>
                <w:szCs w:val="21"/>
              </w:rPr>
              <w:t>临界压力（</w:t>
            </w:r>
            <w:r>
              <w:rPr>
                <w:kern w:val="0"/>
                <w:sz w:val="21"/>
                <w:szCs w:val="21"/>
              </w:rPr>
              <w:t>MPa</w:t>
            </w:r>
            <w:r>
              <w:rPr>
                <w:spacing w:val="10"/>
                <w:sz w:val="21"/>
                <w:szCs w:val="21"/>
              </w:rPr>
              <w:t>）</w:t>
            </w:r>
          </w:p>
        </w:tc>
        <w:tc>
          <w:tcPr>
            <w:tcW w:w="1539" w:type="pct"/>
            <w:gridSpan w:val="3"/>
            <w:tcBorders>
              <w:top w:val="single" w:color="auto" w:sz="6" w:space="0"/>
              <w:left w:val="single" w:color="auto" w:sz="6" w:space="0"/>
              <w:bottom w:val="single" w:color="auto" w:sz="6" w:space="0"/>
              <w:right w:val="single" w:color="auto" w:sz="6" w:space="0"/>
            </w:tcBorders>
            <w:vAlign w:val="center"/>
          </w:tcPr>
          <w:p>
            <w:pPr>
              <w:spacing w:line="320" w:lineRule="exact"/>
              <w:ind w:left="355" w:firstLine="4"/>
              <w:rPr>
                <w:spacing w:val="10"/>
                <w:sz w:val="21"/>
                <w:szCs w:val="21"/>
                <w:vertAlign w:val="superscript"/>
              </w:rPr>
            </w:pPr>
            <w:r>
              <w:rPr>
                <w:kern w:val="0"/>
                <w:sz w:val="21"/>
                <w:szCs w:val="21"/>
              </w:rPr>
              <w:t>4.25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溶解性</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sz w:val="21"/>
                <w:szCs w:val="21"/>
              </w:rPr>
              <w:t>微溶液于水，溶液于乙醇、乙醚。</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4"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毒性及健康危害</w:t>
            </w:r>
          </w:p>
        </w:tc>
        <w:tc>
          <w:tcPr>
            <w:tcW w:w="896" w:type="pct"/>
            <w:tcBorders>
              <w:top w:val="single" w:color="auto" w:sz="6" w:space="0"/>
              <w:left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侵入途径</w:t>
            </w:r>
          </w:p>
        </w:tc>
        <w:tc>
          <w:tcPr>
            <w:tcW w:w="3845" w:type="pct"/>
            <w:gridSpan w:val="10"/>
            <w:tcBorders>
              <w:top w:val="single" w:color="auto" w:sz="6" w:space="0"/>
              <w:left w:val="single" w:color="auto" w:sz="6" w:space="0"/>
              <w:right w:val="single" w:color="auto" w:sz="4" w:space="0"/>
            </w:tcBorders>
            <w:vAlign w:val="center"/>
          </w:tcPr>
          <w:p>
            <w:pPr>
              <w:spacing w:line="320" w:lineRule="exact"/>
              <w:rPr>
                <w:spacing w:val="10"/>
                <w:sz w:val="21"/>
                <w:szCs w:val="21"/>
              </w:rPr>
            </w:pPr>
            <w:r>
              <w:rPr>
                <w:spacing w:val="10"/>
                <w:sz w:val="21"/>
                <w:szCs w:val="21"/>
              </w:rPr>
              <w:t>吸入。</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50"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毒性</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z w:val="21"/>
                <w:szCs w:val="21"/>
              </w:rPr>
            </w:pPr>
            <w:r>
              <w:rPr>
                <w:spacing w:val="10"/>
                <w:sz w:val="21"/>
                <w:szCs w:val="21"/>
              </w:rPr>
              <w:t xml:space="preserve"> LD</w:t>
            </w:r>
            <w:r>
              <w:rPr>
                <w:spacing w:val="10"/>
                <w:sz w:val="21"/>
                <w:szCs w:val="21"/>
                <w:vertAlign w:val="subscript"/>
              </w:rPr>
              <w:t>50</w:t>
            </w:r>
            <w:r>
              <w:rPr>
                <w:spacing w:val="10"/>
                <w:sz w:val="21"/>
                <w:szCs w:val="21"/>
              </w:rPr>
              <w:t>：</w:t>
            </w:r>
            <w:r>
              <w:rPr>
                <w:sz w:val="21"/>
                <w:szCs w:val="21"/>
              </w:rPr>
              <w:t>LD</w:t>
            </w:r>
            <w:r>
              <w:rPr>
                <w:sz w:val="21"/>
                <w:szCs w:val="21"/>
                <w:vertAlign w:val="subscript"/>
              </w:rPr>
              <w:t>50</w:t>
            </w:r>
            <w:r>
              <w:rPr>
                <w:sz w:val="21"/>
                <w:szCs w:val="21"/>
              </w:rPr>
              <w:t>5800mg/kg(大鼠经口)；20000mg/kg(兔经皮)</w:t>
            </w:r>
          </w:p>
          <w:p>
            <w:pPr>
              <w:spacing w:line="320" w:lineRule="exact"/>
              <w:rPr>
                <w:spacing w:val="10"/>
                <w:sz w:val="21"/>
                <w:szCs w:val="21"/>
              </w:rPr>
            </w:pPr>
            <w:r>
              <w:rPr>
                <w:spacing w:val="10"/>
                <w:sz w:val="21"/>
                <w:szCs w:val="21"/>
              </w:rPr>
              <w:t xml:space="preserve"> LC</w:t>
            </w:r>
            <w:r>
              <w:rPr>
                <w:spacing w:val="10"/>
                <w:sz w:val="21"/>
                <w:szCs w:val="21"/>
                <w:vertAlign w:val="subscript"/>
              </w:rPr>
              <w:t>50</w:t>
            </w:r>
            <w:r>
              <w:rPr>
                <w:spacing w:val="10"/>
                <w:sz w:val="21"/>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977"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4" w:space="0"/>
              <w:right w:val="single" w:color="auto" w:sz="6" w:space="0"/>
            </w:tcBorders>
            <w:vAlign w:val="center"/>
          </w:tcPr>
          <w:p>
            <w:pPr>
              <w:spacing w:line="320" w:lineRule="exact"/>
              <w:jc w:val="center"/>
              <w:rPr>
                <w:spacing w:val="10"/>
                <w:sz w:val="21"/>
                <w:szCs w:val="21"/>
              </w:rPr>
            </w:pPr>
            <w:r>
              <w:rPr>
                <w:spacing w:val="10"/>
                <w:sz w:val="21"/>
                <w:szCs w:val="21"/>
              </w:rPr>
              <w:t>健康危害</w:t>
            </w:r>
          </w:p>
        </w:tc>
        <w:tc>
          <w:tcPr>
            <w:tcW w:w="3845" w:type="pct"/>
            <w:gridSpan w:val="10"/>
            <w:tcBorders>
              <w:top w:val="single" w:color="auto" w:sz="6" w:space="0"/>
              <w:left w:val="single" w:color="auto" w:sz="6" w:space="0"/>
              <w:bottom w:val="single" w:color="auto" w:sz="4" w:space="0"/>
              <w:right w:val="single" w:color="auto" w:sz="6" w:space="0"/>
            </w:tcBorders>
            <w:vAlign w:val="center"/>
          </w:tcPr>
          <w:p>
            <w:pPr>
              <w:spacing w:line="320" w:lineRule="exact"/>
              <w:rPr>
                <w:spacing w:val="10"/>
                <w:sz w:val="21"/>
                <w:szCs w:val="21"/>
              </w:rPr>
            </w:pPr>
            <w:r>
              <w:rPr>
                <w:kern w:val="0"/>
                <w:sz w:val="21"/>
                <w:szCs w:val="21"/>
              </w:rPr>
              <w:t>1％丙烷，对人无影响；10％以下的浓度，只引起轻度头晕；在较高浓度的丙烷、丁烷混合气体中毒时，有头痛、头晕、兴奋或嗜睡、恶心、呕吐、流涎、血压轻度降低、脉缓、神经反射减弱、无病理反射；严重者出现麻醉状态、意识丧失；有的发生继发性肺炎。</w:t>
            </w:r>
            <w:r>
              <w:rPr>
                <w:sz w:val="21"/>
                <w:szCs w:val="21"/>
              </w:rPr>
              <w:t>液态</w:t>
            </w:r>
            <w:r>
              <w:rPr>
                <w:kern w:val="0"/>
                <w:sz w:val="21"/>
                <w:szCs w:val="21"/>
              </w:rPr>
              <w:t>丙烷</w:t>
            </w:r>
            <w:r>
              <w:rPr>
                <w:sz w:val="21"/>
                <w:szCs w:val="21"/>
              </w:rPr>
              <w:t>可致皮肤冻伤。</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4"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急救方法</w:t>
            </w:r>
          </w:p>
        </w:tc>
        <w:tc>
          <w:tcPr>
            <w:tcW w:w="3845" w:type="pct"/>
            <w:gridSpan w:val="10"/>
            <w:tcBorders>
              <w:top w:val="single" w:color="auto" w:sz="4" w:space="0"/>
              <w:left w:val="single" w:color="auto" w:sz="6" w:space="0"/>
              <w:bottom w:val="single" w:color="auto" w:sz="6" w:space="0"/>
              <w:right w:val="single" w:color="auto" w:sz="6" w:space="0"/>
            </w:tcBorders>
            <w:vAlign w:val="center"/>
          </w:tcPr>
          <w:p>
            <w:pPr>
              <w:spacing w:line="320" w:lineRule="exact"/>
              <w:rPr>
                <w:spacing w:val="10"/>
                <w:sz w:val="21"/>
                <w:szCs w:val="21"/>
              </w:rPr>
            </w:pPr>
            <w:r>
              <w:rPr>
                <w:kern w:val="0"/>
                <w:sz w:val="21"/>
                <w:szCs w:val="21"/>
              </w:rPr>
              <w:t>脱去并隔离被污染的衣服和鞋。接触液化气体，接触部位用温水浸泡复温。</w:t>
            </w:r>
            <w:r>
              <w:rPr>
                <w:sz w:val="21"/>
                <w:szCs w:val="21"/>
              </w:rPr>
              <w:t>吸入：迅速脱离现场至空气新鲜处。保持呼吸道通畅。如呼吸困难，给输氧。如呼吸停止，立即进行人工呼吸。就医。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0" w:hRule="atLeast"/>
          <w:jc w:val="center"/>
        </w:trPr>
        <w:tc>
          <w:tcPr>
            <w:tcW w:w="258" w:type="pct"/>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spacing w:val="10"/>
                <w:sz w:val="21"/>
                <w:szCs w:val="21"/>
              </w:rPr>
            </w:pPr>
            <w:r>
              <w:rPr>
                <w:spacing w:val="10"/>
                <w:sz w:val="21"/>
                <w:szCs w:val="21"/>
              </w:rPr>
              <w:t>燃烧爆炸危险性</w:t>
            </w: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燃烧性</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易燃</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燃烧分解物</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z w:val="21"/>
                <w:szCs w:val="21"/>
              </w:rPr>
              <w:t>一氧化碳、二氧化碳。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3"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闪点(℃)</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-104</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爆炸上限（v%）</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9.5</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4"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引燃温度(℃)</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450</w:t>
            </w:r>
          </w:p>
        </w:tc>
        <w:tc>
          <w:tcPr>
            <w:tcW w:w="1136"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爆炸下限（v%）</w:t>
            </w:r>
          </w:p>
        </w:tc>
        <w:tc>
          <w:tcPr>
            <w:tcW w:w="1766" w:type="pct"/>
            <w:gridSpan w:val="4"/>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2.1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8"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建规火险分级</w:t>
            </w:r>
          </w:p>
        </w:tc>
        <w:tc>
          <w:tcPr>
            <w:tcW w:w="942" w:type="pct"/>
            <w:gridSpan w:val="3"/>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甲</w:t>
            </w:r>
          </w:p>
        </w:tc>
        <w:tc>
          <w:tcPr>
            <w:tcW w:w="568"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稳定性</w:t>
            </w:r>
          </w:p>
        </w:tc>
        <w:tc>
          <w:tcPr>
            <w:tcW w:w="568" w:type="pct"/>
            <w:gridSpan w:val="2"/>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kern w:val="0"/>
                <w:sz w:val="21"/>
                <w:szCs w:val="21"/>
              </w:rPr>
              <w:t>稳定</w:t>
            </w:r>
          </w:p>
        </w:tc>
        <w:tc>
          <w:tcPr>
            <w:tcW w:w="882" w:type="pct"/>
            <w:gridSpan w:val="2"/>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聚合危害</w:t>
            </w:r>
          </w:p>
        </w:tc>
        <w:tc>
          <w:tcPr>
            <w:tcW w:w="884" w:type="pct"/>
            <w:gridSpan w:val="2"/>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kern w:val="0"/>
                <w:sz w:val="21"/>
                <w:szCs w:val="21"/>
              </w:rPr>
              <w:t>不能出现</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8"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spacing w:val="10"/>
                <w:sz w:val="21"/>
                <w:szCs w:val="21"/>
              </w:rPr>
              <w:t>禁忌物</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00" w:lineRule="exact"/>
              <w:jc w:val="center"/>
              <w:rPr>
                <w:spacing w:val="10"/>
                <w:sz w:val="21"/>
                <w:szCs w:val="21"/>
              </w:rPr>
            </w:pPr>
            <w:r>
              <w:rPr>
                <w:kern w:val="0"/>
                <w:sz w:val="21"/>
                <w:szCs w:val="21"/>
              </w:rPr>
              <w:t>强氧化剂、卤素。</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881"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危险特性</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00" w:lineRule="exact"/>
              <w:rPr>
                <w:spacing w:val="10"/>
                <w:sz w:val="21"/>
                <w:szCs w:val="21"/>
              </w:rPr>
            </w:pPr>
            <w:r>
              <w:rPr>
                <w:kern w:val="0"/>
                <w:sz w:val="21"/>
                <w:szCs w:val="21"/>
              </w:rPr>
              <w:t>与空气混合能形成爆炸性混合物，遇明火、高热能引起燃烧爆炸。其蒸气比空气重，能在较低处扩散到相当远的地方，遇火源引着回燃。若遇高热，容器内压增大，有开裂和爆炸的危险。液体能腐蚀某些塑料、涂料和橡胶。能积聚静电，引燃其蒸气。</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2"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储运条件</w:t>
            </w:r>
          </w:p>
          <w:p>
            <w:pPr>
              <w:spacing w:line="320" w:lineRule="exact"/>
              <w:jc w:val="center"/>
              <w:rPr>
                <w:spacing w:val="10"/>
                <w:sz w:val="21"/>
                <w:szCs w:val="21"/>
              </w:rPr>
            </w:pPr>
            <w:r>
              <w:rPr>
                <w:spacing w:val="10"/>
                <w:sz w:val="21"/>
                <w:szCs w:val="21"/>
              </w:rPr>
              <w:t>与泄漏处理</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b/>
                <w:spacing w:val="10"/>
                <w:sz w:val="21"/>
                <w:szCs w:val="21"/>
              </w:rPr>
              <w:t>储运条件</w:t>
            </w:r>
            <w:r>
              <w:rPr>
                <w:spacing w:val="10"/>
                <w:sz w:val="21"/>
                <w:szCs w:val="21"/>
              </w:rPr>
              <w:t>：储存于阴凉、通风良好的仓间内。远离火种、热源；防止阳光直射。应与氧气、压缩空气、氧化剂等分开存放。搬运时应轻装轻卸，防止钢瓶及附件破损。</w:t>
            </w:r>
            <w:r>
              <w:rPr>
                <w:b/>
                <w:spacing w:val="10"/>
                <w:sz w:val="21"/>
                <w:szCs w:val="21"/>
              </w:rPr>
              <w:t>泄漏处理</w:t>
            </w:r>
            <w:r>
              <w:rPr>
                <w:spacing w:val="10"/>
                <w:sz w:val="21"/>
                <w:szCs w:val="21"/>
              </w:rPr>
              <w:t>：</w:t>
            </w:r>
            <w:r>
              <w:rPr>
                <w:sz w:val="21"/>
                <w:szCs w:val="21"/>
              </w:rPr>
              <w:t>迅速撤离泄漏污染区人员至上风处，并进行隔离，严格限制出入。切断火源。建议应急处理人员戴自给正压式呼吸器，穿消防防护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21" w:hRule="atLeast"/>
          <w:jc w:val="center"/>
        </w:trPr>
        <w:tc>
          <w:tcPr>
            <w:tcW w:w="258" w:type="pct"/>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spacing w:val="10"/>
                <w:sz w:val="21"/>
                <w:szCs w:val="21"/>
              </w:rPr>
            </w:pPr>
          </w:p>
        </w:tc>
        <w:tc>
          <w:tcPr>
            <w:tcW w:w="896" w:type="pct"/>
            <w:tcBorders>
              <w:top w:val="single" w:color="auto" w:sz="6" w:space="0"/>
              <w:left w:val="single" w:color="auto" w:sz="6" w:space="0"/>
              <w:bottom w:val="single" w:color="auto" w:sz="6" w:space="0"/>
              <w:right w:val="single" w:color="auto" w:sz="6" w:space="0"/>
            </w:tcBorders>
            <w:vAlign w:val="center"/>
          </w:tcPr>
          <w:p>
            <w:pPr>
              <w:spacing w:line="320" w:lineRule="exact"/>
              <w:jc w:val="center"/>
              <w:rPr>
                <w:spacing w:val="10"/>
                <w:sz w:val="21"/>
                <w:szCs w:val="21"/>
              </w:rPr>
            </w:pPr>
            <w:r>
              <w:rPr>
                <w:spacing w:val="10"/>
                <w:sz w:val="21"/>
                <w:szCs w:val="21"/>
              </w:rPr>
              <w:t>灭火方法</w:t>
            </w:r>
          </w:p>
        </w:tc>
        <w:tc>
          <w:tcPr>
            <w:tcW w:w="3845" w:type="pct"/>
            <w:gridSpan w:val="10"/>
            <w:tcBorders>
              <w:top w:val="single" w:color="auto" w:sz="6" w:space="0"/>
              <w:left w:val="single" w:color="auto" w:sz="6" w:space="0"/>
              <w:bottom w:val="single" w:color="auto" w:sz="6" w:space="0"/>
              <w:right w:val="single" w:color="auto" w:sz="6" w:space="0"/>
            </w:tcBorders>
            <w:vAlign w:val="center"/>
          </w:tcPr>
          <w:p>
            <w:pPr>
              <w:spacing w:line="320" w:lineRule="exact"/>
              <w:rPr>
                <w:spacing w:val="10"/>
                <w:sz w:val="21"/>
                <w:szCs w:val="21"/>
              </w:rPr>
            </w:pPr>
            <w:r>
              <w:rPr>
                <w:kern w:val="0"/>
                <w:sz w:val="21"/>
                <w:szCs w:val="21"/>
              </w:rPr>
              <w:t>切断气源。若不能立即切断气源，则不允许熄灭正在燃烧的气体。喷水冷却容器，可能的话将容器从火场移至空旷处。雾状水、干粉、二氧化碳。如果该物质或被污染的流体进入水路，通知有潜在水体污染的下游用户，通知地方卫生、消防官员和污染控制部门。在安全防爆距离以外，使用雾状水冷却暴露的容器。如果容器遇明火或长时间暴露于高温下，立即撤离到安全区域。</w:t>
            </w:r>
          </w:p>
        </w:tc>
      </w:tr>
    </w:tbl>
    <w:p>
      <w:pPr>
        <w:pStyle w:val="8"/>
      </w:pPr>
      <w:r>
        <w:rPr>
          <w:rFonts w:hint="eastAsia"/>
        </w:rPr>
        <w:t>7.3.4可能影响环境的途径</w:t>
      </w:r>
    </w:p>
    <w:p>
      <w:pPr>
        <w:pStyle w:val="7"/>
        <w:ind w:firstLine="480"/>
      </w:pPr>
      <w:r>
        <w:rPr>
          <w:rFonts w:hint="eastAsia"/>
        </w:rPr>
        <w:t>项目涉及的主要危险物质为天然气、氯气、液化石油气，存在的事故类型为火灾、爆炸和泄漏风险。环境风险类型及有害物质扩散途径识别见表7.3-10。</w:t>
      </w:r>
    </w:p>
    <w:p>
      <w:pPr>
        <w:pStyle w:val="31"/>
      </w:pPr>
      <w:r>
        <w:rPr>
          <w:rFonts w:hint="eastAsia"/>
        </w:rPr>
        <w:t>表7.3-10  主要事故风险类型及有害物质扩散途径识别</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55"/>
        <w:gridCol w:w="969"/>
        <w:gridCol w:w="1535"/>
        <w:gridCol w:w="3971"/>
        <w:gridCol w:w="139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84" w:type="pct"/>
            <w:vAlign w:val="center"/>
          </w:tcPr>
          <w:p>
            <w:pPr>
              <w:pStyle w:val="33"/>
            </w:pPr>
            <w:r>
              <w:rPr>
                <w:rFonts w:hint="eastAsia"/>
              </w:rPr>
              <w:t>事故类型</w:t>
            </w:r>
          </w:p>
        </w:tc>
        <w:tc>
          <w:tcPr>
            <w:tcW w:w="568" w:type="pct"/>
            <w:vAlign w:val="center"/>
          </w:tcPr>
          <w:p>
            <w:pPr>
              <w:pStyle w:val="33"/>
            </w:pPr>
            <w:r>
              <w:rPr>
                <w:rFonts w:hint="eastAsia"/>
              </w:rPr>
              <w:t>风险单元</w:t>
            </w:r>
          </w:p>
        </w:tc>
        <w:tc>
          <w:tcPr>
            <w:tcW w:w="900" w:type="pct"/>
            <w:vAlign w:val="center"/>
          </w:tcPr>
          <w:p>
            <w:pPr>
              <w:pStyle w:val="33"/>
            </w:pPr>
            <w:r>
              <w:rPr>
                <w:rFonts w:hint="eastAsia"/>
              </w:rPr>
              <w:t>主要有害物质</w:t>
            </w:r>
          </w:p>
        </w:tc>
        <w:tc>
          <w:tcPr>
            <w:tcW w:w="2329" w:type="pct"/>
            <w:vAlign w:val="center"/>
          </w:tcPr>
          <w:p>
            <w:pPr>
              <w:pStyle w:val="33"/>
            </w:pPr>
            <w:r>
              <w:rPr>
                <w:rFonts w:hint="eastAsia"/>
              </w:rPr>
              <w:t>主要危害</w:t>
            </w:r>
          </w:p>
        </w:tc>
        <w:tc>
          <w:tcPr>
            <w:tcW w:w="817" w:type="pct"/>
            <w:vAlign w:val="center"/>
          </w:tcPr>
          <w:p>
            <w:pPr>
              <w:pStyle w:val="33"/>
            </w:pPr>
            <w:r>
              <w:rPr>
                <w:rFonts w:hint="eastAsia"/>
              </w:rPr>
              <w:t>有害物质扩散途径识别</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84" w:type="pct"/>
            <w:vMerge w:val="restart"/>
            <w:vAlign w:val="center"/>
          </w:tcPr>
          <w:p>
            <w:pPr>
              <w:pStyle w:val="33"/>
            </w:pPr>
            <w:r>
              <w:rPr>
                <w:rFonts w:hint="eastAsia"/>
              </w:rPr>
              <w:t>泄露</w:t>
            </w:r>
          </w:p>
        </w:tc>
        <w:tc>
          <w:tcPr>
            <w:tcW w:w="568" w:type="pct"/>
            <w:vMerge w:val="restart"/>
            <w:vAlign w:val="center"/>
          </w:tcPr>
          <w:p>
            <w:pPr>
              <w:pStyle w:val="33"/>
            </w:pPr>
            <w:r>
              <w:rPr>
                <w:rFonts w:hint="eastAsia"/>
              </w:rPr>
              <w:t>输送管道、生产区</w:t>
            </w:r>
          </w:p>
        </w:tc>
        <w:tc>
          <w:tcPr>
            <w:tcW w:w="900" w:type="pct"/>
            <w:vAlign w:val="center"/>
          </w:tcPr>
          <w:p>
            <w:pPr>
              <w:pStyle w:val="33"/>
            </w:pPr>
            <w:r>
              <w:rPr>
                <w:rFonts w:hint="eastAsia"/>
              </w:rPr>
              <w:t>天然气</w:t>
            </w:r>
          </w:p>
        </w:tc>
        <w:tc>
          <w:tcPr>
            <w:tcW w:w="2329" w:type="pct"/>
            <w:vAlign w:val="center"/>
          </w:tcPr>
          <w:p>
            <w:pPr>
              <w:pStyle w:val="33"/>
            </w:pPr>
            <w:r>
              <w:rPr>
                <w:rFonts w:hint="eastAsia"/>
              </w:rPr>
              <w:t>天然气主要成分为甲烷。甲烷对人基本无毒，空气中甲烷浓度过高能使人窒息， 当空气中甲烷达到25%～30%时，可引 起头痛、头晕、乏力、注意力不集中、 呼吸和心跳加速，甚至窒息、昏迷。长期接触天然气可出现神经衰弱综合</w:t>
            </w:r>
          </w:p>
        </w:tc>
        <w:tc>
          <w:tcPr>
            <w:tcW w:w="817" w:type="pct"/>
            <w:vMerge w:val="restart"/>
            <w:vAlign w:val="center"/>
          </w:tcPr>
          <w:p>
            <w:pPr>
              <w:pStyle w:val="33"/>
            </w:pPr>
            <w:r>
              <w:rPr>
                <w:rFonts w:hint="eastAsia"/>
              </w:rPr>
              <w:t>污染大气环境和人体健康</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84" w:type="pct"/>
            <w:vMerge w:val="continue"/>
            <w:vAlign w:val="center"/>
          </w:tcPr>
          <w:p>
            <w:pPr>
              <w:pStyle w:val="33"/>
            </w:pPr>
          </w:p>
        </w:tc>
        <w:tc>
          <w:tcPr>
            <w:tcW w:w="568" w:type="pct"/>
            <w:vMerge w:val="continue"/>
            <w:vAlign w:val="center"/>
          </w:tcPr>
          <w:p>
            <w:pPr>
              <w:pStyle w:val="33"/>
            </w:pPr>
          </w:p>
        </w:tc>
        <w:tc>
          <w:tcPr>
            <w:tcW w:w="900" w:type="pct"/>
            <w:vAlign w:val="center"/>
          </w:tcPr>
          <w:p>
            <w:pPr>
              <w:pStyle w:val="33"/>
            </w:pPr>
            <w:r>
              <w:rPr>
                <w:rFonts w:hint="eastAsia"/>
              </w:rPr>
              <w:t>氯气</w:t>
            </w:r>
          </w:p>
        </w:tc>
        <w:tc>
          <w:tcPr>
            <w:tcW w:w="2329" w:type="pct"/>
            <w:vAlign w:val="center"/>
          </w:tcPr>
          <w:p>
            <w:pPr>
              <w:pStyle w:val="33"/>
            </w:pPr>
            <w:r>
              <w:rPr>
                <w:rFonts w:hint="eastAsia"/>
              </w:rPr>
              <w:t>对眼、呼吸道粘膜有刺激作用。急性中毒：轻度者有流泪、咳嗽、咳少量痰、胸闷，出现气管炎的表现；中度中毒发生支气管肺炎或间质性肺水肿，病人除有上述症状的加重外，出现呼吸困难、轻度紫绀等；重者发生肺水肿、昏迷和休克，可出现气胸、纵隔气肿等并发症。吸入极高浓度的氯气，可引起迷走神经反射性心跳骤停或喉头痉挛而发生“电击样”死亡。皮肤接触液氯或高浓度氯，在暴露部位可有灼伤或急性皮炎。</w:t>
            </w:r>
          </w:p>
        </w:tc>
        <w:tc>
          <w:tcPr>
            <w:tcW w:w="817" w:type="pct"/>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84" w:type="pct"/>
            <w:vMerge w:val="continue"/>
            <w:vAlign w:val="center"/>
          </w:tcPr>
          <w:p>
            <w:pPr>
              <w:pStyle w:val="33"/>
            </w:pPr>
          </w:p>
        </w:tc>
        <w:tc>
          <w:tcPr>
            <w:tcW w:w="568" w:type="pct"/>
            <w:vMerge w:val="continue"/>
            <w:vAlign w:val="center"/>
          </w:tcPr>
          <w:p>
            <w:pPr>
              <w:pStyle w:val="33"/>
            </w:pPr>
          </w:p>
        </w:tc>
        <w:tc>
          <w:tcPr>
            <w:tcW w:w="900" w:type="pct"/>
            <w:vAlign w:val="center"/>
          </w:tcPr>
          <w:p>
            <w:pPr>
              <w:pStyle w:val="33"/>
              <w:rPr>
                <w:highlight w:val="yellow"/>
              </w:rPr>
            </w:pPr>
            <w:r>
              <w:rPr>
                <w:rFonts w:hint="eastAsia"/>
              </w:rPr>
              <w:t>液化石油气</w:t>
            </w:r>
          </w:p>
        </w:tc>
        <w:tc>
          <w:tcPr>
            <w:tcW w:w="2329" w:type="pct"/>
            <w:vAlign w:val="center"/>
          </w:tcPr>
          <w:p>
            <w:pPr>
              <w:pStyle w:val="33"/>
              <w:rPr>
                <w:highlight w:val="yellow"/>
              </w:rPr>
            </w:pPr>
            <w:r>
              <w:rPr>
                <w:rFonts w:hint="eastAsia"/>
              </w:rPr>
              <w:t>液化石油气主要成分为丙烷。1％丙烷，对人无影响；10％以下的浓度，只引起轻度头晕；在较高浓度的丙烷、丁烷混合气体中毒时，有头痛、头晕、兴奋或嗜睡、恶心、呕吐、流涎、血压轻度降低、脉缓、神经反射减弱、无病理反射；严重者出现麻醉状态、意识丧失。</w:t>
            </w:r>
          </w:p>
        </w:tc>
        <w:tc>
          <w:tcPr>
            <w:tcW w:w="817" w:type="pct"/>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84" w:type="pct"/>
            <w:vAlign w:val="center"/>
          </w:tcPr>
          <w:p>
            <w:pPr>
              <w:pStyle w:val="33"/>
            </w:pPr>
            <w:r>
              <w:rPr>
                <w:rFonts w:hint="eastAsia"/>
              </w:rPr>
              <w:t>火灾爆炸</w:t>
            </w:r>
          </w:p>
        </w:tc>
        <w:tc>
          <w:tcPr>
            <w:tcW w:w="568" w:type="pct"/>
            <w:vAlign w:val="center"/>
          </w:tcPr>
          <w:p>
            <w:pPr>
              <w:pStyle w:val="33"/>
            </w:pPr>
            <w:r>
              <w:rPr>
                <w:rFonts w:hint="eastAsia"/>
              </w:rPr>
              <w:t>储存区、生产区输送管道</w:t>
            </w:r>
          </w:p>
        </w:tc>
        <w:tc>
          <w:tcPr>
            <w:tcW w:w="900" w:type="pct"/>
            <w:vAlign w:val="center"/>
          </w:tcPr>
          <w:p>
            <w:pPr>
              <w:pStyle w:val="33"/>
            </w:pPr>
            <w:r>
              <w:rPr>
                <w:rFonts w:hint="eastAsia"/>
              </w:rPr>
              <w:t>天然气、液化石油气、一氧化碳</w:t>
            </w:r>
          </w:p>
        </w:tc>
        <w:tc>
          <w:tcPr>
            <w:tcW w:w="2329" w:type="pct"/>
            <w:vAlign w:val="center"/>
          </w:tcPr>
          <w:p>
            <w:pPr>
              <w:pStyle w:val="33"/>
            </w:pPr>
            <w:r>
              <w:rPr>
                <w:rFonts w:hint="eastAsia"/>
              </w:rPr>
              <w:t>火灾爆炸产生的次生有害气体、热辐射、抛射物等污染环境、损害人身健康及财产安全</w:t>
            </w:r>
          </w:p>
        </w:tc>
        <w:tc>
          <w:tcPr>
            <w:tcW w:w="817" w:type="pct"/>
            <w:vAlign w:val="center"/>
          </w:tcPr>
          <w:p>
            <w:pPr>
              <w:pStyle w:val="33"/>
            </w:pPr>
            <w:r>
              <w:rPr>
                <w:rFonts w:hint="eastAsia"/>
              </w:rPr>
              <w:t>①污染大气环境②消防废水污染地表水质</w:t>
            </w:r>
          </w:p>
        </w:tc>
      </w:tr>
    </w:tbl>
    <w:p>
      <w:pPr>
        <w:pStyle w:val="5"/>
      </w:pPr>
      <w:bookmarkStart w:id="154" w:name="_Toc13136"/>
      <w:r>
        <w:rPr>
          <w:rFonts w:hint="eastAsia"/>
        </w:rPr>
        <w:t>7.4环境风险分析</w:t>
      </w:r>
      <w:bookmarkEnd w:id="154"/>
    </w:p>
    <w:p>
      <w:pPr>
        <w:pStyle w:val="7"/>
        <w:ind w:firstLine="482"/>
        <w:rPr>
          <w:b/>
          <w:bCs/>
          <w:lang w:val="zh-CN"/>
        </w:rPr>
      </w:pPr>
      <w:r>
        <w:rPr>
          <w:rFonts w:hint="eastAsia"/>
          <w:b/>
          <w:bCs/>
        </w:rPr>
        <w:t>1、</w:t>
      </w:r>
      <w:r>
        <w:rPr>
          <w:rFonts w:hint="eastAsia"/>
          <w:b/>
          <w:bCs/>
          <w:lang w:val="zh-CN"/>
        </w:rPr>
        <w:t>天然气</w:t>
      </w:r>
      <w:r>
        <w:rPr>
          <w:b/>
          <w:bCs/>
          <w:lang w:val="zh-CN"/>
        </w:rPr>
        <w:t>泄漏引起的火灾、爆炸影响分析</w:t>
      </w:r>
    </w:p>
    <w:p>
      <w:pPr>
        <w:spacing w:line="360" w:lineRule="auto"/>
        <w:ind w:firstLine="480"/>
      </w:pPr>
      <w:r>
        <w:t>本项目天然气在输送过程中，出现</w:t>
      </w:r>
      <w:r>
        <w:rPr>
          <w:rFonts w:hint="eastAsia"/>
        </w:rPr>
        <w:t>泄漏</w:t>
      </w:r>
      <w:r>
        <w:t>事故，如果不及时控制，将</w:t>
      </w:r>
      <w:r>
        <w:rPr>
          <w:rFonts w:hint="eastAsia"/>
          <w:lang w:eastAsia="zh-CN"/>
        </w:rPr>
        <w:t>可能会</w:t>
      </w:r>
      <w:r>
        <w:t>对环境造成不利影响。造成故障的原因包括材质原因、操作失误、人为破坏及自然灾害等。</w:t>
      </w:r>
    </w:p>
    <w:p>
      <w:pPr>
        <w:spacing w:line="360" w:lineRule="auto"/>
        <w:ind w:firstLine="480"/>
      </w:pPr>
      <w:r>
        <w:t>天然气的化学组成及其理化特性因地而异，主要成分是甲烷，还含有少量乙烷、丁烷、戊烷、二氧化碳、一氧化碳、硫化氢等。无硫化氢时为无色无臭易燃易爆气体，密度多在0.6～0.8g/cm</w:t>
      </w:r>
      <w:r>
        <w:rPr>
          <w:vertAlign w:val="superscript"/>
        </w:rPr>
        <w:t>3</w:t>
      </w:r>
      <w:r>
        <w:t>，比空气轻。通常将含甲烷高于90%的称为干气，含甲烷低于90%的称为湿气。天然气的毒性因其化学组成不同而异。原料天然气含硫化氢，毒性随硫化氢浓度增加而增高。</w:t>
      </w:r>
    </w:p>
    <w:p>
      <w:pPr>
        <w:spacing w:line="360" w:lineRule="auto"/>
        <w:ind w:firstLine="480"/>
      </w:pPr>
      <w:r>
        <w:t>输送管道中的天然气泄漏，遇明火可能发生火灾、爆炸事故。此外，雷电和静电淤积也可引起管道爆炸。发生火灾时将放出大量辐射热，同时还散发出大量的浓烟，浓烟是由燃烧物质释放出的高温蒸汽和毒气、被分解和凝聚的未燃烧物质、被火焰加热而带入上升气流中的大量空气等多种物质组成。它不但含有大量的热量，而且含有毒气体和弥散的固体微粒。因此浓烟对火场周围人员的生命安全危害程度远超过火灾本身，并对周围的大气环境质量造成很大的污染和破坏。另外，燃烧时的强烈热辐射还可能造成新的火灾和爆炸事故。火灾爆炸对环境的危害主要是热辐射、冲击波和抛射物造成的后果，危害范围采用危害半径进行评价。</w:t>
      </w:r>
    </w:p>
    <w:p>
      <w:pPr>
        <w:spacing w:line="360" w:lineRule="auto"/>
        <w:ind w:firstLine="480"/>
      </w:pPr>
      <w:r>
        <w:t>参照《环境导报》1995年第5期介绍的“环境风险评价中易燃易爆物品危害范围的确定”一文中推荐的计算公式：</w:t>
      </w:r>
    </w:p>
    <w:p>
      <w:pPr>
        <w:spacing w:line="360" w:lineRule="auto"/>
        <w:ind w:firstLine="480"/>
      </w:pPr>
      <w:r>
        <w:t xml:space="preserve">        r=0.5×2.66×M</w:t>
      </w:r>
      <w:r>
        <w:rPr>
          <w:vertAlign w:val="superscript"/>
        </w:rPr>
        <w:t>0.327</w:t>
      </w:r>
    </w:p>
    <w:p>
      <w:pPr>
        <w:spacing w:line="360" w:lineRule="auto"/>
        <w:ind w:firstLine="480"/>
      </w:pPr>
      <w:r>
        <w:t>式中：r——爆炸圆形区域半径（m）；</w:t>
      </w:r>
    </w:p>
    <w:p>
      <w:pPr>
        <w:spacing w:line="360" w:lineRule="auto"/>
        <w:ind w:firstLine="480"/>
      </w:pPr>
      <w:r>
        <w:t xml:space="preserve">     M——可燃性气体的质量（kg），取天然气量</w:t>
      </w:r>
      <w:r>
        <w:rPr>
          <w:rFonts w:hint="eastAsia"/>
        </w:rPr>
        <w:t>14.12</w:t>
      </w:r>
      <w:r>
        <w:t>kg。</w:t>
      </w:r>
    </w:p>
    <w:p>
      <w:pPr>
        <w:spacing w:line="360" w:lineRule="auto"/>
        <w:ind w:firstLine="480"/>
      </w:pPr>
      <w:r>
        <w:t>代入上式计算可得火灾危害半径最大为</w:t>
      </w:r>
      <w:r>
        <w:rPr>
          <w:rFonts w:hint="eastAsia"/>
        </w:rPr>
        <w:t>3.16m</w:t>
      </w:r>
      <w:r>
        <w:t>。</w:t>
      </w:r>
    </w:p>
    <w:p>
      <w:pPr>
        <w:pStyle w:val="2"/>
        <w:spacing w:after="0" w:line="360" w:lineRule="auto"/>
        <w:ind w:left="0" w:leftChars="0" w:firstLine="480"/>
      </w:pPr>
      <w:r>
        <w:rPr>
          <w:rFonts w:hint="eastAsia"/>
        </w:rPr>
        <w:t>项目天然气在线流量较小</w:t>
      </w:r>
      <w:r>
        <w:t>。在发生</w:t>
      </w:r>
      <w:r>
        <w:rPr>
          <w:rFonts w:hint="eastAsia"/>
        </w:rPr>
        <w:t>泄漏</w:t>
      </w:r>
      <w:r>
        <w:t>时，只要在规定的时间内将控制阀门关闭，泄漏量很小。因次，拟建项目只要切实采取本次环评提出的风险防范措施，并在发生泄漏的情况下，运用正确的堵漏方法，可将其对环境的影响降至最低。</w:t>
      </w:r>
    </w:p>
    <w:p>
      <w:pPr>
        <w:pStyle w:val="2"/>
        <w:spacing w:after="0" w:line="360" w:lineRule="auto"/>
        <w:ind w:left="0" w:leftChars="0" w:firstLine="482"/>
        <w:rPr>
          <w:b/>
          <w:bCs/>
        </w:rPr>
      </w:pPr>
      <w:r>
        <w:rPr>
          <w:rFonts w:hint="eastAsia"/>
          <w:b/>
          <w:bCs/>
        </w:rPr>
        <w:t>2、液化石油气泄漏引起的火灾、爆炸影响分析</w:t>
      </w:r>
    </w:p>
    <w:p>
      <w:pPr>
        <w:pStyle w:val="2"/>
        <w:spacing w:after="0" w:line="360" w:lineRule="auto"/>
        <w:ind w:left="0" w:leftChars="0" w:firstLine="480"/>
      </w:pPr>
      <w:r>
        <w:rPr>
          <w:rFonts w:hint="eastAsia"/>
        </w:rPr>
        <w:t>本项目液化石油气采用钢瓶转运使用，液化石油气的主要成分是丙烷，占95%，当发生</w:t>
      </w:r>
      <w:r>
        <w:rPr>
          <w:rFonts w:hint="eastAsia"/>
          <w:lang w:eastAsia="zh-CN"/>
        </w:rPr>
        <w:t>事故</w:t>
      </w:r>
      <w:r>
        <w:rPr>
          <w:rFonts w:hint="eastAsia"/>
        </w:rPr>
        <w:t>时应迅速撤离泄漏污染区人员至上风处，并进行隔离，严格限制出入。切断火源。建议应急处理人员戴自给正压式呼吸器，穿消防防护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p>
      <w:pPr>
        <w:spacing w:line="360" w:lineRule="auto"/>
        <w:ind w:firstLine="480"/>
        <w:rPr>
          <w:b/>
          <w:bCs/>
        </w:rPr>
      </w:pPr>
      <w:r>
        <w:rPr>
          <w:rFonts w:hint="eastAsia"/>
          <w:b/>
          <w:bCs/>
        </w:rPr>
        <w:t>3、有毒有害物质在地表水中的扩散</w:t>
      </w:r>
    </w:p>
    <w:p>
      <w:pPr>
        <w:spacing w:line="360" w:lineRule="auto"/>
        <w:ind w:firstLine="480"/>
      </w:pPr>
      <w:r>
        <w:rPr>
          <w:rFonts w:hint="eastAsia"/>
        </w:rPr>
        <w:t>本项目事故状态下产生的废水排入事故池内收集，外运至有处理能力的污水处理设施处理，不外排。生活污水、循环冷却排水经处理后排入园区管网，因此不进行地表水预测。</w:t>
      </w:r>
    </w:p>
    <w:p>
      <w:pPr>
        <w:spacing w:line="360" w:lineRule="auto"/>
        <w:ind w:firstLine="480"/>
        <w:rPr>
          <w:b/>
          <w:bCs/>
        </w:rPr>
      </w:pPr>
      <w:r>
        <w:rPr>
          <w:rFonts w:hint="eastAsia"/>
          <w:b/>
          <w:bCs/>
        </w:rPr>
        <w:t>4、有毒有害物质在地下水中的扩散</w:t>
      </w:r>
    </w:p>
    <w:p>
      <w:pPr>
        <w:pStyle w:val="7"/>
        <w:ind w:firstLine="480"/>
      </w:pPr>
      <w:r>
        <w:rPr>
          <w:rFonts w:hint="eastAsia"/>
        </w:rPr>
        <w:t>废水收集池采取防渗措施后，正常运行时，不会产生污水泄漏事故，当施工质量不合格、防渗措施不到位，将会在运行过程中发生污水泄漏污染地下水和土壤的风险。</w:t>
      </w:r>
    </w:p>
    <w:p>
      <w:pPr>
        <w:spacing w:line="360" w:lineRule="auto"/>
        <w:ind w:firstLine="482"/>
      </w:pPr>
      <w:r>
        <w:rPr>
          <w:rFonts w:hint="eastAsia"/>
        </w:rPr>
        <w:t xml:space="preserve">为防止生产车间、仓库贮存物料泄漏事故状态下对水环境影响，评价提出如下要求： </w:t>
      </w:r>
    </w:p>
    <w:p>
      <w:pPr>
        <w:spacing w:line="360" w:lineRule="auto"/>
        <w:ind w:firstLine="482"/>
      </w:pPr>
      <w:r>
        <w:rPr>
          <w:rFonts w:hint="eastAsia"/>
        </w:rPr>
        <w:t xml:space="preserve">（1）生产车间、罐区等地面应按要求硬化，满足地基承载力及防渗要求。  </w:t>
      </w:r>
    </w:p>
    <w:p>
      <w:pPr>
        <w:spacing w:line="360" w:lineRule="auto"/>
        <w:ind w:firstLine="482"/>
      </w:pPr>
      <w:r>
        <w:rPr>
          <w:rFonts w:hint="eastAsia"/>
        </w:rPr>
        <w:t>（2）事故水储存在防火堤和事故池内，装置区等事故水排至事故池内，事故水外运至有资质污水处理设施处理。</w:t>
      </w:r>
    </w:p>
    <w:p>
      <w:pPr>
        <w:pStyle w:val="2"/>
        <w:spacing w:after="0" w:line="360" w:lineRule="auto"/>
        <w:ind w:left="0" w:leftChars="0" w:firstLine="482" w:firstLineChars="0"/>
      </w:pPr>
      <w:r>
        <w:rPr>
          <w:rFonts w:hint="eastAsia"/>
        </w:rPr>
        <w:t>（3）厂区内的雨水管网应尽量避开有毒有害物质泄漏可能流及的地方，雨水管网的厂区检查口应全部</w:t>
      </w:r>
      <w:r>
        <w:rPr>
          <w:rFonts w:hint="eastAsia"/>
          <w:lang w:eastAsia="zh-CN"/>
        </w:rPr>
        <w:t>采用</w:t>
      </w:r>
      <w:r>
        <w:rPr>
          <w:rFonts w:hint="eastAsia"/>
        </w:rPr>
        <w:t xml:space="preserve">密闭式封盖，并尽量少设计装置区内的检查口。 </w:t>
      </w:r>
    </w:p>
    <w:p>
      <w:pPr>
        <w:pStyle w:val="2"/>
        <w:spacing w:after="0" w:line="360" w:lineRule="auto"/>
        <w:ind w:left="0" w:leftChars="0" w:firstLine="482" w:firstLineChars="0"/>
      </w:pPr>
      <w:r>
        <w:rPr>
          <w:rFonts w:hint="eastAsia"/>
        </w:rPr>
        <w:t>（4）氯气储存罐、液化石油气储存区应设置防止泄露的安全措施，运行过程中应定期对其进行检查，发现泄漏隐患时应及时进行修复，防止泄露事故发生，地面应进行硬化，周围设置导排沟，防止泄露后扩散。</w:t>
      </w:r>
    </w:p>
    <w:p>
      <w:pPr>
        <w:pStyle w:val="2"/>
        <w:spacing w:after="0" w:line="360" w:lineRule="auto"/>
        <w:ind w:left="0" w:leftChars="0" w:firstLine="482" w:firstLineChars="0"/>
      </w:pPr>
      <w:r>
        <w:rPr>
          <w:rFonts w:hint="eastAsia"/>
        </w:rPr>
        <w:t xml:space="preserve">（5）天然气应设置防止泄露的安全措施，运行过程中应定期对其进行检查，发现泄漏隐患时应及时进行修复，防止泄露事故发生，地面应进行硬化，周围设置导排沟，防止泄露后扩散。 </w:t>
      </w:r>
    </w:p>
    <w:p>
      <w:pPr>
        <w:spacing w:line="360" w:lineRule="auto"/>
        <w:ind w:firstLine="482"/>
      </w:pPr>
      <w:r>
        <w:rPr>
          <w:rFonts w:hint="eastAsia"/>
        </w:rPr>
        <w:t>（6）事故池必须进行防渗，严把质量关，选用合格防渗材料，废水输送管道选用质量合格的管道，焊接口严格进行探伤检测，保证报道施工质量。</w:t>
      </w:r>
    </w:p>
    <w:p>
      <w:pPr>
        <w:pStyle w:val="2"/>
        <w:spacing w:after="0" w:line="360" w:lineRule="auto"/>
        <w:ind w:left="0" w:leftChars="0" w:firstLine="482" w:firstLineChars="0"/>
      </w:pPr>
      <w:r>
        <w:rPr>
          <w:rFonts w:hint="eastAsia"/>
        </w:rPr>
        <w:t>采取上述措施后发生风险事故时对水环境的影响较小。</w:t>
      </w:r>
    </w:p>
    <w:p>
      <w:pPr>
        <w:spacing w:line="360" w:lineRule="auto"/>
        <w:ind w:firstLine="480"/>
        <w:rPr>
          <w:b/>
          <w:bCs/>
          <w:lang w:val="zh-CN"/>
        </w:rPr>
      </w:pPr>
      <w:r>
        <w:rPr>
          <w:rFonts w:hint="eastAsia"/>
          <w:b/>
          <w:bCs/>
        </w:rPr>
        <w:t>5、</w:t>
      </w:r>
      <w:r>
        <w:rPr>
          <w:b/>
          <w:bCs/>
          <w:lang w:val="zh-CN"/>
        </w:rPr>
        <w:t>铝水运输、贮存过程的影响分析</w:t>
      </w:r>
    </w:p>
    <w:p>
      <w:pPr>
        <w:pStyle w:val="7"/>
        <w:ind w:firstLine="480"/>
      </w:pPr>
      <w:r>
        <w:t>本项目</w:t>
      </w:r>
      <w:r>
        <w:rPr>
          <w:rFonts w:hint="eastAsia"/>
        </w:rPr>
        <w:t>除天然气采用管道输送外，其余</w:t>
      </w:r>
      <w:r>
        <w:t>物料</w:t>
      </w:r>
      <w:r>
        <w:rPr>
          <w:rFonts w:hint="eastAsia"/>
        </w:rPr>
        <w:t>主要</w:t>
      </w:r>
      <w:r>
        <w:t>采用公路运输，如运输车辆在运输过程中发生翻车、落河等事故，物料的洒落泄漏等都可能导致严重的环境污染事故。根据有关资料统计，在公路上各预测年危险品运输车辆的交通事故概率很小，在江河大桥上交通事故概率更小，所以因物料运输对环境造成严重影响的可能性很小。</w:t>
      </w:r>
    </w:p>
    <w:p>
      <w:pPr>
        <w:spacing w:line="360" w:lineRule="auto"/>
        <w:ind w:firstLine="480"/>
      </w:pPr>
      <w:r>
        <w:rPr>
          <w:rFonts w:hint="eastAsia"/>
        </w:rPr>
        <w:t>项目用原铝水抬包车运输过程中如发生事故，熔融的高温铝液遇水发生反应形成大量水蒸汽，体积急剧膨胀，会发生剧烈爆炸。车间熔保炉静置的高温铝液遇水发生反应形成大量水蒸汽，体积急剧膨胀，会发生剧烈爆炸。</w:t>
      </w:r>
    </w:p>
    <w:p>
      <w:pPr>
        <w:pStyle w:val="2"/>
        <w:spacing w:after="0" w:line="360" w:lineRule="auto"/>
        <w:ind w:left="0" w:leftChars="0" w:firstLine="482" w:firstLineChars="0"/>
      </w:pPr>
      <w:r>
        <w:rPr>
          <w:rFonts w:hint="eastAsia"/>
        </w:rPr>
        <w:t>因此，项目铝水抬包车运输、</w:t>
      </w:r>
      <w:r>
        <w:t>生产过程中</w:t>
      </w:r>
      <w:r>
        <w:rPr>
          <w:rFonts w:hint="eastAsia"/>
        </w:rPr>
        <w:t>需提前做好预案，严格按照规定路线行驶，本项目所在厂区生产车间距离项目原铝水供给方魏桥铝业距离较近，</w:t>
      </w:r>
      <w:r>
        <w:t>只要能够严格按照正确的操作方法进行操作，严禁水混入铝液中，铝水在贮存和生产过程中</w:t>
      </w:r>
      <w:r>
        <w:rPr>
          <w:rFonts w:hint="eastAsia"/>
        </w:rPr>
        <w:t>泄漏</w:t>
      </w:r>
      <w:r>
        <w:t>及爆炸的几率很小</w:t>
      </w:r>
      <w:r>
        <w:rPr>
          <w:rFonts w:hint="eastAsia"/>
        </w:rPr>
        <w:t>。</w:t>
      </w:r>
    </w:p>
    <w:p>
      <w:pPr>
        <w:pStyle w:val="7"/>
        <w:ind w:firstLine="482"/>
        <w:rPr>
          <w:b/>
          <w:bCs/>
        </w:rPr>
      </w:pPr>
      <w:r>
        <w:rPr>
          <w:rFonts w:hint="eastAsia"/>
          <w:b/>
          <w:bCs/>
        </w:rPr>
        <w:t>6、</w:t>
      </w:r>
      <w:r>
        <w:rPr>
          <w:rFonts w:hint="eastAsia"/>
          <w:b/>
          <w:bCs/>
          <w:lang w:val="en-US" w:eastAsia="zh-CN"/>
        </w:rPr>
        <w:t>其他</w:t>
      </w:r>
      <w:r>
        <w:rPr>
          <w:rFonts w:hint="eastAsia"/>
          <w:b/>
          <w:bCs/>
        </w:rPr>
        <w:t>事故的环境风险分析</w:t>
      </w:r>
    </w:p>
    <w:p>
      <w:pPr>
        <w:pStyle w:val="7"/>
        <w:ind w:firstLine="480"/>
      </w:pPr>
      <w:r>
        <w:rPr>
          <w:rFonts w:hint="eastAsia"/>
        </w:rPr>
        <w:t>本项目铝液采用抬包车进行运输，在运输的过程中，可能由于运输车辆故障、车辆安全性能达不到要求、驾驶人员无证驾驶、疲劳驾驶、违章驾驶、运输道路存在问题、有路障等原因造成铝液溢出，溢出铝液若遇水，熔融的高温铝液遇水发生反应形成大量水蒸汽，体积急剧膨胀，会发生剧烈爆炸。车间熔保炉静置的高温铝液遇水发生反应形成大量水蒸汽，体积急剧膨胀，会发生剧烈爆炸。因此，项目铝水抬包车运输、生产过程中需提前做好预案，严格按照规定路线行驶，由于本项目所在厂区生产车间距离项目原铝水供给方魏桥铝业距离较近，只要能够严格按照正确的操作方法进行操作，严禁水混入铝液中，铝水在贮存和生产过程中泄漏及爆炸的几率很小，其风险程度可以接受。</w:t>
      </w:r>
    </w:p>
    <w:p>
      <w:pPr>
        <w:pStyle w:val="7"/>
        <w:ind w:firstLine="480"/>
      </w:pPr>
      <w:r>
        <w:rPr>
          <w:rFonts w:hint="eastAsia"/>
        </w:rPr>
        <w:t>因此，本项目在落实安全预评价报告中已提出的安全对策措施以及提出需补充的安全对策措施建议后，生产过程中的危险、有害因素基本能够得到有效控制，其风险程度可以接受。</w:t>
      </w:r>
    </w:p>
    <w:p>
      <w:pPr>
        <w:pStyle w:val="5"/>
      </w:pPr>
      <w:bookmarkStart w:id="155" w:name="_Toc6455"/>
      <w:r>
        <w:rPr>
          <w:rFonts w:hint="eastAsia"/>
        </w:rPr>
        <w:t>7.5环境风险防范措施</w:t>
      </w:r>
      <w:bookmarkEnd w:id="155"/>
    </w:p>
    <w:p>
      <w:pPr>
        <w:pStyle w:val="7"/>
        <w:ind w:firstLine="480"/>
      </w:pPr>
      <w:r>
        <w:rPr>
          <w:rFonts w:hint="eastAsia"/>
        </w:rPr>
        <w:t>环境风险管理目标是采样最低合理可行原则管控环境风险。采取的环境风险防范措施应与社会经济技术发展水平相适应，运用科学的技术手段和管理方法，对环境风险进行有效的预防、监控、响应。</w:t>
      </w:r>
    </w:p>
    <w:p>
      <w:pPr>
        <w:pStyle w:val="8"/>
      </w:pPr>
      <w:r>
        <w:rPr>
          <w:rFonts w:hint="eastAsia"/>
        </w:rPr>
        <w:t>7.5.1大气环境风险防范措施</w:t>
      </w:r>
    </w:p>
    <w:p>
      <w:pPr>
        <w:pStyle w:val="9"/>
      </w:pPr>
      <w:r>
        <w:rPr>
          <w:rFonts w:hint="eastAsia"/>
        </w:rPr>
        <w:t>7.6.1.1天然气泄露风险防范措施</w:t>
      </w:r>
    </w:p>
    <w:p>
      <w:pPr>
        <w:pStyle w:val="7"/>
        <w:ind w:firstLine="480"/>
      </w:pPr>
      <w:r>
        <w:rPr>
          <w:rFonts w:hint="eastAsia"/>
        </w:rPr>
        <w:t>本项目天然气管道和设备发生泄漏后大量的天然气进入大气，若发生火灾、爆炸事故会相应产生大量的CO，引起周围群众的中毒。项目厂区内应设配备急救药品、急救箱、转运病人的担架和</w:t>
      </w:r>
      <w:r>
        <w:rPr>
          <w:rFonts w:hint="eastAsia"/>
          <w:lang w:eastAsia="zh-CN"/>
        </w:rPr>
        <w:t>装置</w:t>
      </w:r>
      <w:r>
        <w:rPr>
          <w:rFonts w:hint="eastAsia"/>
        </w:rPr>
        <w:t>；急救处理的设施以及应急救援通讯设备等。一旦发生重大泄漏事故时，应立即向上级领导汇报，第一时间通知事故地点周围群众迅速撤离。除此之外，评价还提出以下针对天然气泄露的风险防范措施：</w:t>
      </w:r>
    </w:p>
    <w:p>
      <w:pPr>
        <w:pStyle w:val="7"/>
        <w:ind w:firstLine="480"/>
      </w:pPr>
      <w:r>
        <w:rPr>
          <w:rFonts w:hint="eastAsia"/>
        </w:rPr>
        <w:t>1、制定应急操作规程，在规程中应说明发生火灾、爆炸、泄漏等事故时应采取的操作步骤</w:t>
      </w:r>
    </w:p>
    <w:p>
      <w:pPr>
        <w:pStyle w:val="7"/>
        <w:ind w:firstLine="480"/>
      </w:pPr>
      <w:r>
        <w:rPr>
          <w:rFonts w:hint="eastAsia"/>
        </w:rPr>
        <w:t>2、各装置均选择成熟可靠的工业技术和设备，严防“跑、冒、滴、漏”，实现天然气全过程密闭化生产，减少泄露、火灾、爆炸和中毒的可能性；</w:t>
      </w:r>
    </w:p>
    <w:p>
      <w:pPr>
        <w:pStyle w:val="7"/>
        <w:ind w:firstLine="480"/>
      </w:pPr>
      <w:r>
        <w:rPr>
          <w:rFonts w:hint="eastAsia"/>
        </w:rPr>
        <w:t>3、用天然气的工艺系统和设备均设立安全阀、爆破片等防爆泄压系统</w:t>
      </w:r>
    </w:p>
    <w:p>
      <w:pPr>
        <w:pStyle w:val="7"/>
        <w:ind w:firstLine="480"/>
      </w:pPr>
      <w:r>
        <w:rPr>
          <w:rFonts w:hint="eastAsia"/>
        </w:rPr>
        <w:t>4、生产厂房采用相应耐火等级的建筑材料，设置必须的防火门窗、防爆墙等设施，建筑物内设置便利的疏散通道</w:t>
      </w:r>
    </w:p>
    <w:p>
      <w:pPr>
        <w:pStyle w:val="7"/>
        <w:ind w:firstLine="480"/>
      </w:pPr>
      <w:r>
        <w:rPr>
          <w:rFonts w:hint="eastAsia"/>
        </w:rPr>
        <w:t>5、加强防火巡查检查：落实逐级消防安全责任制和岗位消防安全责任制，落实巡查检查制度；每月对单位进行一次防火检查并复查追踪改善，检查中发现火灾隐患，检查人员应填写防火检查记录；检查部门应将检查情况及时通知受检部门，各部门负责人应每日消防安全检查情况通知，若发现本单位存在火灾隐患，应及时整改。</w:t>
      </w:r>
    </w:p>
    <w:p>
      <w:pPr>
        <w:pStyle w:val="7"/>
        <w:ind w:firstLine="480"/>
      </w:pPr>
      <w:r>
        <w:rPr>
          <w:rFonts w:hint="eastAsia"/>
        </w:rPr>
        <w:t>6、加强安全疏散设施管理：单位应保持疏散通道、安全出口畅通，严禁占用疏散通道，严禁在安全出口或疏散通道上安装栅栏等影响疏散的障碍物；应按规范设置符合国家规定的消防安全疏散指示标志和应急照明设施；应保持防火门、消防安全疏散指示标志、应急照明、机械排烟送风、火灾事故广播等设施处于正常状态，并定期组织检查、测试、维护和保养；严禁在营业或工作期间将安全出口上锁。</w:t>
      </w:r>
    </w:p>
    <w:p>
      <w:pPr>
        <w:pStyle w:val="7"/>
        <w:ind w:firstLine="480"/>
      </w:pPr>
      <w:r>
        <w:rPr>
          <w:rFonts w:hint="eastAsia"/>
        </w:rPr>
        <w:t>7、加强消防设施、器材维护管理：每年在冬防、夏防期间定期两次对灭火器进行普查换药。派专人管理，定期巡查消防器材，包括烟、温感报警系统、消防水泵、喷淋水泵、水幕水泵、正压送风、防排烟系统及室内消火栓等，保证处于完好状态。</w:t>
      </w:r>
    </w:p>
    <w:p>
      <w:pPr>
        <w:pStyle w:val="9"/>
      </w:pPr>
      <w:r>
        <w:rPr>
          <w:rFonts w:hint="eastAsia"/>
        </w:rPr>
        <w:t>7.6.1.2液氯泄露风险防范措施</w:t>
      </w:r>
    </w:p>
    <w:p>
      <w:pPr>
        <w:pStyle w:val="7"/>
        <w:ind w:firstLine="480"/>
      </w:pPr>
      <w:r>
        <w:rPr>
          <w:rFonts w:hint="eastAsia"/>
        </w:rPr>
        <w:t>针对液氯泄露环境风险事故，评价提出以下风险防范措施：</w:t>
      </w:r>
    </w:p>
    <w:p>
      <w:pPr>
        <w:pStyle w:val="7"/>
        <w:ind w:firstLine="480"/>
      </w:pPr>
      <w:r>
        <w:rPr>
          <w:rFonts w:hint="eastAsia"/>
        </w:rPr>
        <w:t>1、项目液氯站的布置需符合《工业企业总平面设计规范》（GB50187-2012）、《建筑设计防火规范》（GB50016-2006）、《氯气安全规程》（GB11984-2008）、《液氯使用安全技术要求》（AQ3014-2008）等相关要求。</w:t>
      </w:r>
    </w:p>
    <w:p>
      <w:pPr>
        <w:pStyle w:val="7"/>
        <w:ind w:firstLine="480"/>
      </w:pPr>
      <w:r>
        <w:rPr>
          <w:rFonts w:hint="eastAsia"/>
        </w:rPr>
        <w:t>2、加强职工的安全教育和环境风险防范意识，坚持特种操作工人（如气瓶维修人员）持证上岗，增强员工的防范事故意识和自救能力。</w:t>
      </w:r>
    </w:p>
    <w:p>
      <w:pPr>
        <w:pStyle w:val="7"/>
        <w:ind w:firstLine="480"/>
      </w:pPr>
      <w:r>
        <w:rPr>
          <w:rFonts w:hint="eastAsia"/>
        </w:rPr>
        <w:t>3、严格涉氯设备和液氯钢瓶的维护保养，定期对涉氯设备、氯气报警装置、钢瓶超压报警仪、管道、仪表、阀门等进行检查和校验，用氯设备和氯气管道的法兰垫片选用耐氯垫片，降低液氯泄露事故的发生概率。</w:t>
      </w:r>
    </w:p>
    <w:p>
      <w:pPr>
        <w:pStyle w:val="7"/>
        <w:ind w:firstLine="480"/>
      </w:pPr>
      <w:r>
        <w:rPr>
          <w:rFonts w:hint="eastAsia"/>
        </w:rPr>
        <w:t>4、液氯钢瓶单独设库储存，瓶库进行全封闭，并设置氯气报警装置，库房配套抽排风系统和事故氯气吸收处理装置，确保液氯钢瓶发生泄露事故时泄露的氯气能够通过抽排风系统进入氯气吸收装置进行处理，将氯气泄漏事故大气环境风险影响降到最低。厂区安排专人负责液氯站的日常环境风险管理工作。</w:t>
      </w:r>
    </w:p>
    <w:p>
      <w:pPr>
        <w:pStyle w:val="7"/>
        <w:ind w:firstLine="480"/>
      </w:pPr>
      <w:r>
        <w:rPr>
          <w:rFonts w:hint="eastAsia"/>
        </w:rPr>
        <w:t>5、氯气站的管道、阀门及管件分别选用耐氯材质的管道、阀门及管件。</w:t>
      </w:r>
    </w:p>
    <w:p>
      <w:pPr>
        <w:pStyle w:val="7"/>
        <w:ind w:firstLine="480"/>
      </w:pPr>
      <w:r>
        <w:rPr>
          <w:rFonts w:hint="eastAsia"/>
        </w:rPr>
        <w:t>6、在液氯瓶出口设置泄压阀，防止出口压力过大发生泄漏。</w:t>
      </w:r>
    </w:p>
    <w:p>
      <w:pPr>
        <w:pStyle w:val="7"/>
        <w:ind w:firstLine="480"/>
      </w:pPr>
      <w:r>
        <w:rPr>
          <w:rFonts w:hint="eastAsia"/>
        </w:rPr>
        <w:t>7、在生产、使用、贮存氯等氯易泄漏点应设计安装有毒气体检测仪并配置报警装置。确保作业场所空气中氯气含量不超过1mg/m</w:t>
      </w:r>
      <w:r>
        <w:rPr>
          <w:rFonts w:hint="eastAsia"/>
          <w:vertAlign w:val="superscript"/>
        </w:rPr>
        <w:t>3</w:t>
      </w:r>
      <w:r>
        <w:rPr>
          <w:rFonts w:hint="eastAsia"/>
        </w:rPr>
        <w:t>。在氯气站内敷设泄漏氯气浓度报警器，并与紧急切断阀联锁，一旦发生泄漏可进行紧急切断氯气。在泄漏吸收间内设置泄氯吸收装置（吸收量不小于1000kg/h），氯气站内一旦发生泄漏可对泄漏的氯气进行吸收。</w:t>
      </w:r>
    </w:p>
    <w:p>
      <w:pPr>
        <w:pStyle w:val="7"/>
        <w:ind w:firstLine="480"/>
      </w:pPr>
      <w:r>
        <w:rPr>
          <w:rFonts w:hint="eastAsia"/>
        </w:rPr>
        <w:t>8、本项目将在氯气站内设置氯气吸收装置1套及50m</w:t>
      </w:r>
      <w:r>
        <w:rPr>
          <w:rFonts w:hint="eastAsia"/>
          <w:vertAlign w:val="superscript"/>
        </w:rPr>
        <w:t>3</w:t>
      </w:r>
      <w:r>
        <w:rPr>
          <w:rFonts w:hint="eastAsia"/>
        </w:rPr>
        <w:t>事故水池（碱液池）一座，一旦发生氯气泄露，氯气吸收装置会将泄露的氯气收集引入50m</w:t>
      </w:r>
      <w:r>
        <w:rPr>
          <w:rFonts w:hint="eastAsia"/>
          <w:vertAlign w:val="superscript"/>
        </w:rPr>
        <w:t>3</w:t>
      </w:r>
      <w:r>
        <w:rPr>
          <w:rFonts w:hint="eastAsia"/>
        </w:rPr>
        <w:t>事故水池（碱液池）进行吸收处理，防止外排至大气环境。</w:t>
      </w:r>
    </w:p>
    <w:p>
      <w:pPr>
        <w:pStyle w:val="7"/>
        <w:ind w:firstLine="480"/>
      </w:pPr>
      <w:r>
        <w:rPr>
          <w:rFonts w:hint="eastAsia"/>
        </w:rPr>
        <w:t>9、本项目将在液氯贮罐区周边设0.5m的事故围堰，围堰内有效容积约90m</w:t>
      </w:r>
      <w:r>
        <w:rPr>
          <w:rFonts w:hint="eastAsia"/>
          <w:vertAlign w:val="superscript"/>
        </w:rPr>
        <w:t>3</w:t>
      </w:r>
      <w:r>
        <w:rPr>
          <w:rFonts w:hint="eastAsia"/>
        </w:rPr>
        <w:t>，一旦发生液氯（最大泄露量0.5t，容积约0.62m³）泄漏事故，能够有效控制液氯气化面积扩大。</w:t>
      </w:r>
    </w:p>
    <w:p>
      <w:pPr>
        <w:pStyle w:val="9"/>
      </w:pPr>
      <w:r>
        <w:rPr>
          <w:rFonts w:hint="eastAsia"/>
        </w:rPr>
        <w:t>7.6.1.2液化石油气泄露风险防范措施</w:t>
      </w:r>
    </w:p>
    <w:p>
      <w:pPr>
        <w:pStyle w:val="7"/>
        <w:ind w:firstLine="480"/>
      </w:pPr>
      <w:r>
        <w:rPr>
          <w:rFonts w:hint="eastAsia"/>
        </w:rPr>
        <w:t>针对液化石油气泄露环境风险事故，评价提出以下风险防范措施：</w:t>
      </w:r>
    </w:p>
    <w:p>
      <w:pPr>
        <w:pStyle w:val="7"/>
        <w:ind w:firstLine="480"/>
      </w:pPr>
      <w:r>
        <w:rPr>
          <w:rFonts w:hint="eastAsia"/>
        </w:rPr>
        <w:t>1、制定应急操作规程，在规程中应说明发生火灾、爆炸、泄漏等事故时应采取的操作步骤</w:t>
      </w:r>
    </w:p>
    <w:p>
      <w:pPr>
        <w:pStyle w:val="7"/>
        <w:ind w:firstLine="480"/>
      </w:pPr>
      <w:r>
        <w:rPr>
          <w:rFonts w:hint="eastAsia"/>
        </w:rPr>
        <w:t>2、用液化石油气的工艺系统和设备均设立安全阀、爆破片等防爆泄压系统</w:t>
      </w:r>
    </w:p>
    <w:p>
      <w:pPr>
        <w:pStyle w:val="7"/>
        <w:ind w:firstLine="480"/>
      </w:pPr>
      <w:r>
        <w:rPr>
          <w:rFonts w:hint="eastAsia"/>
        </w:rPr>
        <w:t>3、加强职工的安全教育和环境风险防范意识，坚持特种操作工人（如气瓶维修人员）持证上岗，增强员工的防范事故意识和自救能力。</w:t>
      </w:r>
    </w:p>
    <w:p>
      <w:pPr>
        <w:pStyle w:val="7"/>
        <w:ind w:firstLine="480"/>
      </w:pPr>
      <w:r>
        <w:rPr>
          <w:rFonts w:hint="eastAsia"/>
        </w:rPr>
        <w:t>4、严格液化石油气钢瓶的维护保养，定期对涉液化石油气设备、氯气报警装置、钢瓶超压报警仪、管道、仪表、阀门等进行检查和校验。</w:t>
      </w:r>
    </w:p>
    <w:p>
      <w:pPr>
        <w:pStyle w:val="7"/>
        <w:ind w:firstLine="480"/>
      </w:pPr>
      <w:r>
        <w:rPr>
          <w:rFonts w:hint="eastAsia"/>
        </w:rPr>
        <w:t>5、生产厂房采用相应耐火等级的建筑材料，设置必须的防火门窗、防爆墙等设施，建筑物内设置便利的疏散通道</w:t>
      </w:r>
    </w:p>
    <w:p>
      <w:pPr>
        <w:pStyle w:val="7"/>
        <w:ind w:firstLine="480"/>
      </w:pPr>
      <w:r>
        <w:rPr>
          <w:rFonts w:hint="eastAsia"/>
        </w:rPr>
        <w:t>6、加强防火巡查检查：落实逐级消防安全责任制和岗位消防安全责任制，落实巡查检查制度；每月对单位进行一次防火检查并复查追踪改善，检查中发现火灾隐患，检查人员应填写防火检查记录；检查部门应将检查情况及时通知受检部门，各部门负责人应每日消防安全检查情况通知，若发现本单位存在火灾隐患，应及时整改。</w:t>
      </w:r>
    </w:p>
    <w:p>
      <w:pPr>
        <w:pStyle w:val="7"/>
        <w:ind w:firstLine="480"/>
      </w:pPr>
      <w:r>
        <w:rPr>
          <w:rFonts w:hint="eastAsia"/>
        </w:rPr>
        <w:t>7、加强安全疏散设施管理：单位应保持疏散通道、安全出口畅通，严禁占用疏散通道，严禁在安全出口或疏散通道上安装栅栏等影响疏散的障碍物；应按规范设置符合国家规定的消防安全疏散指示标志和应急照明设施；应保持防火门、消防安全疏散指示标志、应急照明、机械排烟送风、火灾事故广播等设施处于正常状态，并定期组织检查、测试、维护和保养；严禁在营业或工作期间将安全出口上锁。</w:t>
      </w:r>
    </w:p>
    <w:p>
      <w:pPr>
        <w:pStyle w:val="7"/>
        <w:ind w:firstLine="480"/>
      </w:pPr>
      <w:r>
        <w:rPr>
          <w:rFonts w:hint="eastAsia"/>
        </w:rPr>
        <w:t>8、加强消防设施、器材维护管理：每年在冬防、夏防期间定期两次对灭火器进行普查换药。派专人管理，定期巡查消防器材，包括烟、温感报警系统、消防水泵、喷淋水泵、水幕水泵、正压送风、防排烟系统及室内消火栓等，保证处于完好状态。</w:t>
      </w:r>
    </w:p>
    <w:p>
      <w:pPr>
        <w:pStyle w:val="7"/>
        <w:ind w:firstLine="480"/>
        <w:rPr>
          <w:highlight w:val="none"/>
        </w:rPr>
      </w:pPr>
      <w:r>
        <w:rPr>
          <w:rFonts w:hint="eastAsia"/>
          <w:highlight w:val="none"/>
        </w:rPr>
        <w:t>9、若项目投产运营时，处暑村尚未搬迁完成，当出现事故时，处暑村的居民要按照既定的应急预案和撤离路线进行应急和防护撤离，避免因事故造成的急性损害事件发生。</w:t>
      </w:r>
    </w:p>
    <w:p>
      <w:pPr>
        <w:pStyle w:val="8"/>
      </w:pPr>
      <w:r>
        <w:rPr>
          <w:rFonts w:hint="eastAsia"/>
        </w:rPr>
        <w:t>7.5.2事故废水环境风险防范措施</w:t>
      </w:r>
    </w:p>
    <w:p>
      <w:pPr>
        <w:pStyle w:val="7"/>
        <w:ind w:firstLine="480"/>
      </w:pPr>
      <w:r>
        <w:rPr>
          <w:rFonts w:hint="eastAsia"/>
        </w:rPr>
        <w:t>本工程涉及污染地表水体的有毒有害物质主要为液化天然气、液氯、污水等。一旦含有毒有害物质污水泄入地表水体，将不可避免的对水质造成严重影响，因此工程的污水排放应设置严格的厂区排水管网，以防止其事故情况下进入当地地表水体，并应制定相应的污水排放事故应急预案，以减轻因污水事故排放对河流造成的污染。正常工况下，生产废水输送管线是全封闭系统，输运的污水不会与地下水发生联系，如发生管道泄漏风险情况时，将会存在废水影响地下水的风险。废水收集池采取防渗措施后，正常运行时，不会产生污水泄漏事故，当施工质量不合格、防渗措施不到位，将会在运行过程中发生污水泄漏污染地下水和土壤的风险。</w:t>
      </w:r>
    </w:p>
    <w:p>
      <w:pPr>
        <w:pStyle w:val="7"/>
        <w:ind w:firstLine="480"/>
      </w:pPr>
      <w:r>
        <w:rPr>
          <w:rFonts w:hint="eastAsia"/>
        </w:rPr>
        <w:t>拟建项目厂址周围有听湖水库，发生储存泄漏风险事故时，储罐破裂泄漏，消防事故水等处置不当，有毒有害物料进入地表，可能对地表水环境以及地下水环境造成一定影响。</w:t>
      </w:r>
    </w:p>
    <w:p>
      <w:pPr>
        <w:pStyle w:val="7"/>
        <w:ind w:firstLine="480"/>
      </w:pPr>
      <w:r>
        <w:rPr>
          <w:rFonts w:hint="eastAsia"/>
        </w:rPr>
        <w:t>本项目天然气泄漏、液化石油气泄漏引起火灾时，会产生消防废水，参考中国石化建标[2006]43号《关于印发〈水体污染防控紧急措施设计导则〉的通知》，本项目消防废水量按最大消防用水量20L/s，扑救时间1h计，本工程消防废水产生量约72m</w:t>
      </w:r>
      <w:r>
        <w:rPr>
          <w:rFonts w:hint="eastAsia"/>
          <w:vertAlign w:val="superscript"/>
        </w:rPr>
        <w:t>3</w:t>
      </w:r>
      <w:r>
        <w:rPr>
          <w:rFonts w:hint="eastAsia"/>
        </w:rPr>
        <w:t>，即V</w:t>
      </w:r>
      <w:r>
        <w:rPr>
          <w:rFonts w:hint="eastAsia"/>
          <w:vertAlign w:val="subscript"/>
        </w:rPr>
        <w:t>2</w:t>
      </w:r>
      <w:r>
        <w:rPr>
          <w:rFonts w:hint="eastAsia"/>
        </w:rPr>
        <w:t>=72m</w:t>
      </w:r>
      <w:r>
        <w:rPr>
          <w:rFonts w:hint="eastAsia"/>
          <w:vertAlign w:val="superscript"/>
        </w:rPr>
        <w:t>3</w:t>
      </w:r>
      <w:r>
        <w:rPr>
          <w:rFonts w:hint="eastAsia"/>
        </w:rPr>
        <w:t>。因此，本次环评要求在厂区设置一座容积为80m³的事故水池，满足项目事故废水的收集，减小火灾事故状态产生的废水对周围环境的影响较小。项目事故状态下产生的废水排入事故池内收集，外运至有处理能力的污水处理设施处理，不外排事故状态产生的废水对周围环境的影响较小。</w:t>
      </w:r>
    </w:p>
    <w:p>
      <w:pPr>
        <w:pStyle w:val="8"/>
      </w:pPr>
      <w:r>
        <w:rPr>
          <w:rFonts w:hint="eastAsia"/>
        </w:rPr>
        <w:t>7.5.3地下水环境风险防范措施</w:t>
      </w:r>
    </w:p>
    <w:p>
      <w:pPr>
        <w:pStyle w:val="7"/>
        <w:ind w:firstLine="480"/>
      </w:pPr>
      <w:r>
        <w:rPr>
          <w:rFonts w:hint="eastAsia"/>
        </w:rPr>
        <w:t>事故池采取防渗措施后，正常运行时，不会产生污水泄漏事故，当施工质量不合格、防渗措施不到位，将会在运行过程中发生污水泄漏污染地下水和土壤的风险。</w:t>
      </w:r>
    </w:p>
    <w:p>
      <w:pPr>
        <w:pStyle w:val="7"/>
        <w:ind w:firstLine="480"/>
      </w:pPr>
      <w:r>
        <w:rPr>
          <w:rFonts w:hint="eastAsia"/>
        </w:rPr>
        <w:t xml:space="preserve">为防止生产车间、仓库贮存物料泄漏事故状态下对水环境影响，评价提出如下要求： </w:t>
      </w:r>
    </w:p>
    <w:p>
      <w:pPr>
        <w:pStyle w:val="7"/>
        <w:ind w:firstLine="480"/>
      </w:pPr>
      <w:r>
        <w:rPr>
          <w:rFonts w:hint="eastAsia"/>
        </w:rPr>
        <w:t xml:space="preserve">（1）生产车间等地面应按要求硬化，满足地基承载力及防渗要求。  </w:t>
      </w:r>
    </w:p>
    <w:p>
      <w:pPr>
        <w:pStyle w:val="7"/>
        <w:ind w:firstLine="480"/>
      </w:pPr>
      <w:r>
        <w:rPr>
          <w:rFonts w:hint="eastAsia"/>
        </w:rPr>
        <w:t>（2）厂区内的雨水管网应尽量避开有毒有害物质泄漏可能流及的地方，雨水管网的厂区检查口应全部</w:t>
      </w:r>
      <w:r>
        <w:rPr>
          <w:rFonts w:hint="eastAsia"/>
          <w:lang w:eastAsia="zh-CN"/>
        </w:rPr>
        <w:t>采用</w:t>
      </w:r>
      <w:r>
        <w:rPr>
          <w:rFonts w:hint="eastAsia"/>
        </w:rPr>
        <w:t xml:space="preserve">密闭式封盖，并尽量少设计装置区内的检查口。 </w:t>
      </w:r>
    </w:p>
    <w:p>
      <w:pPr>
        <w:pStyle w:val="7"/>
        <w:ind w:firstLine="480"/>
      </w:pPr>
      <w:r>
        <w:rPr>
          <w:rFonts w:hint="eastAsia"/>
        </w:rPr>
        <w:t>（3）天然气应设置防止泄露的安全措施，运行过程中应定期对其进行检查，发现泄漏隐患时应及时进行修复，防止泄露事故发生，地面应进行硬化，周围设置导排沟，防止泄露后扩散。</w:t>
      </w:r>
    </w:p>
    <w:p>
      <w:pPr>
        <w:pStyle w:val="7"/>
        <w:ind w:firstLine="480"/>
      </w:pPr>
      <w:r>
        <w:rPr>
          <w:rFonts w:hint="eastAsia"/>
        </w:rPr>
        <w:t>（4）事故池做好严格的防渗措施，要求防渗系统的防渗系数低于1</w:t>
      </w:r>
      <w:r>
        <w:rPr>
          <w:rFonts w:ascii="Arial" w:hAnsi="Arial" w:cs="Arial"/>
        </w:rPr>
        <w:t>×</w:t>
      </w:r>
      <w:r>
        <w:rPr>
          <w:rFonts w:hint="eastAsia"/>
        </w:rPr>
        <w:t>10</w:t>
      </w:r>
      <w:r>
        <w:rPr>
          <w:rFonts w:hint="eastAsia"/>
          <w:vertAlign w:val="superscript"/>
        </w:rPr>
        <w:t>-7</w:t>
      </w:r>
      <w:r>
        <w:rPr>
          <w:rFonts w:hint="eastAsia"/>
        </w:rPr>
        <w:t>。</w:t>
      </w:r>
    </w:p>
    <w:p>
      <w:pPr>
        <w:pStyle w:val="7"/>
        <w:ind w:firstLine="480"/>
      </w:pPr>
      <w:r>
        <w:rPr>
          <w:rFonts w:hint="eastAsia"/>
        </w:rPr>
        <w:t>采取上述措施后发生风险事故时对水环境的影响较小。</w:t>
      </w:r>
    </w:p>
    <w:p>
      <w:pPr>
        <w:pStyle w:val="8"/>
      </w:pPr>
      <w:r>
        <w:rPr>
          <w:rFonts w:hint="eastAsia"/>
        </w:rPr>
        <w:t>7.5.4环境风险应急监控及管理要求</w:t>
      </w:r>
    </w:p>
    <w:p>
      <w:pPr>
        <w:pStyle w:val="7"/>
        <w:ind w:firstLine="480"/>
      </w:pPr>
      <w:r>
        <w:rPr>
          <w:rFonts w:hint="eastAsia"/>
        </w:rPr>
        <w:t>1、信号报警系统</w:t>
      </w:r>
    </w:p>
    <w:p>
      <w:pPr>
        <w:pStyle w:val="7"/>
        <w:ind w:firstLine="480"/>
      </w:pPr>
      <w:r>
        <w:rPr>
          <w:rFonts w:hint="eastAsia"/>
        </w:rPr>
        <w:t>氯气站、泄氯吸收间的报警系统有工艺参数（压力、低重、液位）越限报警及有毒气体泄漏报警。工艺过程的所有的报警信息(过程报警、系统报警、有毒气体泄漏报警)可在PLC触摸屏上实现声光报警。</w:t>
      </w:r>
    </w:p>
    <w:p>
      <w:pPr>
        <w:pStyle w:val="7"/>
        <w:ind w:firstLine="480"/>
      </w:pPr>
      <w:r>
        <w:rPr>
          <w:rFonts w:hint="eastAsia"/>
        </w:rPr>
        <w:t>2、制订完善的安全生产责任制和安全管理规章制度及安全操作规程、 工艺规程。各项安全防护工作制度均应有人管理并认真贯彻执行。</w:t>
      </w:r>
    </w:p>
    <w:p>
      <w:pPr>
        <w:pStyle w:val="7"/>
        <w:ind w:firstLine="480"/>
      </w:pPr>
      <w:r>
        <w:rPr>
          <w:rFonts w:hint="eastAsia"/>
        </w:rPr>
        <w:t>3、企业应按《关于开展重大危险源监督管理工作的指导意见》的要求，做好安全储存、运行管理，还应根据公司实际情况和特点，编制事故应急救援预案，并定期演练。建议企业要将危险化学品品名、数量、地点、储存方式、管理人员等情 况报有关管理部门备案并向登记机构登记备案。</w:t>
      </w:r>
    </w:p>
    <w:p>
      <w:pPr>
        <w:pStyle w:val="7"/>
        <w:ind w:firstLine="480"/>
      </w:pPr>
      <w:r>
        <w:rPr>
          <w:rFonts w:hint="eastAsia"/>
        </w:rPr>
        <w:t>4、相关从业人员应经专业培训，考试合格，并取得合格证后方可上岗操作。</w:t>
      </w:r>
    </w:p>
    <w:p>
      <w:pPr>
        <w:pStyle w:val="7"/>
        <w:ind w:firstLine="480"/>
      </w:pPr>
      <w:r>
        <w:rPr>
          <w:rFonts w:hint="eastAsia"/>
        </w:rPr>
        <w:t>5、制定消防安全制度和岗位消防安全操作规程，落实各级防火安全责任制。</w:t>
      </w:r>
    </w:p>
    <w:p>
      <w:pPr>
        <w:pStyle w:val="7"/>
        <w:ind w:firstLine="480"/>
      </w:pPr>
      <w:r>
        <w:rPr>
          <w:rFonts w:hint="eastAsia"/>
        </w:rPr>
        <w:t>6、必须建立防火档案，并制定灭火和应急疏散预案。预案要切合实际，人员分工明确，措施得力，并按规定建立义务消防队，人数不少于5人。</w:t>
      </w:r>
    </w:p>
    <w:p>
      <w:pPr>
        <w:pStyle w:val="7"/>
        <w:ind w:firstLine="480"/>
      </w:pPr>
      <w:r>
        <w:rPr>
          <w:rFonts w:hint="eastAsia"/>
        </w:rPr>
        <w:t>7、企业要组织全厂职工进行每月一次消防安全教育和每季一次消防演习，以提高职工的消防安全意识和灭火技能。</w:t>
      </w:r>
    </w:p>
    <w:p>
      <w:pPr>
        <w:pStyle w:val="7"/>
        <w:ind w:firstLine="480"/>
      </w:pPr>
      <w:r>
        <w:rPr>
          <w:rFonts w:hint="eastAsia"/>
        </w:rPr>
        <w:t>8、企业应配有相应资质的技术人员，具体负责生产、贮存、运输、使用等环节的技术指导和技术处理工作，不得少于3名技术人员。</w:t>
      </w:r>
    </w:p>
    <w:p>
      <w:pPr>
        <w:pStyle w:val="7"/>
        <w:ind w:firstLine="480"/>
      </w:pPr>
      <w:r>
        <w:rPr>
          <w:rFonts w:hint="eastAsia"/>
        </w:rPr>
        <w:t>9、要设立专(兼)职防火员，每天定期对本单位进行防火巡查，及时消除火灾隐患。</w:t>
      </w:r>
    </w:p>
    <w:p>
      <w:pPr>
        <w:pStyle w:val="7"/>
        <w:ind w:firstLine="480"/>
      </w:pPr>
      <w:r>
        <w:rPr>
          <w:rFonts w:hint="eastAsia"/>
        </w:rPr>
        <w:t>10、按规定划定禁火区。如须在禁火区内动火的，要根据动火作业可能发生火灾后果的严重程度，按规定分三级审批后方能动火。</w:t>
      </w:r>
    </w:p>
    <w:p>
      <w:pPr>
        <w:pStyle w:val="7"/>
        <w:ind w:firstLine="480"/>
      </w:pPr>
      <w:r>
        <w:rPr>
          <w:rFonts w:hint="eastAsia"/>
        </w:rPr>
        <w:t>11、企业应安装火灾报警电话，任何人发现火灾时，都应当立即报警，发生火灾的单位必须立即组织力量灭火，邻近单位应当给予支援。</w:t>
      </w:r>
    </w:p>
    <w:p>
      <w:pPr>
        <w:pStyle w:val="7"/>
        <w:ind w:firstLine="480"/>
      </w:pPr>
      <w:r>
        <w:rPr>
          <w:rFonts w:hint="eastAsia"/>
        </w:rPr>
        <w:t>12、企业防火设计必须符合国家有关消防技术规范，并将设计图纸及有关资料报市公安消防大队审批后方能动工。工程竣工后企业必须持有市公安消防大队签发的《易燃易爆化学物品消防安全许可证(储存)》，方可生产、储存、使用、销售、运输易燃易爆危险物品。</w:t>
      </w:r>
    </w:p>
    <w:p>
      <w:pPr>
        <w:pStyle w:val="7"/>
        <w:ind w:firstLine="480"/>
      </w:pPr>
      <w:r>
        <w:rPr>
          <w:rFonts w:hint="eastAsia"/>
        </w:rPr>
        <w:t>13、应当对本单位的生产、储存装置每两年进行一次安全评价。安全评价报告中应对生产、储存装置存在的安全问题提出整改方案。发现生产、储存装置存在现实危险的，应当立即停止使用，予以更换或者修复，并采取相应的安全措施。 安全评价报告应当报所在地设区的市级人民政府负责危险化学品安全监督管理综合工作的部门备案。</w:t>
      </w:r>
    </w:p>
    <w:p>
      <w:pPr>
        <w:pStyle w:val="7"/>
        <w:ind w:firstLine="480"/>
      </w:pPr>
      <w:r>
        <w:rPr>
          <w:rFonts w:hint="eastAsia"/>
        </w:rPr>
        <w:t>14、考虑事故触发具有不确定性，企业应将厂内环境风险防控系统纳入砚山工业园区环境风险防控体系，明确风险防控设施、管理的衔接要求。针对极端事故风险防控及应急处置，企业结合砚山工业园区环境风险防控体系统筹考虑，按照分级响应要求启动园区环境风险防范措施，实现厂内与园区环境风险防控设施及管理有效联动，有效防控环境风险。</w:t>
      </w:r>
    </w:p>
    <w:p>
      <w:pPr>
        <w:pStyle w:val="8"/>
      </w:pPr>
      <w:r>
        <w:rPr>
          <w:rFonts w:hint="eastAsia"/>
        </w:rPr>
        <w:t>7.5.5铝液运输、生产中风险防范</w:t>
      </w:r>
    </w:p>
    <w:p>
      <w:pPr>
        <w:pStyle w:val="7"/>
        <w:ind w:firstLine="480"/>
      </w:pPr>
      <w:r>
        <w:rPr>
          <w:rFonts w:hint="eastAsia"/>
        </w:rPr>
        <w:t>1、铝液运输过程遵循以下要求：</w:t>
      </w:r>
    </w:p>
    <w:p>
      <w:pPr>
        <w:pStyle w:val="7"/>
        <w:ind w:firstLine="480"/>
      </w:pPr>
      <w:r>
        <w:rPr>
          <w:rFonts w:hint="eastAsia"/>
        </w:rPr>
        <w:t>（1）运输专用车辆技术性能符合国家标准《营运车辆综合性能要求和检验方法》（GB18565）的要求，车辆外廓尺寸、轴荷和质量符合国家标准《道路车辆外廓尺寸、轴荷和质量限值》（GB1589）的要求，车辆技术等级达到行业标准《营运车辆技术等级划分和评定要求》（JT/T198）规定的一级技术等级；</w:t>
      </w:r>
    </w:p>
    <w:p>
      <w:pPr>
        <w:pStyle w:val="7"/>
        <w:ind w:firstLine="480"/>
      </w:pPr>
      <w:r>
        <w:rPr>
          <w:rFonts w:hint="eastAsia"/>
        </w:rPr>
        <w:t>（2）运输车辆配备有相适应的安全防护、环境保护和消防设施设备；</w:t>
      </w:r>
    </w:p>
    <w:p>
      <w:pPr>
        <w:pStyle w:val="7"/>
        <w:ind w:firstLine="480"/>
      </w:pPr>
      <w:r>
        <w:rPr>
          <w:rFonts w:hint="eastAsia"/>
        </w:rPr>
        <w:t>（3）车辆安装行驶记录仪或定位系统；</w:t>
      </w:r>
    </w:p>
    <w:p>
      <w:pPr>
        <w:pStyle w:val="7"/>
        <w:ind w:firstLine="480"/>
      </w:pPr>
      <w:r>
        <w:rPr>
          <w:rFonts w:hint="eastAsia"/>
        </w:rPr>
        <w:t>（4）罐式专用车辆的罐体应当经质量检验部门检验合格。运输罐体容积不得超过20立方米。</w:t>
      </w:r>
    </w:p>
    <w:p>
      <w:pPr>
        <w:pStyle w:val="7"/>
        <w:ind w:firstLine="480"/>
      </w:pPr>
      <w:r>
        <w:rPr>
          <w:rFonts w:hint="eastAsia"/>
        </w:rPr>
        <w:t>2、铝液生产过程中风险防范措施：</w:t>
      </w:r>
    </w:p>
    <w:p>
      <w:pPr>
        <w:pStyle w:val="7"/>
        <w:ind w:firstLine="480"/>
      </w:pPr>
      <w:r>
        <w:rPr>
          <w:rFonts w:hint="eastAsia"/>
        </w:rPr>
        <w:t>（1）工具、辅具未经预热干燥，严禁接触铝液，否则会引起铝液爆炸；</w:t>
      </w:r>
    </w:p>
    <w:p>
      <w:pPr>
        <w:pStyle w:val="7"/>
        <w:ind w:firstLine="480"/>
      </w:pPr>
      <w:r>
        <w:rPr>
          <w:rFonts w:hint="eastAsia"/>
        </w:rPr>
        <w:t>（2）任何对铝液操作的员工，都必须穿戴好劳动保护用品；</w:t>
      </w:r>
    </w:p>
    <w:p>
      <w:pPr>
        <w:pStyle w:val="7"/>
        <w:ind w:firstLine="480"/>
      </w:pPr>
      <w:r>
        <w:rPr>
          <w:rFonts w:hint="eastAsia"/>
        </w:rPr>
        <w:t>（3）水溅入铝液可能引起铝液飞溅和爆炸、油溅入铝液会引起火灾；高温铝液管理不当，会造成设备和人身伤亡；</w:t>
      </w:r>
    </w:p>
    <w:p>
      <w:pPr>
        <w:pStyle w:val="7"/>
        <w:ind w:firstLine="480"/>
      </w:pPr>
      <w:r>
        <w:rPr>
          <w:rFonts w:hint="eastAsia"/>
        </w:rPr>
        <w:t>（4）在车间现场指定地点存放干砂，以便铝液泄漏时备用；</w:t>
      </w:r>
    </w:p>
    <w:p>
      <w:pPr>
        <w:pStyle w:val="7"/>
        <w:ind w:firstLine="480"/>
      </w:pPr>
      <w:r>
        <w:rPr>
          <w:rFonts w:hint="eastAsia"/>
        </w:rPr>
        <w:t>（5）制作液位探知棒位置监测工装（图），并每班点检液位探知棒位置及接线，确保液位探知棒安全有效；</w:t>
      </w:r>
    </w:p>
    <w:p>
      <w:pPr>
        <w:pStyle w:val="7"/>
        <w:ind w:firstLine="480"/>
      </w:pPr>
      <w:r>
        <w:rPr>
          <w:rFonts w:hint="eastAsia"/>
        </w:rPr>
        <w:t>（6）设备工作时，严禁操作工随意拔出液位探知棒，液位探知棒不及时放入炉内规定位置会造成铝液液位失控；</w:t>
      </w:r>
    </w:p>
    <w:p>
      <w:pPr>
        <w:pStyle w:val="7"/>
        <w:ind w:firstLine="480"/>
      </w:pPr>
      <w:r>
        <w:rPr>
          <w:rFonts w:hint="eastAsia"/>
        </w:rPr>
        <w:t>（7）发现保温区铝液液位高度异常，有铝液溢出隐患时，立即通知设备主管，同时关闭熔化烧嘴，并准备周转包出铝降低液位．</w:t>
      </w:r>
    </w:p>
    <w:p>
      <w:pPr>
        <w:pStyle w:val="7"/>
        <w:ind w:firstLine="480"/>
      </w:pPr>
      <w:r>
        <w:rPr>
          <w:rFonts w:hint="eastAsia"/>
        </w:rPr>
        <w:t>（8）发现保温区炉门口崩缺，及时汇报主管处理；</w:t>
      </w:r>
    </w:p>
    <w:p>
      <w:pPr>
        <w:pStyle w:val="7"/>
        <w:ind w:firstLine="480"/>
      </w:pPr>
      <w:r>
        <w:rPr>
          <w:rFonts w:hint="eastAsia"/>
        </w:rPr>
        <w:t>（9）出渣室放置渣车，以备少量铝液溢出时接料。</w:t>
      </w:r>
    </w:p>
    <w:p>
      <w:pPr>
        <w:pStyle w:val="8"/>
      </w:pPr>
      <w:r>
        <w:rPr>
          <w:rFonts w:hint="eastAsia"/>
        </w:rPr>
        <w:t>7.5.6突发环境事件应急预案编制要求</w:t>
      </w:r>
    </w:p>
    <w:p>
      <w:pPr>
        <w:pStyle w:val="7"/>
        <w:ind w:firstLine="480"/>
      </w:pPr>
      <w:r>
        <w:rPr>
          <w:rFonts w:hint="eastAsia"/>
        </w:rPr>
        <w:t>制定风险事故应急预案的目的是为了在发生突发事故时，能以最快的速度发挥最大的效能，</w:t>
      </w:r>
      <w:r>
        <w:rPr>
          <w:rFonts w:hint="eastAsia"/>
          <w:lang w:eastAsia="zh-CN"/>
        </w:rPr>
        <w:t>有序地实施</w:t>
      </w:r>
      <w:r>
        <w:rPr>
          <w:rFonts w:hint="eastAsia"/>
        </w:rPr>
        <w:t>救援，尽快控制事态的发展，降低事故造成的危害，减少事故造成的损失。</w:t>
      </w:r>
    </w:p>
    <w:p>
      <w:pPr>
        <w:pStyle w:val="7"/>
        <w:ind w:firstLine="480"/>
      </w:pPr>
      <w:r>
        <w:rPr>
          <w:rFonts w:hint="eastAsia"/>
        </w:rPr>
        <w:t>本风险评价专章根据《建设项目环境风险评价技术导则》编制风险事故应急预案，供厂方参考。建议企业编制专门的应急预案报告，并到环保局进行备案。风险事故应急预案的内容主要有以下几点：</w:t>
      </w:r>
    </w:p>
    <w:p>
      <w:pPr>
        <w:pStyle w:val="31"/>
      </w:pPr>
      <w:r>
        <w:rPr>
          <w:rFonts w:hint="eastAsia"/>
        </w:rPr>
        <w:t>表7.5-1  企业突发事故应急预案</w:t>
      </w:r>
    </w:p>
    <w:tbl>
      <w:tblPr>
        <w:tblStyle w:val="27"/>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2071"/>
        <w:gridCol w:w="6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序号</w:t>
            </w:r>
          </w:p>
        </w:tc>
        <w:tc>
          <w:tcPr>
            <w:tcW w:w="2071" w:type="dxa"/>
            <w:tcBorders>
              <w:tl2br w:val="nil"/>
              <w:tr2bl w:val="nil"/>
            </w:tcBorders>
            <w:vAlign w:val="center"/>
          </w:tcPr>
          <w:p>
            <w:pPr>
              <w:pStyle w:val="33"/>
            </w:pPr>
            <w:r>
              <w:t>项目</w:t>
            </w:r>
          </w:p>
        </w:tc>
        <w:tc>
          <w:tcPr>
            <w:tcW w:w="6013" w:type="dxa"/>
            <w:tcBorders>
              <w:tl2br w:val="nil"/>
              <w:tr2bl w:val="nil"/>
            </w:tcBorders>
            <w:vAlign w:val="center"/>
          </w:tcPr>
          <w:p>
            <w:pPr>
              <w:pStyle w:val="33"/>
            </w:pPr>
            <w: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1</w:t>
            </w:r>
          </w:p>
        </w:tc>
        <w:tc>
          <w:tcPr>
            <w:tcW w:w="2071" w:type="dxa"/>
            <w:tcBorders>
              <w:tl2br w:val="nil"/>
              <w:tr2bl w:val="nil"/>
            </w:tcBorders>
            <w:vAlign w:val="center"/>
          </w:tcPr>
          <w:p>
            <w:pPr>
              <w:pStyle w:val="33"/>
            </w:pPr>
            <w:r>
              <w:t>应急计划区</w:t>
            </w:r>
          </w:p>
        </w:tc>
        <w:tc>
          <w:tcPr>
            <w:tcW w:w="6013" w:type="dxa"/>
            <w:tcBorders>
              <w:tl2br w:val="nil"/>
              <w:tr2bl w:val="nil"/>
            </w:tcBorders>
          </w:tcPr>
          <w:p>
            <w:pPr>
              <w:pStyle w:val="33"/>
            </w:pPr>
            <w:r>
              <w:t xml:space="preserve"> 生产区、仓库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2</w:t>
            </w:r>
          </w:p>
        </w:tc>
        <w:tc>
          <w:tcPr>
            <w:tcW w:w="2071" w:type="dxa"/>
            <w:tcBorders>
              <w:tl2br w:val="nil"/>
              <w:tr2bl w:val="nil"/>
            </w:tcBorders>
            <w:vAlign w:val="center"/>
          </w:tcPr>
          <w:p>
            <w:pPr>
              <w:pStyle w:val="33"/>
            </w:pPr>
            <w:r>
              <w:t>应急组织机构、人员</w:t>
            </w:r>
          </w:p>
        </w:tc>
        <w:tc>
          <w:tcPr>
            <w:tcW w:w="6013" w:type="dxa"/>
            <w:tcBorders>
              <w:tl2br w:val="nil"/>
              <w:tr2bl w:val="nil"/>
            </w:tcBorders>
          </w:tcPr>
          <w:p>
            <w:pPr>
              <w:pStyle w:val="33"/>
            </w:pPr>
            <w:r>
              <w:t>总指挥部——负责现场全面指挥</w:t>
            </w:r>
          </w:p>
          <w:p>
            <w:pPr>
              <w:pStyle w:val="33"/>
            </w:pPr>
            <w:r>
              <w:t>专业组——负责事故控制、救援、善后处理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3</w:t>
            </w:r>
          </w:p>
        </w:tc>
        <w:tc>
          <w:tcPr>
            <w:tcW w:w="2071" w:type="dxa"/>
            <w:tcBorders>
              <w:tl2br w:val="nil"/>
              <w:tr2bl w:val="nil"/>
            </w:tcBorders>
            <w:vAlign w:val="center"/>
          </w:tcPr>
          <w:p>
            <w:pPr>
              <w:pStyle w:val="33"/>
            </w:pPr>
            <w:r>
              <w:t>预案分级响应条件</w:t>
            </w:r>
          </w:p>
        </w:tc>
        <w:tc>
          <w:tcPr>
            <w:tcW w:w="6013" w:type="dxa"/>
            <w:tcBorders>
              <w:tl2br w:val="nil"/>
              <w:tr2bl w:val="nil"/>
            </w:tcBorders>
          </w:tcPr>
          <w:p>
            <w:pPr>
              <w:pStyle w:val="33"/>
            </w:pPr>
            <w:r>
              <w:t>规定事故的级别及相应的应急分类相应程序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4</w:t>
            </w:r>
          </w:p>
        </w:tc>
        <w:tc>
          <w:tcPr>
            <w:tcW w:w="2071" w:type="dxa"/>
            <w:tcBorders>
              <w:tl2br w:val="nil"/>
              <w:tr2bl w:val="nil"/>
            </w:tcBorders>
            <w:vAlign w:val="center"/>
          </w:tcPr>
          <w:p>
            <w:pPr>
              <w:pStyle w:val="33"/>
            </w:pPr>
            <w:r>
              <w:t>应急救援保障</w:t>
            </w:r>
          </w:p>
        </w:tc>
        <w:tc>
          <w:tcPr>
            <w:tcW w:w="6013" w:type="dxa"/>
            <w:tcBorders>
              <w:tl2br w:val="nil"/>
              <w:tr2bl w:val="nil"/>
            </w:tcBorders>
          </w:tcPr>
          <w:p>
            <w:pPr>
              <w:pStyle w:val="33"/>
            </w:pPr>
            <w:r>
              <w:t>后勤保障组负责供应消防器材、抢险抢修工具及伤亡人员的有关必需品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5</w:t>
            </w:r>
          </w:p>
        </w:tc>
        <w:tc>
          <w:tcPr>
            <w:tcW w:w="2071" w:type="dxa"/>
            <w:tcBorders>
              <w:tl2br w:val="nil"/>
              <w:tr2bl w:val="nil"/>
            </w:tcBorders>
            <w:vAlign w:val="center"/>
          </w:tcPr>
          <w:p>
            <w:pPr>
              <w:pStyle w:val="33"/>
            </w:pPr>
            <w:r>
              <w:t>报警、通讯联络方式</w:t>
            </w:r>
          </w:p>
        </w:tc>
        <w:tc>
          <w:tcPr>
            <w:tcW w:w="6013" w:type="dxa"/>
            <w:tcBorders>
              <w:tl2br w:val="nil"/>
              <w:tr2bl w:val="nil"/>
            </w:tcBorders>
            <w:vAlign w:val="center"/>
          </w:tcPr>
          <w:p>
            <w:pPr>
              <w:pStyle w:val="33"/>
            </w:pPr>
            <w:r>
              <w:t>规定应急状态下的通讯方式、通知方式和交通保障、管制措施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6</w:t>
            </w:r>
          </w:p>
        </w:tc>
        <w:tc>
          <w:tcPr>
            <w:tcW w:w="2071" w:type="dxa"/>
            <w:tcBorders>
              <w:tl2br w:val="nil"/>
              <w:tr2bl w:val="nil"/>
            </w:tcBorders>
            <w:vAlign w:val="center"/>
          </w:tcPr>
          <w:p>
            <w:pPr>
              <w:pStyle w:val="33"/>
            </w:pPr>
            <w:r>
              <w:t>应急环境监测、抢险、救援及控制措施</w:t>
            </w:r>
          </w:p>
        </w:tc>
        <w:tc>
          <w:tcPr>
            <w:tcW w:w="6013" w:type="dxa"/>
            <w:tcBorders>
              <w:tl2br w:val="nil"/>
              <w:tr2bl w:val="nil"/>
            </w:tcBorders>
          </w:tcPr>
          <w:p>
            <w:pPr>
              <w:pStyle w:val="33"/>
            </w:pPr>
            <w:r>
              <w:t>环保组协助专业人员对事故现场进行侦察监测，对事故性质、参数与后果进行评估，为指挥部门提供决策依据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7</w:t>
            </w:r>
          </w:p>
        </w:tc>
        <w:tc>
          <w:tcPr>
            <w:tcW w:w="2071" w:type="dxa"/>
            <w:tcBorders>
              <w:tl2br w:val="nil"/>
              <w:tr2bl w:val="nil"/>
            </w:tcBorders>
            <w:vAlign w:val="center"/>
          </w:tcPr>
          <w:p>
            <w:pPr>
              <w:pStyle w:val="33"/>
            </w:pPr>
            <w:r>
              <w:t>应急检测、防护措施，清除泄漏措施和器材</w:t>
            </w:r>
          </w:p>
        </w:tc>
        <w:tc>
          <w:tcPr>
            <w:tcW w:w="6013" w:type="dxa"/>
            <w:tcBorders>
              <w:tl2br w:val="nil"/>
              <w:tr2bl w:val="nil"/>
            </w:tcBorders>
            <w:vAlign w:val="center"/>
          </w:tcPr>
          <w:p>
            <w:pPr>
              <w:pStyle w:val="33"/>
            </w:pPr>
            <w:r>
              <w:t>事故现场：控制事故、防止扩大、蔓延及连锁反应、消除现场泄漏物、降低危害；相应的设施器材配备</w:t>
            </w:r>
          </w:p>
          <w:p>
            <w:pPr>
              <w:pStyle w:val="33"/>
            </w:pPr>
            <w:r>
              <w:t>邻近区域：控制火灾、有毒区域，控制和消除污染措施及相应设备配备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8</w:t>
            </w:r>
          </w:p>
        </w:tc>
        <w:tc>
          <w:tcPr>
            <w:tcW w:w="2071" w:type="dxa"/>
            <w:tcBorders>
              <w:tl2br w:val="nil"/>
              <w:tr2bl w:val="nil"/>
            </w:tcBorders>
            <w:vAlign w:val="center"/>
          </w:tcPr>
          <w:p>
            <w:pPr>
              <w:pStyle w:val="33"/>
            </w:pPr>
            <w:r>
              <w:t>人员紧急撤离、疏散，应急剂量控制、撤离组织计划</w:t>
            </w:r>
          </w:p>
        </w:tc>
        <w:tc>
          <w:tcPr>
            <w:tcW w:w="6013" w:type="dxa"/>
            <w:tcBorders>
              <w:tl2br w:val="nil"/>
              <w:tr2bl w:val="nil"/>
            </w:tcBorders>
          </w:tcPr>
          <w:p>
            <w:pPr>
              <w:pStyle w:val="33"/>
            </w:pPr>
            <w:r>
              <w:t>事故现场：事故处理人员对毒物的应急剂量控制规定，现场及邻近装置人员撤离组织计划及救护</w:t>
            </w:r>
          </w:p>
          <w:p>
            <w:pPr>
              <w:pStyle w:val="33"/>
            </w:pPr>
            <w:r>
              <w:t>工厂邻近区：受事故影响的邻近区域人员及公众对毒物应急剂量控制规定，撤离组织及救护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9</w:t>
            </w:r>
          </w:p>
        </w:tc>
        <w:tc>
          <w:tcPr>
            <w:tcW w:w="2071" w:type="dxa"/>
            <w:tcBorders>
              <w:tl2br w:val="nil"/>
              <w:tr2bl w:val="nil"/>
            </w:tcBorders>
            <w:vAlign w:val="center"/>
          </w:tcPr>
          <w:p>
            <w:pPr>
              <w:pStyle w:val="33"/>
            </w:pPr>
            <w:r>
              <w:t>事故应急救援关闭程序与恢复措施</w:t>
            </w:r>
          </w:p>
        </w:tc>
        <w:tc>
          <w:tcPr>
            <w:tcW w:w="6013" w:type="dxa"/>
            <w:tcBorders>
              <w:tl2br w:val="nil"/>
              <w:tr2bl w:val="nil"/>
            </w:tcBorders>
          </w:tcPr>
          <w:p>
            <w:pPr>
              <w:pStyle w:val="33"/>
            </w:pPr>
            <w:r>
              <w:t>规定应急状态终止程序：事故现场善后处理，恢复措施，邻近区域解除事故警戒及善后恢复措施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10</w:t>
            </w:r>
          </w:p>
        </w:tc>
        <w:tc>
          <w:tcPr>
            <w:tcW w:w="2071" w:type="dxa"/>
            <w:tcBorders>
              <w:tl2br w:val="nil"/>
              <w:tr2bl w:val="nil"/>
            </w:tcBorders>
            <w:vAlign w:val="center"/>
          </w:tcPr>
          <w:p>
            <w:pPr>
              <w:pStyle w:val="33"/>
            </w:pPr>
            <w:r>
              <w:t>应急培训计划及演练</w:t>
            </w:r>
          </w:p>
        </w:tc>
        <w:tc>
          <w:tcPr>
            <w:tcW w:w="6013" w:type="dxa"/>
            <w:tcBorders>
              <w:tl2br w:val="nil"/>
              <w:tr2bl w:val="nil"/>
            </w:tcBorders>
            <w:vAlign w:val="center"/>
          </w:tcPr>
          <w:p>
            <w:pPr>
              <w:pStyle w:val="33"/>
            </w:pPr>
            <w:r>
              <w:t>应急计划制定后，平时安排人员培训及演练</w:t>
            </w:r>
            <w:r>
              <w:rPr>
                <w:rFonts w:hint="eastAsia"/>
              </w:rPr>
              <w:t>，</w:t>
            </w:r>
            <w:r>
              <w:t>每年演练</w:t>
            </w:r>
            <w:r>
              <w:rPr>
                <w:rFonts w:hint="eastAsia"/>
              </w:rPr>
              <w:t>2次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tcBorders>
              <w:tl2br w:val="nil"/>
              <w:tr2bl w:val="nil"/>
            </w:tcBorders>
            <w:vAlign w:val="center"/>
          </w:tcPr>
          <w:p>
            <w:pPr>
              <w:pStyle w:val="33"/>
            </w:pPr>
            <w:r>
              <w:t>11</w:t>
            </w:r>
          </w:p>
        </w:tc>
        <w:tc>
          <w:tcPr>
            <w:tcW w:w="2071" w:type="dxa"/>
            <w:tcBorders>
              <w:tl2br w:val="nil"/>
              <w:tr2bl w:val="nil"/>
            </w:tcBorders>
            <w:vAlign w:val="center"/>
          </w:tcPr>
          <w:p>
            <w:pPr>
              <w:pStyle w:val="33"/>
            </w:pPr>
            <w:r>
              <w:t>公众教育和信息</w:t>
            </w:r>
          </w:p>
        </w:tc>
        <w:tc>
          <w:tcPr>
            <w:tcW w:w="6013" w:type="dxa"/>
            <w:tcBorders>
              <w:tl2br w:val="nil"/>
              <w:tr2bl w:val="nil"/>
            </w:tcBorders>
          </w:tcPr>
          <w:p>
            <w:pPr>
              <w:pStyle w:val="33"/>
            </w:pPr>
            <w:r>
              <w:t>对工厂邻近地区开展公众教育、培训与发布相关信息</w:t>
            </w:r>
          </w:p>
        </w:tc>
      </w:tr>
    </w:tbl>
    <w:p>
      <w:pPr>
        <w:pStyle w:val="7"/>
        <w:ind w:firstLine="480"/>
      </w:pPr>
      <w:r>
        <w:t>以下根据本项目的生产特点，对该项目环境风险事故应急预案内容做具体叙述。</w:t>
      </w:r>
    </w:p>
    <w:p>
      <w:pPr>
        <w:pStyle w:val="9"/>
      </w:pPr>
      <w:r>
        <w:rPr>
          <w:rFonts w:hint="eastAsia"/>
        </w:rPr>
        <w:t>7.5.6.1应急组织机构</w:t>
      </w:r>
    </w:p>
    <w:p>
      <w:pPr>
        <w:pStyle w:val="7"/>
        <w:ind w:firstLine="480"/>
      </w:pPr>
      <w:r>
        <w:rPr>
          <w:rFonts w:hint="eastAsia"/>
        </w:rPr>
        <w:t>公司成立环境突发事件应急救援指挥部：应急救援指挥部办公室设在项目区办公楼，日常工作由环保安全处、生产部负责</w:t>
      </w:r>
      <w:r>
        <w:rPr>
          <w:rFonts w:hint="eastAsia"/>
          <w:lang w:eastAsia="zh-CN"/>
        </w:rPr>
        <w:t>监管</w:t>
      </w:r>
      <w:r>
        <w:rPr>
          <w:rFonts w:hint="eastAsia"/>
        </w:rPr>
        <w:t>。当发生火灾等重大事故时，以公司中层及以上领导干部为基础，组成应急指挥部，企业最高管理者任总指挥，负责全公司应急救援工作的组织和指挥。指挥部下设抢险救援组、消防队、安全警戒组、环保监测组、后勤保障组、医疗卫生组、通讯联络组。</w:t>
      </w:r>
    </w:p>
    <w:p>
      <w:pPr>
        <w:pStyle w:val="9"/>
      </w:pPr>
      <w:r>
        <w:rPr>
          <w:rFonts w:hint="eastAsia"/>
        </w:rPr>
        <w:t>7.5.6.2应急组织机构的主要职责</w:t>
      </w:r>
    </w:p>
    <w:p>
      <w:pPr>
        <w:pStyle w:val="7"/>
        <w:ind w:firstLine="480"/>
      </w:pPr>
      <w:r>
        <w:rPr>
          <w:rFonts w:hint="eastAsia"/>
        </w:rPr>
        <w:t>1、应急救援指挥部的职责</w:t>
      </w:r>
    </w:p>
    <w:p>
      <w:pPr>
        <w:pStyle w:val="7"/>
        <w:ind w:firstLine="480"/>
      </w:pPr>
      <w:r>
        <w:rPr>
          <w:rFonts w:hint="eastAsia"/>
        </w:rPr>
        <w:t>（1）贯彻执行有关安全生产方面的法律法规；</w:t>
      </w:r>
    </w:p>
    <w:p>
      <w:pPr>
        <w:pStyle w:val="7"/>
        <w:ind w:firstLine="480"/>
      </w:pPr>
      <w:r>
        <w:rPr>
          <w:rFonts w:hint="eastAsia"/>
        </w:rPr>
        <w:t>（2）制定和实施应急救援方面的规章制度；</w:t>
      </w:r>
    </w:p>
    <w:p>
      <w:pPr>
        <w:pStyle w:val="7"/>
        <w:ind w:firstLine="480"/>
      </w:pPr>
      <w:r>
        <w:rPr>
          <w:rFonts w:hint="eastAsia"/>
        </w:rPr>
        <w:t>（3）负责应急救援的指挥决策工作，在接到事故报警后，迅速研究、拟定救援方案，并予以组织、协调各方面的救援力量实施紧急救助，防止事故扩大，尽量避免或减少人员伤亡和经济损失；</w:t>
      </w:r>
    </w:p>
    <w:p>
      <w:pPr>
        <w:pStyle w:val="7"/>
        <w:ind w:firstLine="480"/>
      </w:pPr>
      <w:r>
        <w:rPr>
          <w:rFonts w:hint="eastAsia"/>
        </w:rPr>
        <w:t>（4）负责指挥现场救援工作，并及时向县政府报告救援工作的进展情况；</w:t>
      </w:r>
    </w:p>
    <w:p>
      <w:pPr>
        <w:pStyle w:val="7"/>
        <w:ind w:firstLine="480"/>
      </w:pPr>
      <w:r>
        <w:rPr>
          <w:rFonts w:hint="eastAsia"/>
        </w:rPr>
        <w:t>（5）根据救援工作的难易程度，协调现场救援力量，并决定是否向上级有关救援部门发出请求援助支持；</w:t>
      </w:r>
    </w:p>
    <w:p>
      <w:pPr>
        <w:pStyle w:val="7"/>
        <w:ind w:firstLine="480"/>
      </w:pPr>
      <w:r>
        <w:rPr>
          <w:rFonts w:hint="eastAsia"/>
        </w:rPr>
        <w:t>（6）负责应急救援、协调指挥现场救援力量的调配；</w:t>
      </w:r>
    </w:p>
    <w:p>
      <w:pPr>
        <w:pStyle w:val="7"/>
        <w:ind w:firstLine="480"/>
      </w:pPr>
      <w:r>
        <w:rPr>
          <w:rFonts w:hint="eastAsia"/>
        </w:rPr>
        <w:t>（7）负责应急救援工作的后勤保障工作。</w:t>
      </w:r>
    </w:p>
    <w:p>
      <w:pPr>
        <w:pStyle w:val="7"/>
        <w:ind w:firstLine="480"/>
      </w:pPr>
      <w:r>
        <w:rPr>
          <w:rFonts w:hint="eastAsia"/>
        </w:rPr>
        <w:t>（8）负责应急救援情况的总结、上报及相关处理事宜。</w:t>
      </w:r>
    </w:p>
    <w:p>
      <w:pPr>
        <w:pStyle w:val="7"/>
        <w:ind w:firstLine="480"/>
      </w:pPr>
      <w:r>
        <w:rPr>
          <w:rFonts w:hint="eastAsia"/>
        </w:rPr>
        <w:t>2、总指挥的职责</w:t>
      </w:r>
    </w:p>
    <w:p>
      <w:pPr>
        <w:pStyle w:val="7"/>
        <w:ind w:firstLine="480"/>
      </w:pPr>
      <w:r>
        <w:rPr>
          <w:rFonts w:hint="eastAsia"/>
        </w:rPr>
        <w:t>（1）领导应急救援指挥部的工作，当发生重、特大事故后，总经理必须立即赶到现场，组织抢救工作，并按有关规定及时上报。在总经理未到前，由值班领导负责指挥。</w:t>
      </w:r>
    </w:p>
    <w:p>
      <w:pPr>
        <w:pStyle w:val="7"/>
        <w:ind w:firstLine="480"/>
      </w:pPr>
      <w:r>
        <w:rPr>
          <w:rFonts w:hint="eastAsia"/>
        </w:rPr>
        <w:t>（2）负责应急救援预案的审核批准工作；</w:t>
      </w:r>
    </w:p>
    <w:p>
      <w:pPr>
        <w:pStyle w:val="7"/>
        <w:ind w:firstLine="480"/>
      </w:pPr>
      <w:r>
        <w:rPr>
          <w:rFonts w:hint="eastAsia"/>
        </w:rPr>
        <w:t>（3）负责对外有关方面的协调工作。</w:t>
      </w:r>
    </w:p>
    <w:p>
      <w:pPr>
        <w:pStyle w:val="7"/>
        <w:ind w:firstLine="480"/>
      </w:pPr>
      <w:r>
        <w:rPr>
          <w:rFonts w:hint="eastAsia"/>
        </w:rPr>
        <w:t>3、副总指挥的职责</w:t>
      </w:r>
    </w:p>
    <w:p>
      <w:pPr>
        <w:pStyle w:val="7"/>
        <w:ind w:firstLine="480"/>
      </w:pPr>
      <w:r>
        <w:rPr>
          <w:rFonts w:hint="eastAsia"/>
        </w:rPr>
        <w:t>（1）在总指挥的领导下开展工作，协助总指挥做好应急救援工作。负责组织为处理事故所必需的工人待命，及时调集救灾所必需的设备材料，签发抢救事故用“进入事故现场许可证”；</w:t>
      </w:r>
    </w:p>
    <w:p>
      <w:pPr>
        <w:pStyle w:val="7"/>
        <w:ind w:firstLine="480"/>
      </w:pPr>
      <w:r>
        <w:rPr>
          <w:rFonts w:hint="eastAsia"/>
        </w:rPr>
        <w:t>（2）组织有关人员拟定应急救援方案；</w:t>
      </w:r>
    </w:p>
    <w:p>
      <w:pPr>
        <w:pStyle w:val="7"/>
        <w:ind w:firstLine="480"/>
      </w:pPr>
      <w:r>
        <w:rPr>
          <w:rFonts w:hint="eastAsia"/>
        </w:rPr>
        <w:t>（3）根据总指挥授权，代行总指挥权力。</w:t>
      </w:r>
    </w:p>
    <w:p>
      <w:pPr>
        <w:pStyle w:val="7"/>
        <w:ind w:firstLine="480"/>
      </w:pPr>
      <w:r>
        <w:rPr>
          <w:rFonts w:hint="eastAsia"/>
        </w:rPr>
        <w:t>4、应急救援指挥部下设各小组的职责</w:t>
      </w:r>
    </w:p>
    <w:p>
      <w:pPr>
        <w:pStyle w:val="7"/>
        <w:ind w:firstLine="480"/>
      </w:pPr>
      <w:r>
        <w:rPr>
          <w:rFonts w:hint="eastAsia"/>
        </w:rPr>
        <w:t>（1）抢险救援组：具体负责实施指挥部制定的抢险救灾方案和安全技术措施。</w:t>
      </w:r>
    </w:p>
    <w:p>
      <w:pPr>
        <w:pStyle w:val="7"/>
        <w:ind w:firstLine="480"/>
      </w:pPr>
      <w:r>
        <w:rPr>
          <w:rFonts w:hint="eastAsia"/>
        </w:rPr>
        <w:t>（2）消防队：在事故发生时及时将有关消防装备、安全防护品、现场应急处置材料等应急物资运送到事故现场。负责在专业消防队伍来到之前，进行人员疏散以及火灾预防和扑救，尽可能减少损失。</w:t>
      </w:r>
    </w:p>
    <w:p>
      <w:pPr>
        <w:pStyle w:val="7"/>
        <w:ind w:firstLine="480"/>
      </w:pPr>
      <w:r>
        <w:rPr>
          <w:rFonts w:hint="eastAsia"/>
        </w:rPr>
        <w:t>（3）安全警戒组：主要负责事故发生后现场的警戒、维持秩序等工作。</w:t>
      </w:r>
    </w:p>
    <w:p>
      <w:pPr>
        <w:pStyle w:val="7"/>
        <w:ind w:firstLine="480"/>
      </w:pPr>
      <w:r>
        <w:rPr>
          <w:rFonts w:hint="eastAsia"/>
        </w:rPr>
        <w:t>（4）环保监测组：负责发生事故时污染物的应急监测，以及联系外部专业检测机构。</w:t>
      </w:r>
    </w:p>
    <w:p>
      <w:pPr>
        <w:pStyle w:val="7"/>
        <w:ind w:firstLine="480"/>
      </w:pPr>
      <w:r>
        <w:rPr>
          <w:rFonts w:hint="eastAsia"/>
        </w:rPr>
        <w:t>（5）后勤保障组：主要负责食宿接待、车辆调度等工作。</w:t>
      </w:r>
    </w:p>
    <w:p>
      <w:pPr>
        <w:pStyle w:val="7"/>
        <w:ind w:firstLine="480"/>
      </w:pPr>
      <w:r>
        <w:rPr>
          <w:rFonts w:hint="eastAsia"/>
        </w:rPr>
        <w:t>（6）医疗卫生组：主要负责对受伤人员的医疗救护工作。</w:t>
      </w:r>
    </w:p>
    <w:p>
      <w:pPr>
        <w:pStyle w:val="7"/>
        <w:ind w:firstLine="480"/>
      </w:pPr>
      <w:r>
        <w:rPr>
          <w:rFonts w:hint="eastAsia"/>
        </w:rPr>
        <w:t>（7）通讯联络组：担负信息收集与传递，各队之间的通讯联络保障任务。</w:t>
      </w:r>
    </w:p>
    <w:p>
      <w:pPr>
        <w:pStyle w:val="9"/>
      </w:pPr>
      <w:r>
        <w:rPr>
          <w:rFonts w:hint="eastAsia"/>
        </w:rPr>
        <w:t>7.5.6.3突发环境事件的分级</w:t>
      </w:r>
    </w:p>
    <w:p>
      <w:pPr>
        <w:pStyle w:val="7"/>
        <w:ind w:firstLine="480"/>
      </w:pPr>
      <w:r>
        <w:rPr>
          <w:rFonts w:hint="eastAsia"/>
        </w:rPr>
        <w:t>结合建设单位实际情况，参考《突发环境事件信息报告办法》中规定的事件分级，将公司突发环境事件从重到轻依次分为重大环境事件（I级公司级）、较大环境事件（Ⅱ级车间级）和一般环境事件（Ⅲ级岗位级）。</w:t>
      </w:r>
    </w:p>
    <w:p>
      <w:pPr>
        <w:pStyle w:val="7"/>
        <w:ind w:firstLine="480"/>
      </w:pPr>
      <w:r>
        <w:rPr>
          <w:rFonts w:hint="eastAsia"/>
        </w:rPr>
        <w:t>1、重大环境事件（I级公司级）</w:t>
      </w:r>
    </w:p>
    <w:p>
      <w:pPr>
        <w:pStyle w:val="7"/>
        <w:ind w:firstLine="480"/>
      </w:pPr>
      <w:r>
        <w:rPr>
          <w:rFonts w:hint="eastAsia"/>
        </w:rPr>
        <w:t>凡是符合下列情形之一的，为重大环境事件：</w:t>
      </w:r>
    </w:p>
    <w:p>
      <w:pPr>
        <w:pStyle w:val="7"/>
        <w:ind w:firstLine="480"/>
      </w:pPr>
      <w:r>
        <w:rPr>
          <w:rFonts w:hint="eastAsia"/>
        </w:rPr>
        <w:t>生产现场及其他场所发生大型火灾事件，其影响范围超出公司控制范围的；环保设施发生异常、无法运行等事件，其影响范围超出公司控制范围的。</w:t>
      </w:r>
    </w:p>
    <w:p>
      <w:pPr>
        <w:pStyle w:val="7"/>
        <w:ind w:firstLine="480"/>
      </w:pPr>
      <w:r>
        <w:rPr>
          <w:rFonts w:hint="eastAsia"/>
        </w:rPr>
        <w:t>2、较大环境事件(Ⅱ级车间级)</w:t>
      </w:r>
    </w:p>
    <w:p>
      <w:pPr>
        <w:pStyle w:val="7"/>
        <w:ind w:firstLine="480"/>
      </w:pPr>
      <w:r>
        <w:rPr>
          <w:rFonts w:hint="eastAsia"/>
        </w:rPr>
        <w:t>凡符合下列情形之一的，为较大环境事件：</w:t>
      </w:r>
    </w:p>
    <w:p>
      <w:pPr>
        <w:pStyle w:val="7"/>
        <w:ind w:firstLine="480"/>
      </w:pPr>
      <w:r>
        <w:rPr>
          <w:rFonts w:hint="eastAsia"/>
        </w:rPr>
        <w:t>生产现场及其他场所发生火灾事件，其影响范围在公司控制范围内的；环保设施发生异常、无法运行等事件，其影响范围在公司控制范围内的。</w:t>
      </w:r>
    </w:p>
    <w:p>
      <w:pPr>
        <w:pStyle w:val="7"/>
        <w:ind w:firstLine="480"/>
      </w:pPr>
      <w:r>
        <w:rPr>
          <w:rFonts w:hint="eastAsia"/>
        </w:rPr>
        <w:t>3、一般环境事件(Ⅲ级岗位级)</w:t>
      </w:r>
    </w:p>
    <w:p>
      <w:pPr>
        <w:pStyle w:val="7"/>
        <w:ind w:firstLine="480"/>
      </w:pPr>
      <w:r>
        <w:rPr>
          <w:rFonts w:hint="eastAsia"/>
        </w:rPr>
        <w:t>除重大环境事件（I级）、较大环境事件（Ⅱ级）以外的</w:t>
      </w:r>
      <w:r>
        <w:rPr>
          <w:rFonts w:hint="eastAsia"/>
          <w:lang w:eastAsia="zh-CN"/>
        </w:rPr>
        <w:t>其他</w:t>
      </w:r>
      <w:r>
        <w:rPr>
          <w:rFonts w:hint="eastAsia"/>
        </w:rPr>
        <w:t>突发环境事件。</w:t>
      </w:r>
    </w:p>
    <w:p>
      <w:pPr>
        <w:pStyle w:val="9"/>
      </w:pPr>
      <w:r>
        <w:rPr>
          <w:rFonts w:hint="eastAsia"/>
        </w:rPr>
        <w:t>7.5.6.4预防与预警</w:t>
      </w:r>
    </w:p>
    <w:p>
      <w:pPr>
        <w:pStyle w:val="7"/>
        <w:ind w:firstLine="480"/>
      </w:pPr>
      <w:r>
        <w:rPr>
          <w:rFonts w:hint="eastAsia"/>
        </w:rPr>
        <w:t>对突发环境事件进行分析判断，确认各种来源信息可能导致的环境污染程度，初步确定预警范围并向公司应急指挥部报告，由指挥部发布预警信息。对一般的预警信息，启动公司内部应急预案进行处置；对较大以上等级的预警信息，公司内部不能处置时，由公司总指挥上报市环保局，视情况启动上一级突发环境事件应急预案。</w:t>
      </w:r>
    </w:p>
    <w:p>
      <w:pPr>
        <w:pStyle w:val="7"/>
        <w:ind w:firstLine="480"/>
      </w:pPr>
      <w:r>
        <w:rPr>
          <w:rFonts w:hint="eastAsia"/>
        </w:rPr>
        <w:t>1、预警警报发布后，公司应急指挥部各职能部门应当迅速做好有关准备工作，应急队伍应当进入待命状态。</w:t>
      </w:r>
    </w:p>
    <w:p>
      <w:pPr>
        <w:pStyle w:val="7"/>
        <w:ind w:firstLine="480"/>
      </w:pPr>
      <w:r>
        <w:rPr>
          <w:rFonts w:hint="eastAsia"/>
        </w:rPr>
        <w:t>2、经对事故信息进行分析、判断，或者经应急指挥部会商，事故得到控制或隐患已消除，可宣布预警结束。</w:t>
      </w:r>
    </w:p>
    <w:p>
      <w:pPr>
        <w:pStyle w:val="9"/>
      </w:pPr>
      <w:r>
        <w:rPr>
          <w:rFonts w:hint="eastAsia"/>
        </w:rPr>
        <w:t>7.5.6.5应急响应</w:t>
      </w:r>
    </w:p>
    <w:p>
      <w:pPr>
        <w:pStyle w:val="7"/>
        <w:ind w:firstLine="480"/>
      </w:pPr>
      <w:r>
        <w:rPr>
          <w:rFonts w:hint="eastAsia"/>
        </w:rPr>
        <w:t>1、应急响应</w:t>
      </w:r>
    </w:p>
    <w:p>
      <w:pPr>
        <w:pStyle w:val="7"/>
        <w:ind w:firstLine="480"/>
      </w:pPr>
      <w:r>
        <w:rPr>
          <w:rFonts w:hint="eastAsia"/>
        </w:rPr>
        <w:t>Ⅰ级应急响应：因Ⅰ级为重大突发事件，超出公司控制能力，应在事件发生第一时间请求市环保局、消防队及相关单位支援，以外部协调处置为主，公司全力配合。</w:t>
      </w:r>
    </w:p>
    <w:p>
      <w:pPr>
        <w:pStyle w:val="7"/>
        <w:ind w:firstLine="480"/>
      </w:pPr>
      <w:r>
        <w:rPr>
          <w:rFonts w:hint="eastAsia"/>
        </w:rPr>
        <w:t>Ⅱ级应急响应：发生较大突发事件，公司有能力控制以防事件扩大，应在第一时间启动公司突发环境事件应急预案，由公司应急指挥部负责指挥，组织相关应急工作小组开展应急工作。若发现事件有扩大趋势必须立即上报市环保局，由市环保局决定是否启动上一级应急响应。</w:t>
      </w:r>
    </w:p>
    <w:p>
      <w:pPr>
        <w:pStyle w:val="7"/>
        <w:ind w:firstLine="480"/>
      </w:pPr>
      <w:r>
        <w:rPr>
          <w:rFonts w:hint="eastAsia"/>
        </w:rPr>
        <w:t>Ⅲ级应急响应：发生一般突发事件，车间内部就可快速控制住事件发展势态，应第一时间启动公司突发环境事件应急预案，组织车间或岗位应急救援小组按照相应预案全力以赴组织救援，并及时向公司应急指挥部报告救援工作进展情况。当超出其应急救援处置能力时，应及时请求公司应急指挥部启动公司应急预案。</w:t>
      </w:r>
    </w:p>
    <w:p>
      <w:pPr>
        <w:pStyle w:val="7"/>
        <w:ind w:firstLine="480"/>
      </w:pPr>
      <w:r>
        <w:rPr>
          <w:rFonts w:hint="eastAsia"/>
        </w:rPr>
        <w:t>应急响应程序</w:t>
      </w:r>
    </w:p>
    <w:p>
      <w:pPr>
        <w:pStyle w:val="7"/>
        <w:ind w:firstLine="480"/>
      </w:pPr>
      <w:r>
        <w:rPr>
          <w:rFonts w:hint="eastAsia"/>
        </w:rPr>
        <w:t>（1）最早发现者应立即向公司副总经理或总经理、消防队报警，同时向有关车间、部室报告，采取一切办法切断事故源。</w:t>
      </w:r>
    </w:p>
    <w:p>
      <w:pPr>
        <w:pStyle w:val="7"/>
        <w:ind w:firstLine="480"/>
      </w:pPr>
      <w:r>
        <w:rPr>
          <w:rFonts w:hint="eastAsia"/>
        </w:rPr>
        <w:t>（2）查明火灾位置和原因，下达应急救援处置指令，同时发出警报，通知领导小组成员及消防队和各专业救援队伍迅速赶往事故现场。</w:t>
      </w:r>
    </w:p>
    <w:p>
      <w:pPr>
        <w:pStyle w:val="7"/>
        <w:ind w:firstLine="480"/>
      </w:pPr>
      <w:r>
        <w:rPr>
          <w:rFonts w:hint="eastAsia"/>
        </w:rPr>
        <w:t>（3）到达事故现场后，应</w:t>
      </w:r>
      <w:r>
        <w:rPr>
          <w:rFonts w:hint="eastAsia"/>
          <w:lang w:eastAsia="zh-CN"/>
        </w:rPr>
        <w:t>做出</w:t>
      </w:r>
      <w:r>
        <w:rPr>
          <w:rFonts w:hint="eastAsia"/>
        </w:rPr>
        <w:t>能否控制、局部或全部停车的决定，公司生产部直接通知各岗位，并报告救援领导小组有关领导，而后迅速执行。</w:t>
      </w:r>
    </w:p>
    <w:p>
      <w:pPr>
        <w:pStyle w:val="7"/>
        <w:ind w:firstLine="480"/>
      </w:pPr>
      <w:r>
        <w:rPr>
          <w:rFonts w:hint="eastAsia"/>
        </w:rPr>
        <w:t>（4）领导小组成员通知所在部室，按专业对口迅速向上级主管环保、安全、公安、消防、卫生等上级机关报告事故情况。</w:t>
      </w:r>
    </w:p>
    <w:p>
      <w:pPr>
        <w:pStyle w:val="7"/>
        <w:ind w:firstLine="480"/>
      </w:pPr>
      <w:r>
        <w:rPr>
          <w:rFonts w:hint="eastAsia"/>
        </w:rPr>
        <w:t>（5）凡能切断物料或其他措施能处理而消除事故的，则以自救为主。如自己不能控制的，应立即向救援领导小组报告并提出抢修的具体措施。</w:t>
      </w:r>
    </w:p>
    <w:p>
      <w:pPr>
        <w:pStyle w:val="7"/>
        <w:ind w:firstLine="480"/>
      </w:pPr>
      <w:r>
        <w:rPr>
          <w:rFonts w:hint="eastAsia"/>
        </w:rPr>
        <w:t>（6）抢险救援队、消防队达到事故现场后，在有毒气体区域内应佩戴好氧气呼吸器，如现场着火要穿防火隔热服，首先要查明现场中有无中毒人员，如有要以最快的速度将中毒人员抢救出现场，严重者要尽快送最近医院抢救。对发生中毒人员，应在注射特效解毒剂或进行必要的医学处理后，根据中毒和受伤轻重</w:t>
      </w:r>
      <w:r>
        <w:rPr>
          <w:rFonts w:hint="eastAsia"/>
          <w:lang w:eastAsia="zh-CN"/>
        </w:rPr>
        <w:t>送往</w:t>
      </w:r>
      <w:r>
        <w:rPr>
          <w:rFonts w:hint="eastAsia"/>
        </w:rPr>
        <w:t>就近医院。</w:t>
      </w:r>
    </w:p>
    <w:p>
      <w:pPr>
        <w:pStyle w:val="7"/>
        <w:ind w:firstLine="480"/>
      </w:pPr>
      <w:r>
        <w:rPr>
          <w:rFonts w:hint="eastAsia"/>
        </w:rPr>
        <w:t>（7）应急救援领导小组到达事故现场后，根据事故状态及危害程度做出相应的应急决定，并命令各应急救援队立即开展救援。如事故扩大时，应请求县、市有关部门、有关单位支援。</w:t>
      </w:r>
    </w:p>
    <w:p>
      <w:pPr>
        <w:pStyle w:val="7"/>
        <w:ind w:firstLine="480"/>
      </w:pPr>
      <w:r>
        <w:rPr>
          <w:rFonts w:hint="eastAsia"/>
        </w:rPr>
        <w:t>3、报警、联络方式</w:t>
      </w:r>
    </w:p>
    <w:p>
      <w:pPr>
        <w:pStyle w:val="7"/>
        <w:ind w:firstLine="480"/>
      </w:pPr>
      <w:r>
        <w:rPr>
          <w:rFonts w:hint="eastAsia"/>
        </w:rPr>
        <w:t>企业应公布公司各级部门联络电话，并张贴公布市安监局、市环保局等部门联络电话，以便于及时联络。</w:t>
      </w:r>
    </w:p>
    <w:p>
      <w:pPr>
        <w:pStyle w:val="7"/>
        <w:ind w:firstLine="480"/>
      </w:pPr>
      <w:r>
        <w:rPr>
          <w:rFonts w:hint="eastAsia"/>
        </w:rPr>
        <w:t>4、突发环境事件报告方式与内容</w:t>
      </w:r>
    </w:p>
    <w:p>
      <w:pPr>
        <w:pStyle w:val="7"/>
        <w:ind w:firstLine="480"/>
      </w:pPr>
      <w:r>
        <w:rPr>
          <w:rFonts w:hint="eastAsia"/>
        </w:rPr>
        <w:t>生产车间负责突发环境事件的初报、续报和处理结果报告。突发环境事件发生后，经生产部确认环境事件等级后，10分钟内报告项目所在地镇办，按照突发环境事件等级启动区域联动环境事件预案并逐级上报。初报从发现事件后起10分钟内上报；续报在查清有关基本情况后随时上报；处理结果报告在事件处理完毕后立即上报。报告应采用适当方式，避免给当地群众造成不利影响。</w:t>
      </w:r>
    </w:p>
    <w:p>
      <w:pPr>
        <w:pStyle w:val="7"/>
        <w:ind w:firstLine="480"/>
      </w:pPr>
      <w:r>
        <w:rPr>
          <w:rFonts w:hint="eastAsia"/>
        </w:rPr>
        <w:t>初报用电话直接报告，主要内容包括：环境事件的类型、发生事件、地点、污染源、主要污染物质、人员受害情况、事件潜在的危害程度、扩散方式、可能波及人员、范围、转化方式趋向等初步情况。续报通过网络或书面报告：在初报的基础上报告有关确切数据和事件发生的原因、过程、进展情况及采取的应急措施等基本情况。处理结果报告采用书面报告：处理结果报告在初报和续报的基础上，报告处理事件的措施、过程和结果，事件潜在或间接危害、社会影响、处理后的遗留问题，参加处理的有关部门和工作内容，出具有关危害与损失的证明文件等详细情况。各部门之间的信息交换按照相关规定程序执行。</w:t>
      </w:r>
    </w:p>
    <w:p>
      <w:pPr>
        <w:pStyle w:val="9"/>
      </w:pPr>
      <w:r>
        <w:rPr>
          <w:rFonts w:hint="eastAsia"/>
        </w:rPr>
        <w:t>7.5.6.6火灾事故现场处置</w:t>
      </w:r>
    </w:p>
    <w:p>
      <w:pPr>
        <w:pStyle w:val="7"/>
        <w:ind w:firstLine="480"/>
      </w:pPr>
      <w:r>
        <w:rPr>
          <w:rFonts w:hint="eastAsia"/>
        </w:rPr>
        <w:t>1、现场人员判断火灾大小，小的火灾能够扑灭的，立即用灭火器将火焰扑灭。如有液体流淌时，应筑堤拦截漂散流淌的易燃液体或挖沟导流。扑灭后，立即查找事故源，找到事故源立即采取措施切断事故源。</w:t>
      </w:r>
    </w:p>
    <w:p>
      <w:pPr>
        <w:pStyle w:val="7"/>
        <w:ind w:firstLine="480"/>
      </w:pPr>
      <w:r>
        <w:rPr>
          <w:rFonts w:hint="eastAsia"/>
        </w:rPr>
        <w:t>2、对于火灾较大不能立即扑灭的，立即报告车间和公司组织人员进行处置。</w:t>
      </w:r>
    </w:p>
    <w:p>
      <w:pPr>
        <w:pStyle w:val="7"/>
        <w:ind w:firstLine="480"/>
      </w:pPr>
      <w:r>
        <w:rPr>
          <w:rFonts w:hint="eastAsia"/>
        </w:rPr>
        <w:t>3、对于火灾较大不能立即扑灭的，在报告的同时组织现场无关人员撤离现场，扑救火灾切忌盲目灭火，防止发生大的火灾爆炸后造成伤亡。</w:t>
      </w:r>
    </w:p>
    <w:p>
      <w:pPr>
        <w:pStyle w:val="7"/>
        <w:ind w:firstLine="480"/>
      </w:pPr>
      <w:r>
        <w:rPr>
          <w:rFonts w:hint="eastAsia"/>
        </w:rPr>
        <w:t>4、接到报警后抢险救援小组应立即赶赴现场履行各自职责。</w:t>
      </w:r>
    </w:p>
    <w:p>
      <w:pPr>
        <w:pStyle w:val="7"/>
        <w:ind w:firstLine="480"/>
      </w:pPr>
      <w:r>
        <w:rPr>
          <w:rFonts w:hint="eastAsia"/>
        </w:rPr>
        <w:t>5、如果公司力量无法利用现有设施和人员控制住事态进一步扩大，则上报政府消防和安全和环保部门请求支援。</w:t>
      </w:r>
    </w:p>
    <w:p>
      <w:pPr>
        <w:pStyle w:val="7"/>
        <w:ind w:firstLine="480"/>
      </w:pPr>
      <w:r>
        <w:rPr>
          <w:rFonts w:hint="eastAsia"/>
        </w:rPr>
        <w:t>6、根据起火物料特性，选择合适的灭火方法，应首先扑灭外围被火源引燃的可燃物火势，切断火势蔓延途径，控制燃烧范围，并积极抢救受伤和被困人员。</w:t>
      </w:r>
    </w:p>
    <w:p>
      <w:pPr>
        <w:pStyle w:val="7"/>
        <w:ind w:firstLine="480"/>
      </w:pPr>
      <w:r>
        <w:rPr>
          <w:rFonts w:hint="eastAsia"/>
        </w:rPr>
        <w:t>7、如果火势中有容器或有受到火焰辐射热威胁的容器，能疏散的应尽量在水枪的掩护下疏散到安全地带，不能疏散的应部署足够的水枪进行冷却保护。为防止容器爆裂伤人，进行冷却的人员应尽量采用低姿射水或利用现场坚实的掩蔽体防护。</w:t>
      </w:r>
    </w:p>
    <w:p>
      <w:pPr>
        <w:pStyle w:val="7"/>
        <w:ind w:firstLine="480"/>
      </w:pPr>
      <w:r>
        <w:rPr>
          <w:rFonts w:hint="eastAsia"/>
        </w:rPr>
        <w:t>8、现场指挥应密切注意各种危险征兆，遇有火势较长时间未能恢复稳定燃烧或受热辐射的容器安全阀火焰变亮耀眼、尖叫、晃动等爆裂征兆时，指挥员必须适时做出准确判断，及时下达撤退命令。现场人员看到或听到事先规定的撤退信号后，应迅速撤退至安全地带。</w:t>
      </w:r>
    </w:p>
    <w:p>
      <w:pPr>
        <w:pStyle w:val="7"/>
        <w:ind w:firstLine="480"/>
      </w:pPr>
      <w:r>
        <w:rPr>
          <w:rFonts w:hint="eastAsia"/>
        </w:rPr>
        <w:t>9、在生产车间、仓库等发生火灾爆炸时，可能产生的次生污染为火灾消防液、消防土及燃烧废气。消防液应及时导入事故应急池中，防止外泄污染水体和土壤。对事故水采用水处理剂预处理，通过化学处理后，使其浓度达标后运至污水处理厂进行深处理。</w:t>
      </w:r>
    </w:p>
    <w:p>
      <w:pPr>
        <w:pStyle w:val="9"/>
      </w:pPr>
      <w:r>
        <w:rPr>
          <w:rFonts w:hint="eastAsia"/>
        </w:rPr>
        <w:t>7.5.6.7应急终止</w:t>
      </w:r>
    </w:p>
    <w:p>
      <w:pPr>
        <w:pStyle w:val="7"/>
        <w:ind w:firstLine="480"/>
      </w:pPr>
      <w:r>
        <w:rPr>
          <w:rFonts w:hint="eastAsia"/>
        </w:rPr>
        <w:t>1、应急终止的条件</w:t>
      </w:r>
    </w:p>
    <w:p>
      <w:pPr>
        <w:pStyle w:val="7"/>
        <w:ind w:firstLine="480"/>
      </w:pPr>
      <w:r>
        <w:rPr>
          <w:rFonts w:hint="eastAsia"/>
        </w:rPr>
        <w:t>（1）事件、事故现场得到控制，事故条件已经消除。</w:t>
      </w:r>
    </w:p>
    <w:p>
      <w:pPr>
        <w:pStyle w:val="7"/>
        <w:ind w:firstLine="480"/>
      </w:pPr>
      <w:r>
        <w:rPr>
          <w:rFonts w:hint="eastAsia"/>
        </w:rPr>
        <w:t>（2）污染源的泄漏或释放已降至规定限值以内。</w:t>
      </w:r>
    </w:p>
    <w:p>
      <w:pPr>
        <w:pStyle w:val="7"/>
        <w:ind w:firstLine="480"/>
      </w:pPr>
      <w:r>
        <w:rPr>
          <w:rFonts w:hint="eastAsia"/>
        </w:rPr>
        <w:t>（3）事件、事故所造成的危害已经被彻底消除，而无复发可能。</w:t>
      </w:r>
    </w:p>
    <w:p>
      <w:pPr>
        <w:pStyle w:val="7"/>
        <w:ind w:firstLine="480"/>
      </w:pPr>
      <w:r>
        <w:rPr>
          <w:rFonts w:hint="eastAsia"/>
        </w:rPr>
        <w:t>（4）事件、事故现场的各种专业应急处置行动已无继续的必要。</w:t>
      </w:r>
    </w:p>
    <w:p>
      <w:pPr>
        <w:pStyle w:val="7"/>
        <w:ind w:firstLine="480"/>
      </w:pPr>
      <w:r>
        <w:rPr>
          <w:rFonts w:hint="eastAsia"/>
        </w:rPr>
        <w:t>（5）采取一切必要的防护措施以保护公众免受再次危害，并使事件、事故可能引起的长期后果趋于合理且尽量低的水平。</w:t>
      </w:r>
    </w:p>
    <w:p>
      <w:pPr>
        <w:pStyle w:val="7"/>
        <w:ind w:firstLine="480"/>
      </w:pPr>
      <w:r>
        <w:rPr>
          <w:rFonts w:hint="eastAsia"/>
        </w:rPr>
        <w:t xml:space="preserve"> 2、应急终止的程序</w:t>
      </w:r>
    </w:p>
    <w:p>
      <w:pPr>
        <w:pStyle w:val="7"/>
        <w:ind w:firstLine="480"/>
      </w:pPr>
      <w:r>
        <w:rPr>
          <w:rFonts w:hint="eastAsia"/>
        </w:rPr>
        <w:t>（1）现场应急指挥部确认终止时机，或由事故责任单位提出，经市环保局批准。</w:t>
      </w:r>
    </w:p>
    <w:p>
      <w:pPr>
        <w:pStyle w:val="7"/>
        <w:ind w:firstLine="480"/>
      </w:pPr>
      <w:r>
        <w:rPr>
          <w:rFonts w:hint="eastAsia"/>
        </w:rPr>
        <w:t>（2）现场应急指挥部接到应急指挥部的应急终止通知后，向所属各应急分队下达应急终止通知。</w:t>
      </w:r>
    </w:p>
    <w:p>
      <w:pPr>
        <w:pStyle w:val="7"/>
        <w:ind w:firstLine="480"/>
      </w:pPr>
      <w:r>
        <w:rPr>
          <w:rFonts w:hint="eastAsia"/>
        </w:rPr>
        <w:t>（3）现场应急指挥部组织指挥对遭受污染的应急装备器材实施消毒去污处理，组织指挥人员撤离。</w:t>
      </w:r>
    </w:p>
    <w:p>
      <w:pPr>
        <w:pStyle w:val="7"/>
        <w:ind w:firstLine="480"/>
      </w:pPr>
      <w:r>
        <w:rPr>
          <w:rFonts w:hint="eastAsia"/>
        </w:rPr>
        <w:t>（4）应急状态终止后，应急指挥部应根据市环保局或市人民政府指示和实际情况，继续进行环境监测和评价工作，直到自然过程或其他补救措施无需继续进行为止。</w:t>
      </w:r>
    </w:p>
    <w:p>
      <w:pPr>
        <w:pStyle w:val="7"/>
        <w:ind w:firstLine="480"/>
      </w:pPr>
      <w:r>
        <w:rPr>
          <w:rFonts w:hint="eastAsia"/>
        </w:rPr>
        <w:t>（5）将事故情况按规定如实上报市环保局。</w:t>
      </w:r>
    </w:p>
    <w:p>
      <w:pPr>
        <w:pStyle w:val="9"/>
      </w:pPr>
      <w:r>
        <w:rPr>
          <w:rFonts w:hint="eastAsia"/>
        </w:rPr>
        <w:t>7.5.6.8应急保障</w:t>
      </w:r>
    </w:p>
    <w:p>
      <w:pPr>
        <w:pStyle w:val="7"/>
        <w:ind w:firstLine="480"/>
      </w:pPr>
      <w:r>
        <w:rPr>
          <w:rFonts w:hint="eastAsia"/>
        </w:rPr>
        <w:t>1、通信保障</w:t>
      </w:r>
    </w:p>
    <w:p>
      <w:pPr>
        <w:pStyle w:val="7"/>
        <w:ind w:firstLine="480"/>
      </w:pPr>
      <w:r>
        <w:rPr>
          <w:rFonts w:hint="eastAsia"/>
        </w:rPr>
        <w:t>在充分利用公共通信网的基础上，配备必要的有线、无线通信器材，确保应急预案启动时应急工作指挥部和有关部门及现场各专业队伍的联络畅通。</w:t>
      </w:r>
    </w:p>
    <w:p>
      <w:pPr>
        <w:pStyle w:val="7"/>
        <w:ind w:firstLine="480"/>
      </w:pPr>
      <w:r>
        <w:rPr>
          <w:rFonts w:hint="eastAsia"/>
        </w:rPr>
        <w:t>2、物质保障</w:t>
      </w:r>
    </w:p>
    <w:p>
      <w:pPr>
        <w:pStyle w:val="7"/>
        <w:ind w:firstLine="480"/>
      </w:pPr>
      <w:r>
        <w:rPr>
          <w:rFonts w:hint="eastAsia"/>
        </w:rPr>
        <w:t>物质保障主要包括消防物资、救援设备、医疗物资，消防物资专人负责管理和调度，救援设备由检修部管理和调度。</w:t>
      </w:r>
    </w:p>
    <w:p>
      <w:pPr>
        <w:pStyle w:val="7"/>
        <w:ind w:firstLine="480"/>
      </w:pPr>
      <w:r>
        <w:rPr>
          <w:rFonts w:hint="eastAsia"/>
        </w:rPr>
        <w:t>应急救援物资装备主要有：消防水桶、消防水带、消防沙、灭火器、安全帽、铁锹等。</w:t>
      </w:r>
    </w:p>
    <w:p>
      <w:pPr>
        <w:pStyle w:val="7"/>
        <w:ind w:firstLine="480"/>
      </w:pPr>
      <w:r>
        <w:rPr>
          <w:rFonts w:hint="eastAsia"/>
        </w:rPr>
        <w:t>主要防护用品包括：防护服、防护帽、防护头盔、防护手套、安全带、正压式自给呼吸器、防毒面具等。</w:t>
      </w:r>
    </w:p>
    <w:p>
      <w:pPr>
        <w:pStyle w:val="7"/>
        <w:ind w:firstLine="480"/>
      </w:pPr>
      <w:r>
        <w:rPr>
          <w:rFonts w:hint="eastAsia"/>
        </w:rPr>
        <w:t>消防器材包括：灭火器、灭火剂以及固定消防设施等。</w:t>
      </w:r>
    </w:p>
    <w:p>
      <w:pPr>
        <w:pStyle w:val="7"/>
        <w:ind w:firstLine="480"/>
      </w:pPr>
      <w:r>
        <w:rPr>
          <w:rFonts w:hint="eastAsia"/>
        </w:rPr>
        <w:t>急救设备与器材包括：纱布、担架、急救药品、洗眼器等。</w:t>
      </w:r>
    </w:p>
    <w:p>
      <w:pPr>
        <w:pStyle w:val="7"/>
        <w:ind w:firstLine="480"/>
      </w:pPr>
      <w:r>
        <w:rPr>
          <w:rFonts w:hint="eastAsia"/>
        </w:rPr>
        <w:t>抢险、抢修设备与器材包括：封堵设备、工程车辆、营救设备、登高设备、维修工具、标志明显的服装、袖标、旗帜、应急照明灯等。</w:t>
      </w:r>
    </w:p>
    <w:p>
      <w:pPr>
        <w:pStyle w:val="7"/>
        <w:ind w:firstLine="480"/>
      </w:pPr>
      <w:r>
        <w:rPr>
          <w:rFonts w:hint="eastAsia"/>
        </w:rPr>
        <w:t>交通运输车辆包括：救援物资运输车辆、疏散人员运输车辆等。</w:t>
      </w:r>
    </w:p>
    <w:p>
      <w:pPr>
        <w:pStyle w:val="7"/>
        <w:ind w:firstLine="480"/>
      </w:pPr>
      <w:r>
        <w:rPr>
          <w:rFonts w:hint="eastAsia"/>
        </w:rPr>
        <w:t>3、资金保障</w:t>
      </w:r>
    </w:p>
    <w:p>
      <w:pPr>
        <w:pStyle w:val="7"/>
        <w:ind w:firstLine="480"/>
      </w:pPr>
      <w:r>
        <w:rPr>
          <w:rFonts w:hint="eastAsia"/>
        </w:rPr>
        <w:t>应急专项经费由公司经理负责管理，专款专用，使用范围为应急救援器材的购置、维修和保养，以及应急救援的培训、演练等费用，保证应急经费及时到位。</w:t>
      </w:r>
    </w:p>
    <w:p>
      <w:pPr>
        <w:pStyle w:val="7"/>
        <w:ind w:firstLine="480"/>
      </w:pPr>
      <w:r>
        <w:rPr>
          <w:rFonts w:hint="eastAsia"/>
        </w:rPr>
        <w:t>4、技术保障</w:t>
      </w:r>
    </w:p>
    <w:p>
      <w:pPr>
        <w:pStyle w:val="7"/>
        <w:ind w:firstLine="480"/>
      </w:pPr>
      <w:r>
        <w:rPr>
          <w:rFonts w:hint="eastAsia"/>
        </w:rPr>
        <w:t>要开展对突发环境事件的预防、监测、预警和应急处置以及先进技术装备等方面的科学技术研究工作，为应对突发环境事件提供技术保障。</w:t>
      </w:r>
    </w:p>
    <w:p>
      <w:pPr>
        <w:pStyle w:val="8"/>
        <w:bidi w:val="0"/>
      </w:pPr>
      <w:r>
        <w:rPr>
          <w:rFonts w:hint="eastAsia"/>
        </w:rPr>
        <w:t>7.5.7环境风险评价结论</w:t>
      </w:r>
    </w:p>
    <w:p>
      <w:pPr>
        <w:pStyle w:val="7"/>
        <w:ind w:firstLine="480"/>
      </w:pPr>
      <w:r>
        <w:t>综合以上分析，本项目事故风险评价得出如下结论：</w:t>
      </w:r>
    </w:p>
    <w:p>
      <w:pPr>
        <w:pStyle w:val="7"/>
        <w:ind w:firstLine="480"/>
      </w:pPr>
      <w:r>
        <w:t>1、项目涉及易燃</w:t>
      </w:r>
      <w:r>
        <w:rPr>
          <w:rFonts w:hint="eastAsia"/>
        </w:rPr>
        <w:t>易爆</w:t>
      </w:r>
      <w:r>
        <w:t>物质，具有一定的潜在危险性。</w:t>
      </w:r>
    </w:p>
    <w:p>
      <w:pPr>
        <w:pStyle w:val="7"/>
        <w:ind w:firstLine="480"/>
      </w:pPr>
      <w:r>
        <w:t>2、本工程在生产、储存等过程存在</w:t>
      </w:r>
      <w:r>
        <w:rPr>
          <w:rFonts w:hint="eastAsia"/>
        </w:rPr>
        <w:t>氯气泄漏、液化石油气泄漏、天然气泄漏以及引发的</w:t>
      </w:r>
      <w:r>
        <w:t>火灾</w:t>
      </w:r>
      <w:r>
        <w:rPr>
          <w:rFonts w:hint="eastAsia"/>
        </w:rPr>
        <w:t>、爆炸</w:t>
      </w:r>
      <w:r>
        <w:t>事故风险，在采取严格的防护措施后，事故发生概率很小。</w:t>
      </w:r>
    </w:p>
    <w:p>
      <w:pPr>
        <w:pStyle w:val="7"/>
        <w:ind w:firstLine="480"/>
      </w:pPr>
      <w:r>
        <w:rPr>
          <w:rFonts w:hint="eastAsia"/>
        </w:rPr>
        <w:t>3</w:t>
      </w:r>
      <w:r>
        <w:t>、项目具有潜在的事故风险，应从建设、生产、储运等方面积极采取防护措施。如车间应安装通风设施、采用防火、防爆的灯具、电器等。当出现事故时，采取紧急的工程应急措施，以控制事故和减少对环境造成的危害。</w:t>
      </w:r>
    </w:p>
    <w:p>
      <w:pPr>
        <w:pStyle w:val="7"/>
        <w:ind w:firstLine="480"/>
      </w:pPr>
      <w:r>
        <w:rPr>
          <w:rFonts w:hint="eastAsia"/>
        </w:rPr>
        <w:t>综上所述，项目环境风险为可防控。</w:t>
      </w:r>
    </w:p>
    <w:p>
      <w:pPr>
        <w:pStyle w:val="7"/>
        <w:ind w:firstLine="480"/>
      </w:pPr>
      <w:r>
        <w:rPr>
          <w:rFonts w:hint="eastAsia"/>
        </w:rPr>
        <w:t>建设项目环境风险简单分析内容表见表7.5-2</w:t>
      </w:r>
    </w:p>
    <w:p>
      <w:pPr>
        <w:pStyle w:val="31"/>
      </w:pPr>
      <w:r>
        <w:t>表</w:t>
      </w:r>
      <w:r>
        <w:rPr>
          <w:rFonts w:hint="eastAsia"/>
        </w:rPr>
        <w:t>7.5</w:t>
      </w:r>
      <w:r>
        <w:t>-</w:t>
      </w:r>
      <w:r>
        <w:rPr>
          <w:rFonts w:hint="eastAsia"/>
        </w:rPr>
        <w:t xml:space="preserve">2 </w:t>
      </w:r>
      <w:r>
        <w:t xml:space="preserve"> </w:t>
      </w:r>
      <w:r>
        <w:rPr>
          <w:rFonts w:hint="eastAsia"/>
        </w:rPr>
        <w:t>建设项目环境风险简单分析内容表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2"/>
        <w:gridCol w:w="6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建设项目名称</w:t>
            </w:r>
          </w:p>
        </w:tc>
        <w:tc>
          <w:tcPr>
            <w:tcW w:w="3719" w:type="pct"/>
            <w:tcBorders>
              <w:tl2br w:val="nil"/>
              <w:tr2bl w:val="nil"/>
            </w:tcBorders>
            <w:vAlign w:val="center"/>
          </w:tcPr>
          <w:p>
            <w:pPr>
              <w:pStyle w:val="33"/>
            </w:pPr>
            <w:r>
              <w:rPr>
                <w:rFonts w:hint="eastAsia"/>
              </w:rPr>
              <w:t>年产38万吨新能源汽车轻量化铝合金材料项目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建设地点</w:t>
            </w:r>
          </w:p>
        </w:tc>
        <w:tc>
          <w:tcPr>
            <w:tcW w:w="3719" w:type="pct"/>
            <w:tcBorders>
              <w:tl2br w:val="nil"/>
              <w:tr2bl w:val="nil"/>
            </w:tcBorders>
          </w:tcPr>
          <w:p>
            <w:pPr>
              <w:pStyle w:val="33"/>
            </w:pPr>
            <w:r>
              <w:rPr>
                <w:rFonts w:hint="eastAsia"/>
              </w:rPr>
              <w:t>云南省文山州砚山县砚山工业园区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地理坐标</w:t>
            </w:r>
          </w:p>
        </w:tc>
        <w:tc>
          <w:tcPr>
            <w:tcW w:w="3719" w:type="pct"/>
            <w:tcBorders>
              <w:tl2br w:val="nil"/>
              <w:tr2bl w:val="nil"/>
            </w:tcBorders>
          </w:tcPr>
          <w:p>
            <w:pPr>
              <w:pStyle w:val="33"/>
            </w:pPr>
            <w:r>
              <w:rPr>
                <w:rFonts w:hint="eastAsia"/>
              </w:rPr>
              <w:t>E104.368787；N23.669957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主要危险物质及分布</w:t>
            </w:r>
          </w:p>
        </w:tc>
        <w:tc>
          <w:tcPr>
            <w:tcW w:w="3719" w:type="pct"/>
            <w:tcBorders>
              <w:tl2br w:val="nil"/>
              <w:tr2bl w:val="nil"/>
            </w:tcBorders>
          </w:tcPr>
          <w:p>
            <w:pPr>
              <w:pStyle w:val="33"/>
            </w:pPr>
            <w:r>
              <w:rPr>
                <w:rFonts w:hint="eastAsia"/>
              </w:rPr>
              <w:t>主要危险物质为天然气（天然气输送管道中），氯气、液化石油气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环境影响途径及危害后果</w:t>
            </w:r>
          </w:p>
        </w:tc>
        <w:tc>
          <w:tcPr>
            <w:tcW w:w="3719" w:type="pct"/>
            <w:tcBorders>
              <w:tl2br w:val="nil"/>
              <w:tr2bl w:val="nil"/>
            </w:tcBorders>
          </w:tcPr>
          <w:p>
            <w:pPr>
              <w:pStyle w:val="33"/>
            </w:pPr>
            <w:r>
              <w:rPr>
                <w:rFonts w:hint="eastAsia"/>
              </w:rPr>
              <w:t>氯气泄漏、天然气泄露、液化石油气泄漏，火灾爆炸。</w:t>
            </w:r>
          </w:p>
          <w:p>
            <w:pPr>
              <w:pStyle w:val="33"/>
            </w:pPr>
            <w:r>
              <w:rPr>
                <w:rFonts w:hint="eastAsia"/>
              </w:rPr>
              <w:t>天然气泄露后果：天然气主要成分为甲烷。甲烷对人基本无毒，空气中甲烷浓度过高能使人窒息，当空气中甲烷达到25%～30%时，可引起头痛、头晕、乏力、注意力不集中、呼吸和心跳加速，甚至窒息、昏迷。长期接触天然气可出现神经衰弱综合。</w:t>
            </w:r>
          </w:p>
          <w:p>
            <w:pPr>
              <w:pStyle w:val="33"/>
            </w:pPr>
            <w:r>
              <w:rPr>
                <w:rFonts w:hint="eastAsia"/>
              </w:rPr>
              <w:t>液化石油气泄露后果：液化石油气主要成分为丙烷。1％丙烷，对人无影响；10％以下的浓度，只引起轻度头晕；在较高浓度的丙烷、丁烷混合气体中毒时，有头痛、头晕、兴奋或嗜睡、恶心、呕吐、流涎、血压轻度降低、脉缓、神经反射减弱、无病理反射；严重者出现麻醉状态、意识丧失。</w:t>
            </w:r>
          </w:p>
          <w:p>
            <w:pPr>
              <w:pStyle w:val="33"/>
            </w:pPr>
            <w:r>
              <w:rPr>
                <w:rFonts w:hint="eastAsia"/>
              </w:rPr>
              <w:t>氯气泄漏后果：对眼、呼吸道粘膜有刺激作用。急性中毒：轻度者有流泪、咳嗽、咳少量痰、胸闷，出现气管炎的表现；中度中毒发生支气管肺炎或间质性肺水肿，病人除有上述症状的加重外，出现呼吸困难、轻度紫绀等；重者发生肺水肿、昏迷和休克，可出现气胸、纵隔气肿等并发症。吸入极高浓度的氯气，可引起迷走神经反射性心跳骤停或喉头痉挛而发生“电击样”死亡。皮肤接触液氯或高浓度氯，在暴露部位可有灼伤或急性皮炎</w:t>
            </w:r>
          </w:p>
          <w:p>
            <w:pPr>
              <w:pStyle w:val="33"/>
            </w:pPr>
            <w:r>
              <w:rPr>
                <w:rFonts w:hint="eastAsia"/>
              </w:rPr>
              <w:t>天然气、液化石油气发生火灾爆炸后果：火灾爆炸产生的次生有害气体、热辐射、抛射物等污染环境、损害人身健康及财产安全。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风险防范措施要求</w:t>
            </w:r>
          </w:p>
        </w:tc>
        <w:tc>
          <w:tcPr>
            <w:tcW w:w="3719" w:type="pct"/>
            <w:tcBorders>
              <w:tl2br w:val="nil"/>
              <w:tr2bl w:val="nil"/>
            </w:tcBorders>
            <w:vAlign w:val="center"/>
          </w:tcPr>
          <w:p>
            <w:pPr>
              <w:pStyle w:val="33"/>
              <w:jc w:val="both"/>
            </w:pPr>
            <w:r>
              <w:rPr>
                <w:rFonts w:hint="eastAsia"/>
              </w:rPr>
              <w:t>1、加强消防安全教育培训</w:t>
            </w:r>
          </w:p>
          <w:p>
            <w:pPr>
              <w:pStyle w:val="33"/>
            </w:pPr>
            <w:r>
              <w:rPr>
                <w:rFonts w:hint="eastAsia"/>
              </w:rPr>
              <w:t>每年以创办消防知识宣传栏、开展知识竞赛等多种形式，提高全体员工的消防安全；定期组织员工学习消防法规和各项规章制度，做到依法治火；对消防设施维护保养和使用人员应进行实地演示和培训；对新员工进行岗前消防培训，经考试合格后方可上岗。</w:t>
            </w:r>
          </w:p>
          <w:p>
            <w:pPr>
              <w:pStyle w:val="33"/>
            </w:pPr>
            <w:r>
              <w:rPr>
                <w:rFonts w:hint="eastAsia"/>
              </w:rPr>
              <w:t>2、加强防火巡查检查：落实逐级消防安全责任制和岗位消防安全责任制，落实巡查检查制度；每月对单位进行一次防火检查并复查追踪改善，检查中发现火灾隐患，检查人员应填写防火检查记录；检查部门应将检查情况及时通知受检部门，各部门负责人应每日消防安全检查情况通知，若发现本单位存在火灾隐患，应及时整改。</w:t>
            </w:r>
          </w:p>
          <w:p>
            <w:pPr>
              <w:pStyle w:val="33"/>
            </w:pPr>
            <w:r>
              <w:rPr>
                <w:rFonts w:hint="eastAsia"/>
              </w:rPr>
              <w:t>3、加强安全疏散设施管理：单位应保持疏散通道、安全出口畅通，严禁占用疏散通道，严禁在安全出口或疏散通道上安装栅栏等影响疏散的障碍物；应按规范设置符合国家规定的消防安全疏散指示标志和应急照明设施；应保持防火门、消防安全疏散指示标志、应急照明、机械排烟送风、火灾事故广播等设施处于正常状态，并定期组织检查、测试、维护和保养；严禁在营业或工作期间将安全出口上锁。</w:t>
            </w:r>
          </w:p>
          <w:p>
            <w:pPr>
              <w:pStyle w:val="33"/>
            </w:pPr>
            <w:r>
              <w:rPr>
                <w:rFonts w:hint="eastAsia"/>
              </w:rPr>
              <w:t>4、加强消防设施、器材维护管理：每年在冬防、夏防期间定期两次对灭火器进行普查换药。派专人管理，定期巡查消防器材，包括烟、温感报警系统、消防水泵、喷淋水泵、水幕水泵、正压送风、防排烟系统及室内消火栓等，保证处于完好状态。</w:t>
            </w:r>
          </w:p>
          <w:p>
            <w:pPr>
              <w:pStyle w:val="32"/>
            </w:pPr>
            <w:r>
              <w:rPr>
                <w:rFonts w:hint="eastAsia"/>
              </w:rPr>
              <w:t>5、在氯气站内设置氯气吸收装置1套及50m</w:t>
            </w:r>
            <w:r>
              <w:rPr>
                <w:rFonts w:hint="eastAsia"/>
                <w:vertAlign w:val="superscript"/>
              </w:rPr>
              <w:t>3</w:t>
            </w:r>
            <w:r>
              <w:rPr>
                <w:rFonts w:hint="eastAsia"/>
              </w:rPr>
              <w:t>事故水池（碱液池）一座，一旦发生氯气泄露，氯气吸收装置会将泄露的氯气收集引入50m</w:t>
            </w:r>
            <w:r>
              <w:rPr>
                <w:rFonts w:hint="eastAsia"/>
                <w:vertAlign w:val="superscript"/>
              </w:rPr>
              <w:t>3</w:t>
            </w:r>
            <w:r>
              <w:rPr>
                <w:rFonts w:hint="eastAsia"/>
              </w:rPr>
              <w:t>事故水池（碱液池）进行吸收处理，防止外排至大气环境。</w:t>
            </w:r>
          </w:p>
          <w:p>
            <w:pPr>
              <w:pStyle w:val="32"/>
            </w:pPr>
            <w:r>
              <w:rPr>
                <w:rFonts w:hint="eastAsia"/>
              </w:rPr>
              <w:t>6、在液氯贮罐区周边设0.5m的事故围堰，围堰内有效容积约90m</w:t>
            </w:r>
            <w:r>
              <w:rPr>
                <w:rFonts w:hint="eastAsia"/>
                <w:vertAlign w:val="superscript"/>
              </w:rPr>
              <w:t>3</w:t>
            </w:r>
            <w:r>
              <w:rPr>
                <w:rFonts w:hint="eastAsia"/>
              </w:rPr>
              <w:t>，一旦发生液氯（最大泄露量1t，容积约0.71m³）</w:t>
            </w:r>
            <w:r>
              <w:rPr>
                <w:rStyle w:val="51"/>
                <w:rFonts w:hint="eastAsia"/>
              </w:rPr>
              <w:t>泄漏事故，能够有效控制液氯气化面积扩大。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80" w:type="pct"/>
            <w:tcBorders>
              <w:tl2br w:val="nil"/>
              <w:tr2bl w:val="nil"/>
            </w:tcBorders>
            <w:vAlign w:val="center"/>
          </w:tcPr>
          <w:p>
            <w:pPr>
              <w:pStyle w:val="33"/>
            </w:pPr>
            <w:r>
              <w:rPr>
                <w:rFonts w:hint="eastAsia"/>
              </w:rPr>
              <w:t>填表说明</w:t>
            </w:r>
          </w:p>
        </w:tc>
        <w:tc>
          <w:tcPr>
            <w:tcW w:w="3719" w:type="pct"/>
            <w:tcBorders>
              <w:tl2br w:val="nil"/>
              <w:tr2bl w:val="nil"/>
            </w:tcBorders>
          </w:tcPr>
          <w:p>
            <w:pPr>
              <w:pStyle w:val="33"/>
              <w:jc w:val="both"/>
            </w:pPr>
            <w:r>
              <w:rPr>
                <w:rFonts w:hint="eastAsia"/>
              </w:rPr>
              <w:t>1、项目涉及易燃易爆物质，具有一定的潜在危险性。</w:t>
            </w:r>
          </w:p>
          <w:p>
            <w:pPr>
              <w:pStyle w:val="33"/>
            </w:pPr>
            <w:r>
              <w:rPr>
                <w:rFonts w:hint="eastAsia"/>
              </w:rPr>
              <w:t>2、本工程在生产、储存等过程存在氯气泄露、天然气泄露、液化石油气泄露，火灾、爆炸事故风险，在采取严格的防护措施后，事故发生概率很小。</w:t>
            </w:r>
          </w:p>
          <w:p>
            <w:pPr>
              <w:pStyle w:val="33"/>
            </w:pPr>
            <w:r>
              <w:rPr>
                <w:rFonts w:hint="eastAsia"/>
              </w:rPr>
              <w:t>3、项目具有潜在的事故风险，应从建设、生产、储运等方面积极采取防护措施。如车间应安装通风设施、采用防火、防爆的灯具、电器等。当出现事故时，采取紧急的工程应急措施，以控制事故和减少对环境造成的危害。</w:t>
            </w:r>
          </w:p>
          <w:p>
            <w:pPr>
              <w:pStyle w:val="33"/>
              <w:jc w:val="both"/>
            </w:pPr>
            <w:r>
              <w:rPr>
                <w:rFonts w:hint="eastAsia"/>
              </w:rPr>
              <w:t>4、项目环境风险为可防控。</w:t>
            </w:r>
          </w:p>
        </w:tc>
      </w:tr>
    </w:tbl>
    <w:p>
      <w:pPr>
        <w:ind w:firstLine="482"/>
        <w:jc w:val="center"/>
        <w:rPr>
          <w:b/>
          <w:bCs/>
        </w:rPr>
      </w:pPr>
    </w:p>
    <w:p>
      <w:pPr>
        <w:pStyle w:val="2"/>
        <w:spacing w:line="360" w:lineRule="auto"/>
        <w:ind w:left="0" w:leftChars="0" w:firstLine="480"/>
        <w:sectPr>
          <w:pgSz w:w="11906" w:h="16838"/>
          <w:pgMar w:top="1440" w:right="1800" w:bottom="1440" w:left="1800" w:header="851" w:footer="992" w:gutter="0"/>
          <w:cols w:space="425" w:num="1"/>
          <w:docGrid w:type="lines" w:linePitch="312" w:charSpace="0"/>
        </w:sectPr>
      </w:pPr>
    </w:p>
    <w:p>
      <w:pPr>
        <w:pStyle w:val="4"/>
        <w:bidi w:val="0"/>
        <w:rPr>
          <w:rFonts w:hint="eastAsia"/>
          <w:lang w:val="en-US" w:eastAsia="zh-CN"/>
        </w:rPr>
      </w:pPr>
      <w:bookmarkStart w:id="156" w:name="_Toc25594"/>
      <w:r>
        <w:rPr>
          <w:rFonts w:hint="eastAsia"/>
          <w:lang w:val="en-US" w:eastAsia="zh-CN"/>
        </w:rPr>
        <w:t>8 碳排放环境影响评价</w:t>
      </w:r>
      <w:bookmarkEnd w:id="156"/>
    </w:p>
    <w:p>
      <w:pPr>
        <w:pStyle w:val="5"/>
        <w:bidi w:val="0"/>
        <w:rPr>
          <w:rFonts w:hint="eastAsia"/>
          <w:lang w:val="en-US" w:eastAsia="zh-CN"/>
        </w:rPr>
      </w:pPr>
      <w:bookmarkStart w:id="157" w:name="_Toc4154"/>
      <w:r>
        <w:rPr>
          <w:rFonts w:hint="eastAsia"/>
          <w:lang w:val="en-US" w:eastAsia="zh-CN"/>
        </w:rPr>
        <w:t>8.1总则</w:t>
      </w:r>
      <w:bookmarkEnd w:id="157"/>
    </w:p>
    <w:p>
      <w:pPr>
        <w:pStyle w:val="8"/>
        <w:bidi w:val="0"/>
        <w:rPr>
          <w:rFonts w:hint="eastAsia"/>
          <w:lang w:val="en-US" w:eastAsia="zh-CN"/>
        </w:rPr>
      </w:pPr>
      <w:r>
        <w:rPr>
          <w:rFonts w:hint="eastAsia"/>
          <w:lang w:val="en-US" w:eastAsia="zh-CN"/>
        </w:rPr>
        <w:t>8.1.1评价依据</w:t>
      </w:r>
    </w:p>
    <w:p>
      <w:pPr>
        <w:pStyle w:val="7"/>
        <w:bidi w:val="0"/>
        <w:rPr>
          <w:rFonts w:hint="eastAsia"/>
          <w:lang w:val="en-US" w:eastAsia="zh-CN"/>
        </w:rPr>
      </w:pPr>
      <w:r>
        <w:rPr>
          <w:rFonts w:hint="eastAsia"/>
          <w:lang w:val="en-US" w:eastAsia="zh-CN"/>
        </w:rPr>
        <w:t>（1）《工业企业温室气体排放核算和报告通则》（GB/T32150-2015）；</w:t>
      </w:r>
    </w:p>
    <w:p>
      <w:pPr>
        <w:pStyle w:val="7"/>
        <w:bidi w:val="0"/>
        <w:rPr>
          <w:rFonts w:hint="eastAsia"/>
          <w:lang w:val="en-US" w:eastAsia="zh-CN"/>
        </w:rPr>
      </w:pPr>
      <w:r>
        <w:rPr>
          <w:rFonts w:hint="eastAsia"/>
          <w:lang w:val="en-US" w:eastAsia="zh-CN"/>
        </w:rPr>
        <w:t>（2）《企业温室气体排放报告核查指南》（环办气候函〔2021〕130号）；</w:t>
      </w:r>
    </w:p>
    <w:p>
      <w:pPr>
        <w:pStyle w:val="7"/>
        <w:bidi w:val="0"/>
        <w:rPr>
          <w:rFonts w:hint="eastAsia"/>
          <w:lang w:val="en-US" w:eastAsia="zh-CN"/>
        </w:rPr>
      </w:pPr>
      <w:r>
        <w:rPr>
          <w:rFonts w:hint="eastAsia"/>
          <w:lang w:val="en-US" w:eastAsia="zh-CN"/>
        </w:rPr>
        <w:t>（5）〈关于印发第三批10个行业企业温室气体核算方法与报告指南（试行）</w:t>
      </w:r>
    </w:p>
    <w:p>
      <w:pPr>
        <w:pStyle w:val="7"/>
        <w:bidi w:val="0"/>
        <w:rPr>
          <w:rFonts w:hint="eastAsia"/>
          <w:lang w:val="en-US" w:eastAsia="zh-CN"/>
        </w:rPr>
      </w:pPr>
      <w:r>
        <w:rPr>
          <w:rFonts w:hint="eastAsia"/>
          <w:lang w:val="en-US" w:eastAsia="zh-CN"/>
        </w:rPr>
        <w:t>的通知〉（发改办气候〔2015〕1722 号）；</w:t>
      </w:r>
    </w:p>
    <w:p>
      <w:pPr>
        <w:pStyle w:val="7"/>
        <w:bidi w:val="0"/>
        <w:rPr>
          <w:rFonts w:hint="eastAsia"/>
          <w:lang w:val="en-US" w:eastAsia="zh-CN"/>
        </w:rPr>
      </w:pPr>
      <w:r>
        <w:rPr>
          <w:rFonts w:hint="eastAsia"/>
          <w:lang w:val="en-US" w:eastAsia="zh-CN"/>
        </w:rPr>
        <w:t>（6）〈关于加快建立健全绿色低碳循环发展经济体系的指导意见〉（国发〔2021〕4号）；</w:t>
      </w:r>
    </w:p>
    <w:p>
      <w:pPr>
        <w:pStyle w:val="7"/>
        <w:bidi w:val="0"/>
        <w:rPr>
          <w:rFonts w:hint="eastAsia"/>
          <w:lang w:val="en-US" w:eastAsia="zh-CN"/>
        </w:rPr>
      </w:pPr>
      <w:r>
        <w:rPr>
          <w:rFonts w:hint="eastAsia"/>
          <w:lang w:val="en-US" w:eastAsia="zh-CN"/>
        </w:rPr>
        <w:t>（7）〈关于统筹和加强应对气候变化与生态环境保护相关工作的指导意见〉（环综合〔2021〕4号）；</w:t>
      </w:r>
    </w:p>
    <w:p>
      <w:pPr>
        <w:pStyle w:val="7"/>
        <w:bidi w:val="0"/>
        <w:rPr>
          <w:rFonts w:hint="eastAsia"/>
          <w:lang w:val="en-US" w:eastAsia="zh-CN"/>
        </w:rPr>
      </w:pPr>
      <w:r>
        <w:rPr>
          <w:rFonts w:hint="eastAsia"/>
          <w:lang w:val="en-US" w:eastAsia="zh-CN"/>
        </w:rPr>
        <w:t>（8）〈关于加强高耗能、高排放建设项目生态环境源头防控的指导意见〉（环环评〔2021〕45号）；</w:t>
      </w:r>
    </w:p>
    <w:p>
      <w:pPr>
        <w:pStyle w:val="7"/>
        <w:bidi w:val="0"/>
        <w:rPr>
          <w:rFonts w:hint="eastAsia"/>
          <w:lang w:val="en-US" w:eastAsia="zh-CN"/>
        </w:rPr>
      </w:pPr>
      <w:r>
        <w:rPr>
          <w:rFonts w:hint="eastAsia"/>
          <w:lang w:val="en-US" w:eastAsia="zh-CN"/>
        </w:rPr>
        <w:t>（9）《重点行业建设项目碳排放环境影响评价试点技术指南（试行）》（环办环评函〔2021〕346号）；</w:t>
      </w:r>
    </w:p>
    <w:p>
      <w:pPr>
        <w:pStyle w:val="7"/>
        <w:bidi w:val="0"/>
        <w:rPr>
          <w:rFonts w:hint="eastAsia"/>
          <w:lang w:val="en-US" w:eastAsia="zh-CN"/>
        </w:rPr>
      </w:pPr>
      <w:r>
        <w:rPr>
          <w:rFonts w:hint="eastAsia"/>
          <w:lang w:val="en-US" w:eastAsia="zh-CN"/>
        </w:rPr>
        <w:t>（10）《碳排放权交易管理办法（试行）》（生态环境部令第19号，2021.2.1施行）；</w:t>
      </w:r>
    </w:p>
    <w:p>
      <w:pPr>
        <w:pStyle w:val="7"/>
        <w:bidi w:val="0"/>
        <w:rPr>
          <w:rFonts w:hint="eastAsia"/>
          <w:lang w:val="en-US" w:eastAsia="zh-CN"/>
        </w:rPr>
      </w:pPr>
      <w:r>
        <w:rPr>
          <w:rFonts w:hint="eastAsia"/>
          <w:lang w:val="en-US" w:eastAsia="zh-CN"/>
        </w:rPr>
        <w:t>（11）《温室气体排放核算与报告要求第4部分：铝冶炼企业》（GB/T32151.4-2015）；</w:t>
      </w:r>
    </w:p>
    <w:p>
      <w:pPr>
        <w:pStyle w:val="8"/>
        <w:bidi w:val="0"/>
        <w:rPr>
          <w:rFonts w:hint="eastAsia"/>
          <w:lang w:val="en-US" w:eastAsia="zh-CN"/>
        </w:rPr>
      </w:pPr>
      <w:r>
        <w:rPr>
          <w:rFonts w:hint="eastAsia"/>
          <w:lang w:val="en-US" w:eastAsia="zh-CN"/>
        </w:rPr>
        <w:t>8.1.2评价范围</w:t>
      </w:r>
    </w:p>
    <w:p>
      <w:pPr>
        <w:pStyle w:val="7"/>
        <w:bidi w:val="0"/>
        <w:rPr>
          <w:rFonts w:hint="eastAsia"/>
          <w:lang w:val="en-US" w:eastAsia="zh-CN"/>
        </w:rPr>
      </w:pPr>
      <w:r>
        <w:rPr>
          <w:rFonts w:hint="eastAsia"/>
          <w:lang w:val="en-US" w:eastAsia="zh-CN"/>
        </w:rPr>
        <w:t>根据《温室气体排放核算与报告要求第4部分：铝冶炼企业》（GB/T32151.4-2015），本项目评价范围以企业法人的独立核算单位为边界，核算其生产系统产生的温室气体排放。包括主要生产系统、辅助生产系统及直接为生产服务的附属生产系统，其中辅助生产系统包括动力、供电、供水、化验机修、库房、运输等，附属生产系统包括生产指挥系统和厂区内为生产服务的部门和单位。</w:t>
      </w:r>
    </w:p>
    <w:p>
      <w:pPr>
        <w:pStyle w:val="7"/>
        <w:bidi w:val="0"/>
        <w:rPr>
          <w:rFonts w:hint="eastAsia"/>
          <w:lang w:val="en-US" w:eastAsia="zh-CN"/>
        </w:rPr>
      </w:pPr>
      <w:r>
        <w:rPr>
          <w:rFonts w:hint="eastAsia"/>
          <w:lang w:val="en-US" w:eastAsia="zh-CN"/>
        </w:rPr>
        <w:t>本项目温室气体核算范围主要包括以下排放：燃料燃烧产生的二氧化碳排放；过程排放；企业购入和输出的电力热力产生的二氧化碳排放。</w:t>
      </w:r>
    </w:p>
    <w:p>
      <w:pPr>
        <w:pStyle w:val="5"/>
        <w:bidi w:val="0"/>
        <w:rPr>
          <w:rFonts w:hint="eastAsia"/>
          <w:lang w:val="en-US" w:eastAsia="zh-CN"/>
        </w:rPr>
      </w:pPr>
      <w:bookmarkStart w:id="158" w:name="_Toc8209"/>
      <w:r>
        <w:rPr>
          <w:rFonts w:hint="eastAsia"/>
          <w:lang w:val="en-US" w:eastAsia="zh-CN"/>
        </w:rPr>
        <w:t>8.2碳排放政策符合性分析</w:t>
      </w:r>
      <w:bookmarkEnd w:id="158"/>
    </w:p>
    <w:p>
      <w:pPr>
        <w:pStyle w:val="7"/>
        <w:bidi w:val="0"/>
        <w:rPr>
          <w:rFonts w:hint="eastAsia"/>
          <w:lang w:val="en-US" w:eastAsia="zh-CN"/>
        </w:rPr>
      </w:pPr>
      <w:r>
        <w:rPr>
          <w:rFonts w:hint="eastAsia"/>
          <w:lang w:val="en-US" w:eastAsia="zh-CN"/>
        </w:rPr>
        <w:t>本项目生产工艺先进，选用成熟、可靠的合金制造生产工艺，熔炼炉以清洁能源天然气为燃料。在整个工艺装置中，通过流程的优化，设备的合理设计和选择等措施来提高装置的能量利用率。</w:t>
      </w:r>
    </w:p>
    <w:p>
      <w:pPr>
        <w:pStyle w:val="7"/>
        <w:bidi w:val="0"/>
        <w:rPr>
          <w:rFonts w:hint="eastAsia"/>
          <w:b/>
          <w:bCs/>
          <w:lang w:val="en-US" w:eastAsia="zh-CN"/>
        </w:rPr>
      </w:pPr>
      <w:r>
        <w:rPr>
          <w:rFonts w:hint="eastAsia"/>
          <w:b/>
          <w:bCs/>
          <w:lang w:val="en-US" w:eastAsia="zh-CN"/>
        </w:rPr>
        <w:t>1、与《关于加快建立健全绿色低碳循环发展经济体系的指导意见》（国发〔2021〕4号）相符性</w:t>
      </w:r>
    </w:p>
    <w:p>
      <w:pPr>
        <w:pStyle w:val="7"/>
        <w:bidi w:val="0"/>
        <w:rPr>
          <w:rFonts w:hint="eastAsia"/>
          <w:lang w:val="en-US" w:eastAsia="zh-CN"/>
        </w:rPr>
      </w:pPr>
      <w:r>
        <w:rPr>
          <w:rFonts w:hint="eastAsia"/>
          <w:lang w:val="en-US" w:eastAsia="zh-CN"/>
        </w:rPr>
        <w:t>根据《关于加快建立健全绿色低碳循环发展经济体系的指导意见》（国发〔2021〕4号）：“加快实施钢铁、石化、化工、有色、建材、纺织、造纸、皮革等行业绿色化改造。建设资源综合利用基地，促进工业固体废物综合利用。全面推行清洁生产，依法在“双超双有高耗能”行业实施强制性清洁生产审核。完善“散乱污”企业认定办法，分类实施关停取缔、整合搬迁、整改提升等措施。加快实施排污许可制度。加强工业生产过程中危险废物管理。”</w:t>
      </w:r>
    </w:p>
    <w:p>
      <w:pPr>
        <w:pStyle w:val="7"/>
        <w:bidi w:val="0"/>
        <w:rPr>
          <w:rFonts w:hint="eastAsia"/>
          <w:lang w:val="en-US" w:eastAsia="zh-CN"/>
        </w:rPr>
      </w:pPr>
      <w:r>
        <w:rPr>
          <w:rFonts w:hint="eastAsia"/>
          <w:lang w:val="en-US" w:eastAsia="zh-CN"/>
        </w:rPr>
        <w:t>本项目优化用能结构，采用电力、天然气等低碳能源；使用先进适用的工艺技术和装备；采用可行的污染防治措施。本项目清洁生产水平可达到国内清洁生产先进水平的要求；固废均得到有效处置。因此，项目符合《关于加快建立健全绿色低碳循环发展经济体系的指导意见》（国发〔2021〕4号）文件要求。</w:t>
      </w:r>
    </w:p>
    <w:p>
      <w:pPr>
        <w:pStyle w:val="7"/>
        <w:bidi w:val="0"/>
        <w:rPr>
          <w:rFonts w:hint="default"/>
          <w:b/>
          <w:bCs/>
          <w:lang w:val="en-US"/>
        </w:rPr>
      </w:pPr>
      <w:r>
        <w:rPr>
          <w:rFonts w:hint="eastAsia"/>
          <w:b/>
          <w:bCs/>
          <w:lang w:val="en-US" w:eastAsia="zh-CN"/>
        </w:rPr>
        <w:t>2、与《国务院关于印发</w:t>
      </w:r>
      <w:r>
        <w:rPr>
          <w:b/>
          <w:bCs/>
          <w:lang w:val="en-US" w:eastAsia="zh-CN"/>
        </w:rPr>
        <w:t>2030</w:t>
      </w:r>
      <w:r>
        <w:rPr>
          <w:rFonts w:hint="eastAsia"/>
          <w:b/>
          <w:bCs/>
          <w:lang w:val="en-US" w:eastAsia="zh-CN"/>
        </w:rPr>
        <w:t>年前碳达峰行动方案的通知》（国发〔</w:t>
      </w:r>
      <w:r>
        <w:rPr>
          <w:rFonts w:hint="default"/>
          <w:b/>
          <w:bCs/>
          <w:lang w:val="en-US" w:eastAsia="zh-CN"/>
        </w:rPr>
        <w:t>2021</w:t>
      </w:r>
      <w:r>
        <w:rPr>
          <w:rFonts w:hint="eastAsia"/>
          <w:b/>
          <w:bCs/>
          <w:lang w:val="en-US" w:eastAsia="zh-CN"/>
        </w:rPr>
        <w:t>〕</w:t>
      </w:r>
      <w:r>
        <w:rPr>
          <w:rFonts w:hint="default"/>
          <w:b/>
          <w:bCs/>
          <w:lang w:val="en-US" w:eastAsia="zh-CN"/>
        </w:rPr>
        <w:t>23</w:t>
      </w:r>
      <w:r>
        <w:rPr>
          <w:rFonts w:hint="eastAsia"/>
          <w:b/>
          <w:bCs/>
          <w:lang w:val="en-US" w:eastAsia="zh-CN"/>
        </w:rPr>
        <w:t>号）符合性分析</w:t>
      </w:r>
    </w:p>
    <w:p>
      <w:pPr>
        <w:pStyle w:val="41"/>
        <w:bidi w:val="0"/>
        <w:rPr>
          <w:rFonts w:hint="default"/>
          <w:lang w:val="en-US" w:eastAsia="zh-CN"/>
        </w:rPr>
      </w:pPr>
      <w:r>
        <w:rPr>
          <w:rFonts w:hint="eastAsia"/>
          <w:lang w:val="en-US" w:eastAsia="zh-CN"/>
        </w:rPr>
        <w:t>表8.2-1  与《2030年前碳达峰行动方案》符合性分析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8"/>
        <w:gridCol w:w="3253"/>
        <w:gridCol w:w="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0" w:type="pct"/>
            <w:noWrap w:val="0"/>
            <w:vAlign w:val="center"/>
          </w:tcPr>
          <w:p>
            <w:pPr>
              <w:pStyle w:val="33"/>
              <w:bidi w:val="0"/>
              <w:jc w:val="center"/>
              <w:rPr>
                <w:rFonts w:hint="eastAsia"/>
                <w:lang w:val="en-US" w:eastAsia="zh-CN"/>
              </w:rPr>
            </w:pPr>
            <w:r>
              <w:rPr>
                <w:rFonts w:hint="eastAsia"/>
                <w:lang w:val="en-US" w:eastAsia="zh-CN"/>
              </w:rPr>
              <w:t>相关要求</w:t>
            </w:r>
          </w:p>
        </w:tc>
        <w:tc>
          <w:tcPr>
            <w:tcW w:w="1908" w:type="pct"/>
            <w:noWrap w:val="0"/>
            <w:vAlign w:val="center"/>
          </w:tcPr>
          <w:p>
            <w:pPr>
              <w:pStyle w:val="33"/>
              <w:bidi w:val="0"/>
              <w:jc w:val="center"/>
              <w:rPr>
                <w:rFonts w:hint="eastAsia"/>
                <w:lang w:val="en-US" w:eastAsia="zh-CN"/>
              </w:rPr>
            </w:pPr>
            <w:r>
              <w:rPr>
                <w:rFonts w:hint="eastAsia"/>
                <w:lang w:val="en-US" w:eastAsia="zh-CN"/>
              </w:rPr>
              <w:t>本项目情况</w:t>
            </w:r>
          </w:p>
        </w:tc>
        <w:tc>
          <w:tcPr>
            <w:tcW w:w="411" w:type="pct"/>
            <w:noWrap w:val="0"/>
            <w:vAlign w:val="center"/>
          </w:tcPr>
          <w:p>
            <w:pPr>
              <w:pStyle w:val="33"/>
              <w:bidi w:val="0"/>
              <w:jc w:val="center"/>
              <w:rPr>
                <w:rFonts w:hint="eastAsia"/>
                <w:lang w:val="en-US" w:eastAsia="zh-CN"/>
              </w:rPr>
            </w:pPr>
            <w:r>
              <w:rPr>
                <w:rFonts w:hint="eastAsia"/>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0" w:type="pct"/>
            <w:noWrap w:val="0"/>
            <w:vAlign w:val="center"/>
          </w:tcPr>
          <w:p>
            <w:pPr>
              <w:pStyle w:val="33"/>
              <w:bidi w:val="0"/>
              <w:jc w:val="center"/>
              <w:rPr>
                <w:rFonts w:hint="eastAsia"/>
                <w:lang w:val="en-US" w:eastAsia="zh-CN"/>
              </w:rPr>
            </w:pPr>
            <w:r>
              <w:rPr>
                <w:rFonts w:hint="eastAsia"/>
                <w:lang w:val="en-US" w:eastAsia="zh-CN"/>
              </w:rPr>
              <w:t>“十四五”期间，产业结构和能源结构调整优化取得明显进展，重点行业能源利用效率大幅提升，煤炭消费增长得到严格控制，新型电力系统加快构建，绿色低碳技术研发和推广应用取得新进展，绿色生产生活方式得到普遍推行，有利于绿色低碳循环发展的政策体系进一步完善</w:t>
            </w:r>
          </w:p>
        </w:tc>
        <w:tc>
          <w:tcPr>
            <w:tcW w:w="1908" w:type="pct"/>
            <w:vMerge w:val="restart"/>
            <w:noWrap w:val="0"/>
            <w:vAlign w:val="center"/>
          </w:tcPr>
          <w:p>
            <w:pPr>
              <w:pStyle w:val="33"/>
              <w:bidi w:val="0"/>
              <w:jc w:val="center"/>
              <w:rPr>
                <w:rFonts w:hint="default"/>
                <w:lang w:val="en-US" w:eastAsia="zh-CN"/>
              </w:rPr>
            </w:pPr>
            <w:r>
              <w:rPr>
                <w:rFonts w:hint="default"/>
                <w:lang w:val="en-US" w:eastAsia="zh-CN"/>
              </w:rPr>
              <w:t>本项目产业符合《产业结构调整指导目录（2019年本）》及修订本的产业政策要求，项目能源主要采用电能和</w:t>
            </w:r>
            <w:r>
              <w:rPr>
                <w:rFonts w:hint="eastAsia"/>
                <w:lang w:val="en-US" w:eastAsia="zh-CN"/>
              </w:rPr>
              <w:t>天然气</w:t>
            </w:r>
            <w:r>
              <w:rPr>
                <w:rFonts w:hint="default"/>
                <w:lang w:val="en-US" w:eastAsia="zh-CN"/>
              </w:rPr>
              <w:t>，未使用煤炭</w:t>
            </w:r>
          </w:p>
        </w:tc>
        <w:tc>
          <w:tcPr>
            <w:tcW w:w="411" w:type="pct"/>
            <w:noWrap w:val="0"/>
            <w:vAlign w:val="center"/>
          </w:tcPr>
          <w:p>
            <w:pPr>
              <w:pStyle w:val="33"/>
              <w:bidi w:val="0"/>
              <w:jc w:val="center"/>
              <w:rPr>
                <w:rFonts w:hint="default"/>
                <w:lang w:val="en-US" w:eastAsia="zh-CN"/>
              </w:rPr>
            </w:pPr>
            <w:r>
              <w:rPr>
                <w:rFonts w:hint="eastAsia"/>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0" w:type="pct"/>
            <w:noWrap w:val="0"/>
            <w:vAlign w:val="center"/>
          </w:tcPr>
          <w:p>
            <w:pPr>
              <w:pStyle w:val="33"/>
              <w:bidi w:val="0"/>
              <w:jc w:val="center"/>
              <w:rPr>
                <w:rFonts w:hint="eastAsia"/>
                <w:lang w:val="en-US" w:eastAsia="zh-CN"/>
              </w:rPr>
            </w:pPr>
            <w:r>
              <w:rPr>
                <w:rFonts w:hint="eastAsia"/>
                <w:lang w:val="en-US" w:eastAsia="zh-CN"/>
              </w:rPr>
              <w:t>“十五五”期间，产业结构调整取得重大进展，清洁低碳安全高效的能源体系初步建立，重点领域低碳发展模式基本形成，重点耗能行业能源利用效率达到国际先进水平，非化石能源消费比重进一步提高，煤炭消费逐步减少，绿色低碳技术取得关键突破，绿色生活方式成为公众自觉择，绿色低碳循环发展政策体系基本健全。</w:t>
            </w:r>
          </w:p>
        </w:tc>
        <w:tc>
          <w:tcPr>
            <w:tcW w:w="1908" w:type="pct"/>
            <w:vMerge w:val="continue"/>
            <w:noWrap w:val="0"/>
            <w:vAlign w:val="center"/>
          </w:tcPr>
          <w:p>
            <w:pPr>
              <w:pStyle w:val="33"/>
              <w:bidi w:val="0"/>
              <w:jc w:val="center"/>
              <w:rPr>
                <w:rFonts w:hint="eastAsia"/>
                <w:lang w:val="en-US" w:eastAsia="zh-CN"/>
              </w:rPr>
            </w:pPr>
          </w:p>
        </w:tc>
        <w:tc>
          <w:tcPr>
            <w:tcW w:w="411" w:type="pct"/>
            <w:noWrap w:val="0"/>
            <w:vAlign w:val="center"/>
          </w:tcPr>
          <w:p>
            <w:pPr>
              <w:pStyle w:val="33"/>
              <w:bidi w:val="0"/>
              <w:jc w:val="center"/>
              <w:rPr>
                <w:rFonts w:hint="eastAsia"/>
                <w:lang w:val="en-US" w:eastAsia="zh-CN"/>
              </w:rPr>
            </w:pPr>
            <w:r>
              <w:rPr>
                <w:rFonts w:hint="eastAsia"/>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0" w:type="pct"/>
            <w:noWrap w:val="0"/>
            <w:vAlign w:val="center"/>
          </w:tcPr>
          <w:p>
            <w:pPr>
              <w:pStyle w:val="33"/>
              <w:bidi w:val="0"/>
              <w:jc w:val="center"/>
              <w:rPr>
                <w:rFonts w:hint="eastAsia"/>
                <w:lang w:val="en-US" w:eastAsia="zh-CN"/>
              </w:rPr>
            </w:pPr>
            <w:r>
              <w:rPr>
                <w:rFonts w:hint="eastAsia"/>
                <w:lang w:val="en-US" w:eastAsia="zh-CN"/>
              </w:rPr>
              <w:t>实施节能降碳重点工程。实施重点行业节能降碳工程，推动电力、钢铁、有色金属、建材、石化化工等行业开展节能降碳改造，提升能源资源利用效率。实施重大节能降碳技术示范工程，支持已取得突破的绿色低碳关键技术开展产业化示范应用。</w:t>
            </w:r>
          </w:p>
        </w:tc>
        <w:tc>
          <w:tcPr>
            <w:tcW w:w="1908" w:type="pct"/>
            <w:noWrap w:val="0"/>
            <w:vAlign w:val="center"/>
          </w:tcPr>
          <w:p>
            <w:pPr>
              <w:pStyle w:val="33"/>
              <w:bidi w:val="0"/>
              <w:jc w:val="center"/>
              <w:rPr>
                <w:rFonts w:hint="default"/>
                <w:lang w:val="en-US" w:eastAsia="zh-CN"/>
              </w:rPr>
            </w:pPr>
            <w:r>
              <w:rPr>
                <w:rFonts w:hint="eastAsia"/>
                <w:lang w:val="en-US" w:eastAsia="zh-CN"/>
              </w:rPr>
              <w:t>建设项目优先选用绿色节能工艺和技术，使用天然气和太阳能改变企业的能源结构，可以降低碳排放量，更加有利于减少碳排放。</w:t>
            </w:r>
          </w:p>
        </w:tc>
        <w:tc>
          <w:tcPr>
            <w:tcW w:w="411" w:type="pct"/>
            <w:noWrap w:val="0"/>
            <w:vAlign w:val="center"/>
          </w:tcPr>
          <w:p>
            <w:pPr>
              <w:pStyle w:val="33"/>
              <w:bidi w:val="0"/>
              <w:jc w:val="center"/>
              <w:rPr>
                <w:rFonts w:hint="eastAsia"/>
                <w:lang w:val="en-US" w:eastAsia="zh-CN"/>
              </w:rPr>
            </w:pPr>
            <w:r>
              <w:rPr>
                <w:rFonts w:hint="eastAsia"/>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0" w:type="pct"/>
            <w:noWrap w:val="0"/>
            <w:vAlign w:val="center"/>
          </w:tcPr>
          <w:p>
            <w:pPr>
              <w:pStyle w:val="33"/>
              <w:bidi w:val="0"/>
              <w:jc w:val="center"/>
              <w:rPr>
                <w:rFonts w:hint="eastAsia"/>
                <w:lang w:val="en-US" w:eastAsia="zh-CN"/>
              </w:rPr>
            </w:pPr>
            <w:r>
              <w:rPr>
                <w:rFonts w:hint="eastAsia"/>
                <w:lang w:val="en-US" w:eastAsia="zh-CN"/>
              </w:rPr>
              <w:t>推进重点用能设备节能增效。以电机、风机、泵、压缩机、变压器、换热器、工业锅炉等设备为重点，全面提升能效标准。建立以能效为导向的激励约束机制，推广先进高效产品设备，加快淘汰落后低效设备。加强重点用能设备节能审查和日常监管，强化生产、经营、销售、使用、报废全链条管理，严厉打击违法违规行为，确保能效标准和节能要求全面落实。</w:t>
            </w:r>
          </w:p>
        </w:tc>
        <w:tc>
          <w:tcPr>
            <w:tcW w:w="1908" w:type="pct"/>
            <w:noWrap w:val="0"/>
            <w:vAlign w:val="center"/>
          </w:tcPr>
          <w:p>
            <w:pPr>
              <w:pStyle w:val="33"/>
              <w:bidi w:val="0"/>
              <w:jc w:val="center"/>
              <w:rPr>
                <w:rFonts w:hint="eastAsia"/>
                <w:lang w:val="en-US" w:eastAsia="zh-CN"/>
              </w:rPr>
            </w:pPr>
            <w:r>
              <w:rPr>
                <w:rFonts w:hint="eastAsia"/>
                <w:lang w:val="en-US" w:eastAsia="zh-CN"/>
              </w:rPr>
              <w:t>本项目使用能效等级较高的电气设备，调节出力的设备尽可能采用变频控制，减少电力在变配及使用过程中的损耗，符合“重点节能设备节能增效”的要求。后期在实际运行中对不符合节能要求的设施设备及时淘汰，进行更换</w:t>
            </w:r>
          </w:p>
        </w:tc>
        <w:tc>
          <w:tcPr>
            <w:tcW w:w="411" w:type="pct"/>
            <w:noWrap w:val="0"/>
            <w:vAlign w:val="center"/>
          </w:tcPr>
          <w:p>
            <w:pPr>
              <w:pStyle w:val="33"/>
              <w:bidi w:val="0"/>
              <w:jc w:val="center"/>
              <w:rPr>
                <w:rFonts w:hint="eastAsia"/>
                <w:lang w:val="en-US" w:eastAsia="zh-CN"/>
              </w:rPr>
            </w:pPr>
            <w:r>
              <w:rPr>
                <w:rFonts w:hint="eastAsia"/>
                <w:lang w:val="en-US" w:eastAsia="zh-CN"/>
              </w:rPr>
              <w:t>符合</w:t>
            </w:r>
          </w:p>
        </w:tc>
      </w:tr>
    </w:tbl>
    <w:p>
      <w:pPr>
        <w:pStyle w:val="7"/>
        <w:bidi w:val="0"/>
        <w:rPr>
          <w:rFonts w:hint="eastAsia"/>
          <w:b/>
          <w:bCs/>
          <w:lang w:val="en-US" w:eastAsia="zh-CN"/>
        </w:rPr>
      </w:pPr>
      <w:r>
        <w:rPr>
          <w:rFonts w:hint="eastAsia"/>
          <w:b/>
          <w:bCs/>
          <w:lang w:val="en-US" w:eastAsia="zh-CN"/>
        </w:rPr>
        <w:t>3、与《关于加强高耗能、高排放项目生态环境源头防控的指导意见》（环环评〔2021〕45号）</w:t>
      </w:r>
    </w:p>
    <w:p>
      <w:pPr>
        <w:pStyle w:val="31"/>
        <w:bidi w:val="0"/>
        <w:rPr>
          <w:rFonts w:hint="default"/>
          <w:lang w:val="en-US" w:eastAsia="zh-CN"/>
        </w:rPr>
      </w:pPr>
      <w:r>
        <w:rPr>
          <w:rFonts w:hint="eastAsia"/>
          <w:lang w:val="en-US" w:eastAsia="zh-CN"/>
        </w:rPr>
        <w:t>表8.2-2  与《关于加强高耗能、高排放建设项目生态环境源头防控的指导意见》（环环评[2021]45号）符合性分析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9"/>
        <w:gridCol w:w="2963"/>
        <w:gridCol w:w="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2" w:type="pct"/>
            <w:noWrap w:val="0"/>
            <w:vAlign w:val="center"/>
          </w:tcPr>
          <w:p>
            <w:pPr>
              <w:pStyle w:val="33"/>
              <w:bidi w:val="0"/>
              <w:jc w:val="center"/>
              <w:rPr>
                <w:rFonts w:hint="default"/>
                <w:lang w:val="en-US" w:eastAsia="zh-CN"/>
              </w:rPr>
            </w:pPr>
            <w:r>
              <w:rPr>
                <w:rFonts w:hint="default"/>
                <w:lang w:val="en-US" w:eastAsia="zh-CN"/>
              </w:rPr>
              <w:t>要求</w:t>
            </w:r>
          </w:p>
        </w:tc>
        <w:tc>
          <w:tcPr>
            <w:tcW w:w="1738" w:type="pct"/>
            <w:noWrap w:val="0"/>
            <w:vAlign w:val="center"/>
          </w:tcPr>
          <w:p>
            <w:pPr>
              <w:pStyle w:val="33"/>
              <w:bidi w:val="0"/>
              <w:jc w:val="center"/>
              <w:rPr>
                <w:rFonts w:hint="default"/>
                <w:lang w:val="en-US" w:eastAsia="zh-CN"/>
              </w:rPr>
            </w:pPr>
            <w:r>
              <w:rPr>
                <w:rFonts w:hint="default"/>
                <w:lang w:val="en-US" w:eastAsia="zh-CN"/>
              </w:rPr>
              <w:t>项目情况</w:t>
            </w:r>
          </w:p>
        </w:tc>
        <w:tc>
          <w:tcPr>
            <w:tcW w:w="428" w:type="pct"/>
            <w:noWrap w:val="0"/>
            <w:vAlign w:val="center"/>
          </w:tcPr>
          <w:p>
            <w:pPr>
              <w:pStyle w:val="33"/>
              <w:bidi w:val="0"/>
              <w:jc w:val="center"/>
              <w:rPr>
                <w:rFonts w:hint="default"/>
                <w:lang w:val="en-US" w:eastAsia="zh-CN"/>
              </w:rPr>
            </w:pPr>
            <w:r>
              <w:rPr>
                <w:rFonts w:hint="default"/>
                <w:lang w:val="en-US" w:eastAsia="zh-CN"/>
              </w:rPr>
              <w:t>是否</w:t>
            </w:r>
          </w:p>
          <w:p>
            <w:pPr>
              <w:pStyle w:val="33"/>
              <w:bidi w:val="0"/>
              <w:jc w:val="center"/>
              <w:rPr>
                <w:rFonts w:hint="default"/>
                <w:lang w:val="en-US" w:eastAsia="zh-CN"/>
              </w:rPr>
            </w:pPr>
            <w:r>
              <w:rPr>
                <w:rFonts w:hint="default"/>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2" w:type="pct"/>
            <w:noWrap w:val="0"/>
            <w:vAlign w:val="center"/>
          </w:tcPr>
          <w:p>
            <w:pPr>
              <w:pStyle w:val="33"/>
              <w:bidi w:val="0"/>
              <w:jc w:val="center"/>
              <w:rPr>
                <w:rFonts w:hint="default"/>
                <w:lang w:val="en-US" w:eastAsia="zh-CN"/>
              </w:rPr>
            </w:pPr>
            <w:r>
              <w:rPr>
                <w:rFonts w:hint="eastAsia"/>
                <w:lang w:val="en-US" w:eastAsia="zh-CN"/>
              </w:rPr>
              <w:t>（六）提升清洁生产和污染防治水平。新建、扩建“两高”项目应采用先进适用的工艺技术和装备，单位产品物耗、能耗、 水耗等达到清洁生产先进水平，依法制定并严格落实防治土壤与地下水污染的措施。国家或地方已出台超低排放要求的“两高”行业建设项目应满足超低排放要 求。鼓励使用清洁燃料，重点区域建设项目原则上不新建燃煤自备锅炉。鼓励重点区域高炉</w:t>
            </w:r>
            <w:r>
              <w:rPr>
                <w:rFonts w:hint="default"/>
                <w:lang w:val="en-US" w:eastAsia="zh-CN"/>
              </w:rPr>
              <w:t>-</w:t>
            </w:r>
            <w:r>
              <w:rPr>
                <w:rFonts w:hint="eastAsia"/>
                <w:lang w:val="en-US" w:eastAsia="zh-CN"/>
              </w:rPr>
              <w:t>转炉长流程钢铁企业转型为电炉短流程企业。大宗物料优先采用铁路、管道或水路运输，短途接驳优先使用新能源车辆运输</w:t>
            </w:r>
          </w:p>
        </w:tc>
        <w:tc>
          <w:tcPr>
            <w:tcW w:w="1738" w:type="pct"/>
            <w:noWrap w:val="0"/>
            <w:vAlign w:val="center"/>
          </w:tcPr>
          <w:p>
            <w:pPr>
              <w:pStyle w:val="33"/>
              <w:bidi w:val="0"/>
              <w:jc w:val="center"/>
              <w:rPr>
                <w:rFonts w:hint="default"/>
                <w:lang w:val="en-US" w:eastAsia="zh-CN"/>
              </w:rPr>
            </w:pPr>
            <w:r>
              <w:rPr>
                <w:rFonts w:hint="default"/>
                <w:lang w:val="en-US" w:eastAsia="zh-CN"/>
              </w:rPr>
              <w:t>项目单位产品物耗、能耗、水耗等达到清洁生产先进水平，项目环评已提出严格的土壤与地下水污染防治措施；项目为化工行业，暂无超低排放标准；项目能用采用电能</w:t>
            </w:r>
            <w:r>
              <w:rPr>
                <w:rFonts w:hint="eastAsia"/>
                <w:lang w:val="en-US" w:eastAsia="zh-CN"/>
              </w:rPr>
              <w:t>、天然气清洁燃料；本项目生产用铝水来自位于项目厂区东侧的云南宏泰新型材料有限公司，由于运输距离较短，项目所需铝水通过运载能力为10t的铝水抬包车进行运输，运输距离约为500m。</w:t>
            </w:r>
          </w:p>
        </w:tc>
        <w:tc>
          <w:tcPr>
            <w:tcW w:w="428" w:type="pct"/>
            <w:noWrap w:val="0"/>
            <w:vAlign w:val="center"/>
          </w:tcPr>
          <w:p>
            <w:pPr>
              <w:pStyle w:val="33"/>
              <w:bidi w:val="0"/>
              <w:jc w:val="center"/>
              <w:rPr>
                <w:rFonts w:hint="default"/>
                <w:lang w:val="en-US" w:eastAsia="zh-CN"/>
              </w:rPr>
            </w:pPr>
            <w:r>
              <w:rPr>
                <w:rFonts w:hint="eastAsia"/>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2" w:type="pct"/>
            <w:noWrap w:val="0"/>
            <w:vAlign w:val="center"/>
          </w:tcPr>
          <w:p>
            <w:pPr>
              <w:pStyle w:val="33"/>
              <w:bidi w:val="0"/>
              <w:jc w:val="center"/>
            </w:pPr>
            <w:r>
              <w:rPr>
                <w:rFonts w:hint="eastAsia"/>
                <w:lang w:val="en-US" w:eastAsia="zh-CN"/>
              </w:rPr>
              <w:t>将碳排放影响评价纳入环境影响评价体系。各级生态环境部门和行政审批部门应积极推进“两高”项目环评开展试点工作，衔接落实有关区域和行业碳达峰行动方案、清洁能源替代、清洁运输、煤炭消费总量控制等政策要求。在环评工作中，统筹开展污染物和碳排放的源项识</w:t>
            </w:r>
          </w:p>
          <w:p>
            <w:pPr>
              <w:pStyle w:val="33"/>
              <w:bidi w:val="0"/>
              <w:jc w:val="center"/>
            </w:pPr>
            <w:r>
              <w:rPr>
                <w:rFonts w:hint="eastAsia"/>
                <w:lang w:val="en-US" w:eastAsia="zh-CN"/>
              </w:rPr>
              <w:t>别、源强核算、减污降碳措施可行性论证及方案比选，提出协同控制最优方案。鼓励有条件的地区、企业探索实施减污降碳协同治理和碳捕集、封存、综合利用工程</w:t>
            </w:r>
          </w:p>
          <w:p>
            <w:pPr>
              <w:pStyle w:val="33"/>
              <w:bidi w:val="0"/>
              <w:jc w:val="center"/>
              <w:rPr>
                <w:rFonts w:hint="default"/>
                <w:lang w:val="en-US" w:eastAsia="zh-CN"/>
              </w:rPr>
            </w:pPr>
            <w:r>
              <w:rPr>
                <w:rFonts w:hint="eastAsia"/>
                <w:lang w:val="en-US" w:eastAsia="zh-CN"/>
              </w:rPr>
              <w:t>试点、示范。</w:t>
            </w:r>
          </w:p>
        </w:tc>
        <w:tc>
          <w:tcPr>
            <w:tcW w:w="1738" w:type="pct"/>
            <w:noWrap w:val="0"/>
            <w:vAlign w:val="center"/>
          </w:tcPr>
          <w:p>
            <w:pPr>
              <w:pStyle w:val="33"/>
              <w:bidi w:val="0"/>
              <w:jc w:val="center"/>
              <w:rPr>
                <w:rFonts w:hint="default"/>
                <w:lang w:val="en-US" w:eastAsia="zh-CN"/>
              </w:rPr>
            </w:pPr>
            <w:r>
              <w:rPr>
                <w:rFonts w:hint="eastAsia"/>
                <w:lang w:val="en-US" w:eastAsia="zh-CN"/>
              </w:rPr>
              <w:t>本项目以下报告中针对污染物和碳排放的源项识别、源强核算、减污降碳措施可行性论证及方案比选，提出协同控制最优方案</w:t>
            </w:r>
          </w:p>
        </w:tc>
        <w:tc>
          <w:tcPr>
            <w:tcW w:w="428" w:type="pct"/>
            <w:noWrap w:val="0"/>
            <w:vAlign w:val="center"/>
          </w:tcPr>
          <w:p>
            <w:pPr>
              <w:pStyle w:val="33"/>
              <w:bidi w:val="0"/>
              <w:jc w:val="center"/>
              <w:rPr>
                <w:rFonts w:hint="default"/>
                <w:lang w:val="en-US" w:eastAsia="zh-CN"/>
              </w:rPr>
            </w:pPr>
            <w:r>
              <w:rPr>
                <w:rFonts w:hint="eastAsia"/>
                <w:lang w:val="en-US" w:eastAsia="zh-CN"/>
              </w:rPr>
              <w:t>符合</w:t>
            </w:r>
          </w:p>
        </w:tc>
      </w:tr>
    </w:tbl>
    <w:p>
      <w:pPr>
        <w:pStyle w:val="7"/>
        <w:bidi w:val="0"/>
        <w:rPr>
          <w:rFonts w:hint="eastAsia"/>
          <w:lang w:val="en-US" w:eastAsia="zh-CN"/>
        </w:rPr>
      </w:pPr>
      <w:r>
        <w:rPr>
          <w:rFonts w:hint="eastAsia"/>
          <w:lang w:val="en-US" w:eastAsia="zh-CN"/>
        </w:rPr>
        <w:t>由上表可知，本项目与“环环评〔2021〕45号”相关要求相符。</w:t>
      </w:r>
    </w:p>
    <w:p>
      <w:pPr>
        <w:pStyle w:val="7"/>
        <w:ind w:firstLine="482"/>
        <w:rPr>
          <w:b/>
          <w:bCs/>
        </w:rPr>
      </w:pPr>
      <w:r>
        <w:rPr>
          <w:rFonts w:hint="eastAsia"/>
          <w:b/>
          <w:bCs/>
          <w:lang w:val="en-US" w:eastAsia="zh-CN"/>
        </w:rPr>
        <w:t>4</w:t>
      </w:r>
      <w:r>
        <w:rPr>
          <w:rFonts w:hint="eastAsia"/>
          <w:b/>
          <w:bCs/>
        </w:rPr>
        <w:t>、项目与“文山州人民政府关于印发《文山州“三线一单”生态环境分区管控实施方案》的通知（文政发〔2021〕24号）”的符合性分析</w:t>
      </w:r>
    </w:p>
    <w:p>
      <w:pPr>
        <w:pStyle w:val="7"/>
        <w:ind w:firstLine="480"/>
      </w:pPr>
      <w:r>
        <w:rPr>
          <w:rFonts w:hint="eastAsia"/>
        </w:rPr>
        <w:t>根据文山州人民政府关于印发《文山州“三线一单”生态环境分区管控实施方案》的通知（文政发〔2021〕24号），对照重点管控单元生态环境准入清单，本项目位于砚山工业集中区重点管控单元，本项目的建设符合重点管控单元生态环境准入清单的相关要求。具体见下表。</w:t>
      </w:r>
    </w:p>
    <w:p>
      <w:pPr>
        <w:pStyle w:val="31"/>
      </w:pPr>
      <w:r>
        <w:rPr>
          <w:rFonts w:hint="eastAsia"/>
        </w:rPr>
        <w:t>表</w:t>
      </w:r>
      <w:r>
        <w:rPr>
          <w:rFonts w:hint="eastAsia"/>
          <w:lang w:val="en-US" w:eastAsia="zh-CN"/>
        </w:rPr>
        <w:t>8.2-3</w:t>
      </w:r>
      <w:r>
        <w:rPr>
          <w:rFonts w:hint="eastAsia"/>
        </w:rPr>
        <w:t xml:space="preserve">  重点管控单元生态环境准入清单</w:t>
      </w:r>
    </w:p>
    <w:tbl>
      <w:tblPr>
        <w:tblStyle w:val="27"/>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7"/>
        <w:gridCol w:w="443"/>
        <w:gridCol w:w="694"/>
        <w:gridCol w:w="4581"/>
        <w:gridCol w:w="1563"/>
        <w:gridCol w:w="8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24" w:type="pct"/>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名称 </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 xml:space="preserve">建设内容及规模 </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本项目</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砚山县</w:t>
            </w:r>
          </w:p>
        </w:tc>
        <w:tc>
          <w:tcPr>
            <w:tcW w:w="260" w:type="pct"/>
            <w:vMerge w:val="restart"/>
            <w:tcBorders>
              <w:top w:val="single" w:color="auto" w:sz="4" w:space="0"/>
              <w:left w:val="single" w:color="auto" w:sz="4" w:space="0"/>
              <w:right w:val="single" w:color="auto" w:sz="4" w:space="0"/>
            </w:tcBorders>
            <w:shd w:val="clear" w:color="auto" w:fill="auto"/>
            <w:vAlign w:val="center"/>
          </w:tcPr>
          <w:p>
            <w:pPr>
              <w:pStyle w:val="33"/>
            </w:pPr>
            <w:r>
              <w:rPr>
                <w:rFonts w:hint="eastAsia"/>
              </w:rPr>
              <w:t>砚山工业集中区重点管控单元</w:t>
            </w: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空间</w:t>
            </w:r>
          </w:p>
          <w:p>
            <w:pPr>
              <w:pStyle w:val="33"/>
            </w:pPr>
            <w:r>
              <w:rPr>
                <w:rFonts w:hint="eastAsia"/>
              </w:rPr>
              <w:t>布局</w:t>
            </w:r>
          </w:p>
          <w:p>
            <w:pPr>
              <w:pStyle w:val="33"/>
            </w:pPr>
            <w:r>
              <w:rPr>
                <w:rFonts w:hint="eastAsia"/>
              </w:rPr>
              <w:t>约束</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1.严格按照工业集中区功能定位进行内部产业布局。</w:t>
            </w:r>
          </w:p>
          <w:p>
            <w:pPr>
              <w:pStyle w:val="33"/>
              <w:jc w:val="both"/>
            </w:pPr>
            <w:r>
              <w:rPr>
                <w:rFonts w:hint="eastAsia"/>
              </w:rPr>
              <w:t>2.严格落实工业集中区规划环评要求。</w:t>
            </w:r>
          </w:p>
          <w:p>
            <w:pPr>
              <w:pStyle w:val="33"/>
              <w:jc w:val="both"/>
            </w:pPr>
            <w:r>
              <w:rPr>
                <w:rFonts w:hint="eastAsia"/>
              </w:rPr>
              <w:t>3.二道箐片区位于具有饮用水功能的红舍克水库水文地质单元的上游，地下水敏感程度高，严禁布设重污染、环境空间风险高的产业项目。</w:t>
            </w:r>
          </w:p>
          <w:p>
            <w:pPr>
              <w:pStyle w:val="33"/>
              <w:jc w:val="both"/>
            </w:pPr>
            <w:r>
              <w:rPr>
                <w:rFonts w:hint="eastAsia"/>
              </w:rPr>
              <w:t>4.二道箐片区为岩溶地质构造，须强化地下水污染防控措施，不得建设危废填埋场。</w:t>
            </w:r>
          </w:p>
          <w:p>
            <w:pPr>
              <w:pStyle w:val="33"/>
              <w:jc w:val="both"/>
            </w:pPr>
            <w:r>
              <w:rPr>
                <w:rFonts w:hint="eastAsia"/>
              </w:rPr>
              <w:t>5.对平远镇、阿舍乡、八嘎乡加强重金属污染防治，实行总量控制，严格环境准入管理，依法关停达标无望、治理整顿后仍不能稳定达标的涉重金属企业。确保农用地和建设用地土壤环境安全得到有效保障，土壤环境风险得到全面管控。</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项目位于砚山工业园区布标片区范围内，</w:t>
            </w:r>
            <w:r>
              <w:rPr>
                <w:rStyle w:val="51"/>
              </w:rPr>
              <w:t>本项目用地范围为工业三类用地</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continue"/>
            <w:tcBorders>
              <w:left w:val="single" w:color="auto" w:sz="4" w:space="0"/>
              <w:right w:val="single" w:color="auto" w:sz="4" w:space="0"/>
            </w:tcBorders>
            <w:shd w:val="clear" w:color="auto" w:fill="auto"/>
            <w:vAlign w:val="center"/>
          </w:tcPr>
          <w:p>
            <w:pPr>
              <w:pStyle w:val="33"/>
            </w:pPr>
          </w:p>
        </w:tc>
        <w:tc>
          <w:tcPr>
            <w:tcW w:w="260" w:type="pct"/>
            <w:vMerge w:val="continue"/>
            <w:tcBorders>
              <w:left w:val="single" w:color="auto" w:sz="4" w:space="0"/>
              <w:right w:val="single" w:color="auto" w:sz="4" w:space="0"/>
            </w:tcBorders>
            <w:shd w:val="clear" w:color="auto" w:fill="auto"/>
            <w:vAlign w:val="center"/>
          </w:tcPr>
          <w:p>
            <w:pPr>
              <w:pStyle w:val="33"/>
            </w:pP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污染物排放管控</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1.工业集中区位于盘龙河上游、清水河水库枢纽工程上游，应做到废水封闭循环使用不外排。</w:t>
            </w:r>
          </w:p>
          <w:p>
            <w:pPr>
              <w:pStyle w:val="33"/>
              <w:jc w:val="both"/>
            </w:pPr>
            <w:r>
              <w:rPr>
                <w:rFonts w:hint="eastAsia"/>
              </w:rPr>
              <w:t>2.严格固体废物管理，确保固体废物处理率达到100%，同时做好危险废物的处理处置及监管工作。</w:t>
            </w:r>
          </w:p>
          <w:p>
            <w:pPr>
              <w:pStyle w:val="33"/>
              <w:jc w:val="both"/>
            </w:pPr>
            <w:r>
              <w:rPr>
                <w:rFonts w:hint="eastAsia"/>
              </w:rPr>
              <w:t>3.大气环境质量保持在国家大气环境质量二级标准以内工业集中区废气达标排放。</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项目废气处理达标后排放，初期雨水收集后回用于循环水系统，固废资源化利用或采取妥善处置措施</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continue"/>
            <w:tcBorders>
              <w:left w:val="single" w:color="auto" w:sz="4" w:space="0"/>
              <w:right w:val="single" w:color="auto" w:sz="4" w:space="0"/>
            </w:tcBorders>
            <w:shd w:val="clear" w:color="auto" w:fill="auto"/>
            <w:vAlign w:val="center"/>
          </w:tcPr>
          <w:p>
            <w:pPr>
              <w:pStyle w:val="33"/>
            </w:pPr>
          </w:p>
        </w:tc>
        <w:tc>
          <w:tcPr>
            <w:tcW w:w="260" w:type="pct"/>
            <w:vMerge w:val="continue"/>
            <w:tcBorders>
              <w:left w:val="single" w:color="auto" w:sz="4" w:space="0"/>
              <w:right w:val="single" w:color="auto" w:sz="4" w:space="0"/>
            </w:tcBorders>
            <w:shd w:val="clear" w:color="auto" w:fill="auto"/>
            <w:vAlign w:val="center"/>
          </w:tcPr>
          <w:p>
            <w:pPr>
              <w:pStyle w:val="33"/>
            </w:pP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环境风险防控</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1.工业集中区应做好环境风险防范和编制应急预案，以降低突发性环境污染事件发生的风险，并减缓环境风险的影响程度和范围。</w:t>
            </w:r>
          </w:p>
          <w:p>
            <w:pPr>
              <w:pStyle w:val="33"/>
              <w:jc w:val="both"/>
            </w:pPr>
            <w:r>
              <w:rPr>
                <w:rFonts w:hint="eastAsia"/>
              </w:rPr>
              <w:t>2.工业企业应有完善的风险防范措施，保障居民生活环境的安全。</w:t>
            </w:r>
          </w:p>
          <w:p>
            <w:pPr>
              <w:pStyle w:val="33"/>
              <w:jc w:val="both"/>
            </w:pPr>
            <w:r>
              <w:rPr>
                <w:rFonts w:hint="eastAsia"/>
              </w:rPr>
              <w:t>3.建立健全突发环境事件预警应急机制。</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本次评价已提出相应风险防</w:t>
            </w:r>
          </w:p>
          <w:p>
            <w:pPr>
              <w:pStyle w:val="33"/>
              <w:jc w:val="both"/>
            </w:pPr>
            <w:r>
              <w:t>控措施，</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57"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260" w:type="pct"/>
            <w:vMerge w:val="continue"/>
            <w:tcBorders>
              <w:left w:val="single" w:color="auto" w:sz="4" w:space="0"/>
              <w:bottom w:val="single" w:color="auto" w:sz="4" w:space="0"/>
              <w:right w:val="single" w:color="auto" w:sz="4" w:space="0"/>
            </w:tcBorders>
            <w:shd w:val="clear" w:color="auto" w:fill="auto"/>
            <w:vAlign w:val="center"/>
          </w:tcPr>
          <w:p>
            <w:pPr>
              <w:pStyle w:val="33"/>
            </w:pPr>
          </w:p>
        </w:tc>
        <w:tc>
          <w:tcPr>
            <w:tcW w:w="4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资源开发效率要求</w:t>
            </w:r>
          </w:p>
        </w:tc>
        <w:tc>
          <w:tcPr>
            <w:tcW w:w="268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jc w:val="both"/>
            </w:pPr>
            <w:r>
              <w:rPr>
                <w:rFonts w:hint="eastAsia"/>
              </w:rPr>
              <w:t>1.项目入驻，不得超过工业集中区已确定的土地、水、能源等主要资源能源可开发利用总量。</w:t>
            </w:r>
          </w:p>
          <w:p>
            <w:pPr>
              <w:pStyle w:val="33"/>
              <w:jc w:val="both"/>
            </w:pPr>
            <w:r>
              <w:rPr>
                <w:rFonts w:hint="eastAsia"/>
              </w:rPr>
              <w:t>2.推进循环发展，推广国家鼓励的工业节水工艺、技术和装备，提高水资源利用效率、水的复用率、工业用水重复利用率和中水回用率。</w:t>
            </w:r>
          </w:p>
        </w:tc>
        <w:tc>
          <w:tcPr>
            <w:tcW w:w="91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本项目采用先进的生产工艺和设备，具有较高的清洁生产水平，初期雨水处理达标后回用于循环水系统，废气处理达标后排放</w:t>
            </w:r>
          </w:p>
        </w:tc>
        <w:tc>
          <w:tcPr>
            <w:tcW w:w="47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3"/>
            </w:pPr>
            <w:r>
              <w:rPr>
                <w:rFonts w:hint="eastAsia"/>
              </w:rPr>
              <w:t>符合</w:t>
            </w:r>
          </w:p>
        </w:tc>
      </w:tr>
    </w:tbl>
    <w:p>
      <w:pPr>
        <w:pStyle w:val="5"/>
        <w:bidi w:val="0"/>
        <w:rPr>
          <w:rFonts w:hint="eastAsia"/>
          <w:lang w:val="en-US" w:eastAsia="zh-CN"/>
        </w:rPr>
      </w:pPr>
      <w:bookmarkStart w:id="159" w:name="_Toc17467"/>
      <w:r>
        <w:rPr>
          <w:rFonts w:hint="eastAsia"/>
          <w:lang w:val="en-US" w:eastAsia="zh-CN"/>
        </w:rPr>
        <w:t>8.3建设项目碳排放分析</w:t>
      </w:r>
      <w:bookmarkEnd w:id="159"/>
    </w:p>
    <w:p>
      <w:pPr>
        <w:pStyle w:val="8"/>
        <w:bidi w:val="0"/>
        <w:rPr>
          <w:rFonts w:hint="eastAsia"/>
          <w:lang w:val="en-US" w:eastAsia="zh-CN"/>
        </w:rPr>
      </w:pPr>
      <w:r>
        <w:rPr>
          <w:rFonts w:hint="eastAsia"/>
          <w:lang w:val="en-US" w:eastAsia="zh-CN"/>
        </w:rPr>
        <w:t>8.3.1碳排放影响因素分析</w:t>
      </w:r>
    </w:p>
    <w:p>
      <w:pPr>
        <w:pStyle w:val="7"/>
        <w:bidi w:val="0"/>
        <w:rPr>
          <w:rFonts w:hint="eastAsia"/>
          <w:b/>
          <w:bCs/>
          <w:lang w:val="en-US" w:eastAsia="zh-CN"/>
        </w:rPr>
      </w:pPr>
      <w:r>
        <w:rPr>
          <w:rFonts w:hint="eastAsia"/>
          <w:b/>
          <w:bCs/>
          <w:lang w:val="en-US" w:eastAsia="zh-CN"/>
        </w:rPr>
        <w:t>1、评价范围</w:t>
      </w:r>
    </w:p>
    <w:p>
      <w:pPr>
        <w:pStyle w:val="7"/>
        <w:bidi w:val="0"/>
        <w:rPr>
          <w:rFonts w:hint="eastAsia"/>
          <w:lang w:val="en-US" w:eastAsia="zh-CN"/>
        </w:rPr>
      </w:pPr>
      <w:r>
        <w:rPr>
          <w:rFonts w:hint="eastAsia"/>
          <w:lang w:val="en-US" w:eastAsia="zh-CN"/>
        </w:rPr>
        <w:t>根据《温室气体排放核算与报告要求第4部分：铝冶炼企业》（GB/T32151.4-2015），本项目评价范围以企业法人的独立核算单位为边界，核算其生产系统产生的温室气体排放。包括主要生产系统、辅助生产系统及直接为生产服务的附属生产系统，其中辅助生产系统包括动力、供电、供水、化验机修、库房、运输等，附属生产系统包括生产指挥系统和厂区内为生产服务的部门和单位。</w:t>
      </w:r>
    </w:p>
    <w:p>
      <w:pPr>
        <w:pStyle w:val="7"/>
        <w:bidi w:val="0"/>
        <w:rPr>
          <w:rFonts w:hint="eastAsia"/>
          <w:lang w:val="en-US" w:eastAsia="zh-CN"/>
        </w:rPr>
      </w:pPr>
      <w:r>
        <w:rPr>
          <w:rFonts w:hint="eastAsia"/>
          <w:lang w:val="en-US" w:eastAsia="zh-CN"/>
        </w:rPr>
        <w:t>本项目温室气体核算范围主要包括以下排放：燃料燃烧产生的二氧化碳排放；过程排放；企业购入和输出的电力热力产生的二氧化碳排放。</w:t>
      </w:r>
    </w:p>
    <w:p>
      <w:pPr>
        <w:pStyle w:val="7"/>
        <w:bidi w:val="0"/>
        <w:rPr>
          <w:rFonts w:hint="eastAsia"/>
          <w:b/>
          <w:bCs/>
          <w:lang w:val="en-US" w:eastAsia="zh-CN"/>
        </w:rPr>
      </w:pPr>
      <w:r>
        <w:rPr>
          <w:rFonts w:hint="eastAsia"/>
          <w:b/>
          <w:bCs/>
          <w:lang w:val="en-US" w:eastAsia="zh-CN"/>
        </w:rPr>
        <w:t>2、碳排放源识别</w:t>
      </w:r>
    </w:p>
    <w:p>
      <w:pPr>
        <w:pStyle w:val="7"/>
        <w:bidi w:val="0"/>
        <w:rPr>
          <w:rFonts w:hint="eastAsia"/>
          <w:lang w:val="en-US" w:eastAsia="zh-CN"/>
        </w:rPr>
      </w:pPr>
      <w:r>
        <w:rPr>
          <w:rFonts w:hint="eastAsia"/>
          <w:lang w:val="en-US" w:eastAsia="zh-CN"/>
        </w:rPr>
        <w:t>根据《温室气体排放核算与报告要求第4部分：铝冶炼企业》（GB/T32151.4-2015），本项目精炼剂主要成分为Na</w:t>
      </w:r>
      <w:r>
        <w:rPr>
          <w:rFonts w:hint="eastAsia"/>
          <w:vertAlign w:val="subscript"/>
          <w:lang w:val="en-US" w:eastAsia="zh-CN"/>
        </w:rPr>
        <w:t>3</w:t>
      </w:r>
      <w:r>
        <w:rPr>
          <w:rFonts w:hint="eastAsia"/>
          <w:lang w:val="en-US" w:eastAsia="zh-CN"/>
        </w:rPr>
        <w:t>AlF</w:t>
      </w:r>
      <w:r>
        <w:rPr>
          <w:rFonts w:hint="eastAsia"/>
          <w:vertAlign w:val="subscript"/>
          <w:lang w:val="en-US" w:eastAsia="zh-CN"/>
        </w:rPr>
        <w:t>6</w:t>
      </w:r>
      <w:r>
        <w:rPr>
          <w:rFonts w:hint="eastAsia"/>
          <w:lang w:val="en-US" w:eastAsia="zh-CN"/>
        </w:rPr>
        <w:t>、Na</w:t>
      </w:r>
      <w:r>
        <w:rPr>
          <w:rFonts w:hint="eastAsia"/>
          <w:vertAlign w:val="subscript"/>
          <w:lang w:val="en-US" w:eastAsia="zh-CN"/>
        </w:rPr>
        <w:t>2</w:t>
      </w:r>
      <w:r>
        <w:rPr>
          <w:rFonts w:hint="eastAsia"/>
          <w:lang w:val="en-US" w:eastAsia="zh-CN"/>
        </w:rPr>
        <w:t>SiF</w:t>
      </w:r>
      <w:r>
        <w:rPr>
          <w:rFonts w:hint="eastAsia"/>
          <w:vertAlign w:val="subscript"/>
          <w:lang w:val="en-US" w:eastAsia="zh-CN"/>
        </w:rPr>
        <w:t>6</w:t>
      </w:r>
      <w:r>
        <w:rPr>
          <w:rFonts w:hint="eastAsia"/>
          <w:lang w:val="en-US" w:eastAsia="zh-CN"/>
        </w:rPr>
        <w:t>、NaCl、KCl，不含碳酸钠或碳酸钙，故本项目无过程排放。本项目碳排放源强主要分为直接排放源和能源间接排放源。</w:t>
      </w:r>
    </w:p>
    <w:p>
      <w:pPr>
        <w:pStyle w:val="7"/>
        <w:bidi w:val="0"/>
        <w:rPr>
          <w:rFonts w:hint="eastAsia"/>
          <w:lang w:val="en-US" w:eastAsia="zh-CN"/>
        </w:rPr>
      </w:pPr>
      <w:r>
        <w:rPr>
          <w:rFonts w:hint="eastAsia"/>
          <w:lang w:val="en-US" w:eastAsia="zh-CN"/>
        </w:rPr>
        <w:t>项目直接碳排放主要产生源自于天然气燃烧，间接碳排放源主要来源于电力消耗。</w:t>
      </w:r>
    </w:p>
    <w:p>
      <w:pPr>
        <w:pStyle w:val="8"/>
        <w:bidi w:val="0"/>
        <w:rPr>
          <w:rFonts w:hint="eastAsia"/>
          <w:lang w:val="en-US" w:eastAsia="zh-CN"/>
        </w:rPr>
      </w:pPr>
      <w:r>
        <w:rPr>
          <w:rFonts w:hint="eastAsia"/>
          <w:lang w:val="en-US" w:eastAsia="zh-CN"/>
        </w:rPr>
        <w:t>8.3.2二氧化碳源强核算</w:t>
      </w:r>
    </w:p>
    <w:p>
      <w:pPr>
        <w:pStyle w:val="7"/>
        <w:bidi w:val="0"/>
        <w:rPr>
          <w:rFonts w:hint="eastAsia"/>
          <w:lang w:val="en-US" w:eastAsia="zh-CN"/>
        </w:rPr>
      </w:pPr>
      <w:r>
        <w:rPr>
          <w:rFonts w:hint="eastAsia"/>
          <w:lang w:val="en-US" w:eastAsia="zh-CN"/>
        </w:rPr>
        <w:t>建设项目碳排放总量计算见下式：</w:t>
      </w:r>
    </w:p>
    <w:p>
      <w:pPr>
        <w:pStyle w:val="7"/>
        <w:bidi w:val="0"/>
        <w:ind w:left="0" w:leftChars="0" w:firstLine="0" w:firstLineChars="0"/>
        <w:jc w:val="center"/>
        <w:rPr>
          <w:rFonts w:hint="eastAsia"/>
          <w:lang w:val="en-US" w:eastAsia="zh-CN"/>
        </w:rPr>
      </w:pPr>
      <w:r>
        <w:rPr>
          <w:rFonts w:hint="eastAsia"/>
          <w:lang w:val="en-US" w:eastAsia="zh-CN"/>
        </w:rPr>
        <w:t>AE</w:t>
      </w:r>
      <w:r>
        <w:rPr>
          <w:rFonts w:hint="eastAsia"/>
          <w:vertAlign w:val="subscript"/>
          <w:lang w:val="en-US" w:eastAsia="zh-CN"/>
        </w:rPr>
        <w:t>总</w:t>
      </w:r>
      <w:r>
        <w:rPr>
          <w:rFonts w:hint="eastAsia"/>
          <w:lang w:val="en-US" w:eastAsia="zh-CN"/>
        </w:rPr>
        <w:t>=AE</w:t>
      </w:r>
      <w:r>
        <w:rPr>
          <w:rFonts w:hint="eastAsia"/>
          <w:vertAlign w:val="subscript"/>
          <w:lang w:val="en-US" w:eastAsia="zh-CN"/>
        </w:rPr>
        <w:t>燃料燃烧</w:t>
      </w:r>
      <w:r>
        <w:rPr>
          <w:rFonts w:hint="eastAsia"/>
          <w:lang w:val="en-US" w:eastAsia="zh-CN"/>
        </w:rPr>
        <w:t>+AE</w:t>
      </w:r>
      <w:r>
        <w:rPr>
          <w:rFonts w:hint="eastAsia"/>
          <w:vertAlign w:val="subscript"/>
          <w:lang w:val="en-US" w:eastAsia="zh-CN"/>
        </w:rPr>
        <w:t>工业生产过程</w:t>
      </w:r>
      <w:r>
        <w:rPr>
          <w:rFonts w:hint="eastAsia"/>
          <w:lang w:val="en-US" w:eastAsia="zh-CN"/>
        </w:rPr>
        <w:t>+AE</w:t>
      </w:r>
      <w:r>
        <w:rPr>
          <w:rFonts w:hint="eastAsia"/>
          <w:vertAlign w:val="subscript"/>
          <w:lang w:val="en-US" w:eastAsia="zh-CN"/>
        </w:rPr>
        <w:t>净购入电力和热力</w:t>
      </w:r>
      <w:r>
        <w:rPr>
          <w:rFonts w:hint="eastAsia"/>
          <w:lang w:val="en-US" w:eastAsia="zh-CN"/>
        </w:rPr>
        <w:t>-R</w:t>
      </w:r>
      <w:r>
        <w:rPr>
          <w:rFonts w:hint="eastAsia"/>
          <w:vertAlign w:val="subscript"/>
          <w:lang w:val="en-US" w:eastAsia="zh-CN"/>
        </w:rPr>
        <w:t>固碳</w:t>
      </w:r>
    </w:p>
    <w:p>
      <w:pPr>
        <w:pStyle w:val="7"/>
        <w:bidi w:val="0"/>
        <w:rPr>
          <w:rFonts w:hint="eastAsia"/>
          <w:lang w:val="en-US" w:eastAsia="zh-CN"/>
        </w:rPr>
      </w:pPr>
      <w:r>
        <w:rPr>
          <w:rFonts w:hint="eastAsia"/>
          <w:lang w:val="en-US" w:eastAsia="zh-CN"/>
        </w:rPr>
        <w:t>式中：AE</w:t>
      </w:r>
      <w:r>
        <w:rPr>
          <w:rFonts w:hint="eastAsia"/>
          <w:vertAlign w:val="subscript"/>
          <w:lang w:val="en-US" w:eastAsia="zh-CN"/>
        </w:rPr>
        <w:t>总</w:t>
      </w:r>
      <w:r>
        <w:rPr>
          <w:rFonts w:hint="eastAsia"/>
          <w:lang w:val="en-US" w:eastAsia="zh-CN"/>
        </w:rPr>
        <w:t>—碳排放总量（tCO</w:t>
      </w:r>
      <w:r>
        <w:rPr>
          <w:rFonts w:hint="eastAsia"/>
          <w:vertAlign w:val="subscript"/>
          <w:lang w:val="en-US" w:eastAsia="zh-CN"/>
        </w:rPr>
        <w:t>2</w:t>
      </w:r>
      <w:r>
        <w:rPr>
          <w:rFonts w:hint="eastAsia"/>
          <w:lang w:val="en-US" w:eastAsia="zh-CN"/>
        </w:rPr>
        <w:t>）；</w:t>
      </w:r>
    </w:p>
    <w:p>
      <w:pPr>
        <w:pStyle w:val="7"/>
        <w:bidi w:val="0"/>
        <w:ind w:firstLine="1200" w:firstLineChars="500"/>
        <w:rPr>
          <w:rFonts w:hint="eastAsia"/>
          <w:lang w:val="en-US" w:eastAsia="zh-CN"/>
        </w:rPr>
      </w:pPr>
      <w:r>
        <w:rPr>
          <w:rFonts w:hint="eastAsia"/>
          <w:lang w:val="en-US" w:eastAsia="zh-CN"/>
        </w:rPr>
        <w:t>AE</w:t>
      </w:r>
      <w:r>
        <w:rPr>
          <w:rFonts w:hint="eastAsia"/>
          <w:vertAlign w:val="subscript"/>
          <w:lang w:val="en-US" w:eastAsia="zh-CN"/>
        </w:rPr>
        <w:t>燃料燃烧</w:t>
      </w:r>
      <w:r>
        <w:rPr>
          <w:rFonts w:hint="eastAsia"/>
          <w:lang w:val="en-US" w:eastAsia="zh-CN"/>
        </w:rPr>
        <w:t>—燃料燃烧碳排放量（tCO</w:t>
      </w:r>
      <w:r>
        <w:rPr>
          <w:rFonts w:hint="eastAsia"/>
          <w:vertAlign w:val="subscript"/>
          <w:lang w:val="en-US" w:eastAsia="zh-CN"/>
        </w:rPr>
        <w:t>2</w:t>
      </w:r>
      <w:r>
        <w:rPr>
          <w:rFonts w:hint="eastAsia"/>
          <w:lang w:val="en-US" w:eastAsia="zh-CN"/>
        </w:rPr>
        <w:t>）；</w:t>
      </w:r>
    </w:p>
    <w:p>
      <w:pPr>
        <w:pStyle w:val="7"/>
        <w:bidi w:val="0"/>
        <w:ind w:firstLine="1200" w:firstLineChars="500"/>
        <w:rPr>
          <w:rFonts w:hint="eastAsia"/>
          <w:lang w:val="en-US" w:eastAsia="zh-CN"/>
        </w:rPr>
      </w:pPr>
      <w:r>
        <w:rPr>
          <w:rFonts w:hint="eastAsia"/>
          <w:lang w:val="en-US" w:eastAsia="zh-CN"/>
        </w:rPr>
        <w:t>AE</w:t>
      </w:r>
      <w:r>
        <w:rPr>
          <w:rFonts w:hint="eastAsia"/>
          <w:vertAlign w:val="subscript"/>
          <w:lang w:val="en-US" w:eastAsia="zh-CN"/>
        </w:rPr>
        <w:t>工业生产过程</w:t>
      </w:r>
      <w:r>
        <w:rPr>
          <w:rFonts w:hint="eastAsia"/>
          <w:lang w:val="en-US" w:eastAsia="zh-CN"/>
        </w:rPr>
        <w:t>—工业生产过程碳排放量（tCO</w:t>
      </w:r>
      <w:r>
        <w:rPr>
          <w:rFonts w:hint="eastAsia"/>
          <w:vertAlign w:val="subscript"/>
          <w:lang w:val="en-US" w:eastAsia="zh-CN"/>
        </w:rPr>
        <w:t>2</w:t>
      </w:r>
      <w:r>
        <w:rPr>
          <w:rFonts w:hint="eastAsia"/>
          <w:lang w:val="en-US" w:eastAsia="zh-CN"/>
        </w:rPr>
        <w:t>）；</w:t>
      </w:r>
    </w:p>
    <w:p>
      <w:pPr>
        <w:pStyle w:val="7"/>
        <w:bidi w:val="0"/>
        <w:ind w:firstLine="1200" w:firstLineChars="500"/>
        <w:rPr>
          <w:rFonts w:hint="eastAsia"/>
          <w:lang w:val="en-US" w:eastAsia="zh-CN"/>
        </w:rPr>
      </w:pPr>
      <w:r>
        <w:rPr>
          <w:rFonts w:hint="eastAsia"/>
          <w:lang w:val="en-US" w:eastAsia="zh-CN"/>
        </w:rPr>
        <w:t>AE</w:t>
      </w:r>
      <w:r>
        <w:rPr>
          <w:rFonts w:hint="eastAsia"/>
          <w:vertAlign w:val="subscript"/>
          <w:lang w:val="en-US" w:eastAsia="zh-CN"/>
        </w:rPr>
        <w:t>净购入电力和热力</w:t>
      </w:r>
      <w:r>
        <w:rPr>
          <w:rFonts w:hint="eastAsia"/>
          <w:lang w:val="en-US" w:eastAsia="zh-CN"/>
        </w:rPr>
        <w:t>—净购入电力和热力碳排放量（tCO</w:t>
      </w:r>
      <w:r>
        <w:rPr>
          <w:rFonts w:hint="eastAsia"/>
          <w:vertAlign w:val="subscript"/>
          <w:lang w:val="en-US" w:eastAsia="zh-CN"/>
        </w:rPr>
        <w:t>2</w:t>
      </w:r>
      <w:r>
        <w:rPr>
          <w:rFonts w:hint="eastAsia"/>
          <w:lang w:val="en-US" w:eastAsia="zh-CN"/>
        </w:rPr>
        <w:t>）；</w:t>
      </w:r>
    </w:p>
    <w:p>
      <w:pPr>
        <w:pStyle w:val="7"/>
        <w:bidi w:val="0"/>
        <w:ind w:firstLine="1200" w:firstLineChars="500"/>
        <w:rPr>
          <w:rFonts w:hint="eastAsia"/>
          <w:lang w:val="en-US" w:eastAsia="zh-CN"/>
        </w:rPr>
      </w:pPr>
      <w:r>
        <w:rPr>
          <w:rFonts w:hint="eastAsia"/>
          <w:lang w:val="en-US" w:eastAsia="zh-CN"/>
        </w:rPr>
        <w:t>R</w:t>
      </w:r>
      <w:r>
        <w:rPr>
          <w:rFonts w:hint="eastAsia"/>
          <w:vertAlign w:val="subscript"/>
          <w:lang w:val="en-US" w:eastAsia="zh-CN"/>
        </w:rPr>
        <w:t>固碳</w:t>
      </w:r>
      <w:r>
        <w:rPr>
          <w:rFonts w:hint="eastAsia"/>
          <w:lang w:val="en-US" w:eastAsia="zh-CN"/>
        </w:rPr>
        <w:t>—固碳产品隐含的排放量（tCO</w:t>
      </w:r>
      <w:r>
        <w:rPr>
          <w:rFonts w:hint="eastAsia"/>
          <w:vertAlign w:val="subscript"/>
          <w:lang w:val="en-US" w:eastAsia="zh-CN"/>
        </w:rPr>
        <w:t>2</w:t>
      </w:r>
      <w:r>
        <w:rPr>
          <w:rFonts w:hint="eastAsia"/>
          <w:lang w:val="en-US" w:eastAsia="zh-CN"/>
        </w:rPr>
        <w:t>）。</w:t>
      </w:r>
    </w:p>
    <w:p>
      <w:pPr>
        <w:pStyle w:val="7"/>
        <w:bidi w:val="0"/>
        <w:rPr>
          <w:rFonts w:hint="eastAsia"/>
          <w:b/>
          <w:bCs/>
          <w:lang w:val="en-US" w:eastAsia="zh-CN"/>
        </w:rPr>
      </w:pPr>
      <w:r>
        <w:rPr>
          <w:rFonts w:hint="eastAsia"/>
          <w:b/>
          <w:bCs/>
          <w:lang w:val="en-US" w:eastAsia="zh-CN"/>
        </w:rPr>
        <w:t>1、燃料燃烧的碳排放量</w:t>
      </w:r>
    </w:p>
    <w:p>
      <w:pPr>
        <w:pStyle w:val="7"/>
        <w:bidi w:val="0"/>
        <w:rPr>
          <w:rFonts w:hint="eastAsia"/>
          <w:lang w:val="en-US" w:eastAsia="zh-CN"/>
        </w:rPr>
      </w:pPr>
      <w:r>
        <w:rPr>
          <w:rFonts w:hint="eastAsia"/>
          <w:lang w:val="en-US" w:eastAsia="zh-CN"/>
        </w:rPr>
        <w:t>现有项目主要涉及燃料燃烧为天然气，燃料燃烧产生的碳排放量按下式计算：</w:t>
      </w:r>
    </w:p>
    <w:p>
      <w:pPr>
        <w:pStyle w:val="7"/>
        <w:bidi w:val="0"/>
        <w:ind w:left="0" w:leftChars="0" w:firstLine="0" w:firstLineChars="0"/>
        <w:jc w:val="center"/>
        <w:rPr>
          <w:rFonts w:hint="eastAsia"/>
          <w:lang w:val="en-US" w:eastAsia="zh-CN"/>
        </w:rPr>
      </w:pPr>
      <w:r>
        <w:rPr>
          <w:rFonts w:hint="eastAsia"/>
          <w:lang w:val="en-US" w:eastAsia="zh-CN"/>
        </w:rPr>
        <w:t>AE</w:t>
      </w:r>
      <w:r>
        <w:rPr>
          <w:rFonts w:hint="eastAsia"/>
          <w:vertAlign w:val="subscript"/>
          <w:lang w:val="en-US" w:eastAsia="zh-CN"/>
        </w:rPr>
        <w:t>燃料燃烧</w:t>
      </w:r>
      <w:r>
        <w:rPr>
          <w:rFonts w:hint="eastAsia"/>
          <w:lang w:val="en-US" w:eastAsia="zh-CN"/>
        </w:rPr>
        <w:t>=∑（AD</w:t>
      </w:r>
      <w:r>
        <w:rPr>
          <w:rFonts w:hint="eastAsia"/>
          <w:vertAlign w:val="subscript"/>
          <w:lang w:val="en-US" w:eastAsia="zh-CN"/>
        </w:rPr>
        <w:t>i燃料</w:t>
      </w:r>
      <w:r>
        <w:rPr>
          <w:rFonts w:hint="eastAsia"/>
          <w:lang w:val="en-US" w:eastAsia="zh-CN"/>
        </w:rPr>
        <w:t>×EF</w:t>
      </w:r>
      <w:r>
        <w:rPr>
          <w:rFonts w:hint="eastAsia"/>
          <w:vertAlign w:val="subscript"/>
          <w:lang w:val="en-US" w:eastAsia="zh-CN"/>
        </w:rPr>
        <w:t>i燃料</w:t>
      </w:r>
      <w:r>
        <w:rPr>
          <w:rFonts w:hint="eastAsia"/>
          <w:lang w:val="en-US" w:eastAsia="zh-CN"/>
        </w:rPr>
        <w:t>）</w:t>
      </w:r>
    </w:p>
    <w:p>
      <w:pPr>
        <w:pStyle w:val="7"/>
        <w:bidi w:val="0"/>
        <w:rPr>
          <w:rFonts w:hint="eastAsia"/>
          <w:lang w:val="en-US" w:eastAsia="zh-CN"/>
        </w:rPr>
      </w:pPr>
      <w:r>
        <w:rPr>
          <w:rFonts w:hint="eastAsia"/>
          <w:lang w:val="en-US" w:eastAsia="zh-CN"/>
        </w:rPr>
        <w:t>式中：i—燃料种类；</w:t>
      </w:r>
    </w:p>
    <w:p>
      <w:pPr>
        <w:pStyle w:val="7"/>
        <w:bidi w:val="0"/>
        <w:ind w:firstLine="960" w:firstLineChars="400"/>
        <w:rPr>
          <w:rFonts w:hint="eastAsia"/>
          <w:lang w:val="en-US" w:eastAsia="zh-CN"/>
        </w:rPr>
      </w:pPr>
      <w:r>
        <w:rPr>
          <w:rFonts w:hint="eastAsia"/>
          <w:lang w:val="en-US" w:eastAsia="zh-CN"/>
        </w:rPr>
        <w:t>AD</w:t>
      </w:r>
      <w:r>
        <w:rPr>
          <w:rFonts w:hint="eastAsia"/>
          <w:vertAlign w:val="subscript"/>
          <w:lang w:val="en-US" w:eastAsia="zh-CN"/>
        </w:rPr>
        <w:t>i燃料</w:t>
      </w:r>
      <w:r>
        <w:rPr>
          <w:rFonts w:hint="eastAsia"/>
          <w:lang w:val="en-US" w:eastAsia="zh-CN"/>
        </w:rPr>
        <w:t>—第i种燃料燃烧消耗量（t或kNm</w:t>
      </w:r>
      <w:r>
        <w:rPr>
          <w:rFonts w:hint="eastAsia"/>
          <w:vertAlign w:val="superscript"/>
          <w:lang w:val="en-US" w:eastAsia="zh-CN"/>
        </w:rPr>
        <w:t>3</w:t>
      </w:r>
      <w:r>
        <w:rPr>
          <w:rFonts w:hint="eastAsia"/>
          <w:lang w:val="en-US" w:eastAsia="zh-CN"/>
        </w:rPr>
        <w:t>）；</w:t>
      </w:r>
    </w:p>
    <w:p>
      <w:pPr>
        <w:pStyle w:val="7"/>
        <w:bidi w:val="0"/>
        <w:ind w:firstLine="960" w:firstLineChars="400"/>
        <w:rPr>
          <w:rFonts w:hint="eastAsia"/>
          <w:lang w:val="en-US" w:eastAsia="zh-CN"/>
        </w:rPr>
      </w:pPr>
      <w:r>
        <w:rPr>
          <w:rFonts w:hint="eastAsia"/>
          <w:lang w:val="en-US" w:eastAsia="zh-CN"/>
        </w:rPr>
        <w:t>EF</w:t>
      </w:r>
      <w:r>
        <w:rPr>
          <w:rFonts w:hint="eastAsia"/>
          <w:vertAlign w:val="subscript"/>
          <w:lang w:val="en-US" w:eastAsia="zh-CN"/>
        </w:rPr>
        <w:t>i 燃料</w:t>
      </w:r>
      <w:r>
        <w:rPr>
          <w:rFonts w:hint="eastAsia"/>
          <w:lang w:val="en-US" w:eastAsia="zh-CN"/>
        </w:rPr>
        <w:t>—第i种燃料燃烧二氧化碳排放因子（tCO</w:t>
      </w:r>
      <w:r>
        <w:rPr>
          <w:rFonts w:hint="eastAsia"/>
          <w:vertAlign w:val="subscript"/>
          <w:lang w:val="en-US" w:eastAsia="zh-CN"/>
        </w:rPr>
        <w:t>2</w:t>
      </w:r>
      <w:r>
        <w:rPr>
          <w:rFonts w:hint="eastAsia"/>
          <w:lang w:val="en-US" w:eastAsia="zh-CN"/>
        </w:rPr>
        <w:t>/t或tCO</w:t>
      </w:r>
      <w:r>
        <w:rPr>
          <w:rFonts w:hint="eastAsia"/>
          <w:vertAlign w:val="subscript"/>
          <w:lang w:val="en-US" w:eastAsia="zh-CN"/>
        </w:rPr>
        <w:t>2</w:t>
      </w:r>
      <w:r>
        <w:rPr>
          <w:rFonts w:hint="eastAsia"/>
          <w:lang w:val="en-US" w:eastAsia="zh-CN"/>
        </w:rPr>
        <w:t>/kNm</w:t>
      </w:r>
      <w:r>
        <w:rPr>
          <w:rFonts w:hint="eastAsia"/>
          <w:vertAlign w:val="superscript"/>
          <w:lang w:val="en-US" w:eastAsia="zh-CN"/>
        </w:rPr>
        <w:t>3</w:t>
      </w:r>
      <w:r>
        <w:rPr>
          <w:rFonts w:hint="eastAsia"/>
          <w:lang w:val="en-US" w:eastAsia="zh-CN"/>
        </w:rPr>
        <w:t>）。</w:t>
      </w:r>
    </w:p>
    <w:p>
      <w:pPr>
        <w:pStyle w:val="7"/>
        <w:bidi w:val="0"/>
        <w:spacing w:after="240" w:afterAutospacing="0"/>
        <w:rPr>
          <w:rFonts w:hint="eastAsia"/>
          <w:lang w:val="en-US" w:eastAsia="zh-CN"/>
        </w:rPr>
      </w:pPr>
      <w:r>
        <w:rPr>
          <w:rFonts w:ascii="宋体" w:hAnsi="宋体" w:eastAsia="宋体" w:cs="宋体"/>
          <w:b w:val="0"/>
          <w:bCs w:val="0"/>
          <w:i w:val="0"/>
          <w:iCs w:val="0"/>
          <w:color w:val="000000"/>
          <w:sz w:val="24"/>
          <w:szCs w:val="24"/>
        </w:rPr>
        <w:t>项目熔炼炉采用天然气加热，燃料燃烧产生的二氧化碳排放因子按照下式计算：</w:t>
      </w:r>
    </w:p>
    <w:p>
      <w:pPr>
        <w:pStyle w:val="7"/>
        <w:bidi w:val="0"/>
        <w:ind w:left="0" w:leftChars="0" w:firstLine="0" w:firstLineChars="0"/>
        <w:jc w:val="center"/>
        <w:rPr>
          <w:rFonts w:hint="default"/>
          <w:lang w:val="en-US" w:eastAsia="zh-CN"/>
        </w:rPr>
      </w:pPr>
      <w:r>
        <w:rPr>
          <w:rFonts w:hint="eastAsia"/>
          <w:lang w:val="en-US" w:eastAsia="zh-CN"/>
        </w:rPr>
        <w:t>EF</w:t>
      </w:r>
      <w:r>
        <w:rPr>
          <w:rFonts w:hint="eastAsia"/>
          <w:vertAlign w:val="subscript"/>
          <w:lang w:val="en-US" w:eastAsia="zh-CN"/>
        </w:rPr>
        <w:t>i</w:t>
      </w:r>
      <w:r>
        <w:rPr>
          <w:rFonts w:hint="eastAsia"/>
          <w:lang w:val="en-US" w:eastAsia="zh-CN"/>
        </w:rPr>
        <w:t>=CC</w:t>
      </w:r>
      <w:r>
        <w:rPr>
          <w:rFonts w:hint="eastAsia"/>
          <w:vertAlign w:val="subscript"/>
          <w:lang w:val="en-US" w:eastAsia="zh-CN"/>
        </w:rPr>
        <w:t>i</w:t>
      </w:r>
      <w:r>
        <w:rPr>
          <w:rFonts w:hint="eastAsia"/>
          <w:lang w:val="en-US" w:eastAsia="zh-CN"/>
        </w:rPr>
        <w:t>×OF</w:t>
      </w:r>
      <w:r>
        <w:rPr>
          <w:rFonts w:hint="eastAsia"/>
          <w:vertAlign w:val="subscript"/>
          <w:lang w:val="en-US" w:eastAsia="zh-CN"/>
        </w:rPr>
        <w:t>i</w:t>
      </w:r>
      <w:r>
        <w:rPr>
          <w:rFonts w:hint="eastAsia"/>
          <w:lang w:val="en-US" w:eastAsia="zh-CN"/>
        </w:rPr>
        <w:t>×44/12</w:t>
      </w:r>
    </w:p>
    <w:p>
      <w:pPr>
        <w:pStyle w:val="7"/>
        <w:bidi w:val="0"/>
        <w:rPr>
          <w:rFonts w:hint="eastAsia"/>
          <w:lang w:val="en-US" w:eastAsia="zh-CN"/>
        </w:rPr>
      </w:pPr>
      <w:r>
        <w:rPr>
          <w:rFonts w:hint="eastAsia"/>
          <w:lang w:val="en-US" w:eastAsia="zh-CN"/>
        </w:rPr>
        <w:t>式中：EF</w:t>
      </w:r>
      <w:r>
        <w:rPr>
          <w:rFonts w:hint="eastAsia"/>
          <w:vertAlign w:val="subscript"/>
          <w:lang w:val="en-US" w:eastAsia="zh-CN"/>
        </w:rPr>
        <w:t>i</w:t>
      </w:r>
      <w:r>
        <w:rPr>
          <w:rFonts w:hint="eastAsia"/>
          <w:lang w:val="en-US" w:eastAsia="zh-CN"/>
        </w:rPr>
        <w:t>—第 i 种燃料的二氧化碳排放因子，单位为（TCO</w:t>
      </w:r>
      <w:r>
        <w:rPr>
          <w:rFonts w:hint="eastAsia"/>
          <w:vertAlign w:val="subscript"/>
          <w:lang w:val="en-US" w:eastAsia="zh-CN"/>
        </w:rPr>
        <w:t>2</w:t>
      </w:r>
      <w:r>
        <w:rPr>
          <w:rFonts w:hint="eastAsia"/>
          <w:lang w:val="en-US" w:eastAsia="zh-CN"/>
        </w:rPr>
        <w:t>/GJ）；</w:t>
      </w:r>
    </w:p>
    <w:p>
      <w:pPr>
        <w:pStyle w:val="7"/>
        <w:bidi w:val="0"/>
        <w:ind w:firstLine="1200" w:firstLineChars="500"/>
        <w:rPr>
          <w:rFonts w:hint="eastAsia"/>
          <w:lang w:val="en-US" w:eastAsia="zh-CN"/>
        </w:rPr>
      </w:pPr>
      <w:r>
        <w:rPr>
          <w:rFonts w:hint="eastAsia"/>
          <w:lang w:val="en-US" w:eastAsia="zh-CN"/>
        </w:rPr>
        <w:t>CC</w:t>
      </w:r>
      <w:r>
        <w:rPr>
          <w:rFonts w:hint="eastAsia"/>
          <w:vertAlign w:val="subscript"/>
          <w:lang w:val="en-US" w:eastAsia="zh-CN"/>
        </w:rPr>
        <w:t>i</w:t>
      </w:r>
      <w:r>
        <w:rPr>
          <w:rFonts w:hint="eastAsia"/>
          <w:lang w:val="en-US" w:eastAsia="zh-CN"/>
        </w:rPr>
        <w:t>—第 i 种燃料的单位热值含碳量， 单位为（tC/GJ）；</w:t>
      </w:r>
    </w:p>
    <w:p>
      <w:pPr>
        <w:pStyle w:val="7"/>
        <w:bidi w:val="0"/>
        <w:ind w:firstLine="1200" w:firstLineChars="500"/>
        <w:rPr>
          <w:rFonts w:hint="eastAsia"/>
          <w:lang w:val="en-US" w:eastAsia="zh-CN"/>
        </w:rPr>
      </w:pPr>
      <w:r>
        <w:rPr>
          <w:rFonts w:hint="eastAsia"/>
          <w:lang w:val="en-US" w:eastAsia="zh-CN"/>
        </w:rPr>
        <w:t>OF</w:t>
      </w:r>
      <w:r>
        <w:rPr>
          <w:rFonts w:hint="eastAsia"/>
          <w:vertAlign w:val="subscript"/>
          <w:lang w:val="en-US" w:eastAsia="zh-CN"/>
        </w:rPr>
        <w:t>i</w:t>
      </w:r>
      <w:r>
        <w:rPr>
          <w:rFonts w:hint="eastAsia"/>
          <w:lang w:val="en-US" w:eastAsia="zh-CN"/>
        </w:rPr>
        <w:t>—第 i 种燃料的碳转化率；</w:t>
      </w:r>
    </w:p>
    <w:p>
      <w:pPr>
        <w:pStyle w:val="7"/>
        <w:bidi w:val="0"/>
        <w:rPr>
          <w:rFonts w:hint="default"/>
          <w:lang w:val="en-US" w:eastAsia="zh-CN"/>
        </w:rPr>
      </w:pPr>
      <w:r>
        <w:rPr>
          <w:rFonts w:hint="eastAsia"/>
          <w:lang w:val="en-US" w:eastAsia="zh-CN"/>
        </w:rPr>
        <w:t xml:space="preserve">      44/12—二氧化碳与碳的相对分子质量之比。</w:t>
      </w:r>
    </w:p>
    <w:p>
      <w:pPr>
        <w:pStyle w:val="7"/>
        <w:bidi w:val="0"/>
        <w:rPr>
          <w:rFonts w:hint="eastAsia"/>
          <w:lang w:val="en-US" w:eastAsia="zh-CN"/>
        </w:rPr>
      </w:pPr>
      <w:r>
        <w:rPr>
          <w:rFonts w:hint="eastAsia"/>
          <w:lang w:val="en-US" w:eastAsia="zh-CN"/>
        </w:rPr>
        <w:t>根据《温室气体排放核算与报告要求第4部分：铝冶炼企业》（GB/T32151.4-2015）中附录B项目天然气的单位热值含碳量、碳转化率以及二氧化碳排放因子计算结果下表：</w:t>
      </w:r>
    </w:p>
    <w:p>
      <w:pPr>
        <w:pStyle w:val="41"/>
        <w:bidi w:val="0"/>
        <w:rPr>
          <w:rFonts w:hint="default"/>
          <w:lang w:val="en-US" w:eastAsia="zh-CN"/>
        </w:rPr>
      </w:pPr>
      <w:r>
        <w:rPr>
          <w:rFonts w:hint="default"/>
          <w:lang w:val="en-US" w:eastAsia="zh-CN"/>
        </w:rPr>
        <w:t>表</w:t>
      </w:r>
      <w:r>
        <w:rPr>
          <w:rFonts w:hint="eastAsia"/>
          <w:lang w:val="en-US" w:eastAsia="zh-CN"/>
        </w:rPr>
        <w:t>8.3-1</w:t>
      </w:r>
      <w:r>
        <w:rPr>
          <w:rFonts w:hint="default"/>
          <w:lang w:val="en-US" w:eastAsia="zh-CN"/>
        </w:rPr>
        <w:t xml:space="preserve">  </w:t>
      </w:r>
      <w:r>
        <w:rPr>
          <w:rFonts w:hint="eastAsia"/>
          <w:lang w:val="en-US" w:eastAsia="zh-CN"/>
        </w:rPr>
        <w:t>项目使用燃料二氧化碳</w:t>
      </w:r>
      <w:r>
        <w:rPr>
          <w:rFonts w:hint="default"/>
          <w:lang w:val="en-US" w:eastAsia="zh-CN"/>
        </w:rPr>
        <w:t>计算参数一览表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860"/>
        <w:gridCol w:w="1962"/>
        <w:gridCol w:w="1476"/>
        <w:gridCol w:w="2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711" w:type="pct"/>
            <w:noWrap w:val="0"/>
            <w:vAlign w:val="center"/>
          </w:tcPr>
          <w:p>
            <w:pPr>
              <w:pStyle w:val="33"/>
              <w:bidi w:val="0"/>
              <w:jc w:val="center"/>
              <w:rPr>
                <w:rFonts w:hint="default"/>
                <w:lang w:val="en-US" w:eastAsia="zh-CN"/>
              </w:rPr>
            </w:pPr>
            <w:r>
              <w:rPr>
                <w:rFonts w:hint="default"/>
                <w:lang w:val="en-US" w:eastAsia="zh-CN"/>
              </w:rPr>
              <w:t>燃料种类</w:t>
            </w:r>
          </w:p>
        </w:tc>
        <w:tc>
          <w:tcPr>
            <w:tcW w:w="1091" w:type="pct"/>
            <w:noWrap w:val="0"/>
            <w:vAlign w:val="center"/>
          </w:tcPr>
          <w:p>
            <w:pPr>
              <w:pStyle w:val="33"/>
              <w:bidi w:val="0"/>
              <w:jc w:val="center"/>
              <w:rPr>
                <w:rFonts w:hint="default" w:ascii="Times New Roman" w:hAnsi="Times New Roman" w:eastAsia="宋体" w:cs="Times New Roman"/>
                <w:kern w:val="2"/>
                <w:sz w:val="21"/>
                <w:szCs w:val="24"/>
                <w:lang w:val="en-US" w:eastAsia="zh-CN" w:bidi="ar-SA"/>
              </w:rPr>
            </w:pPr>
            <w:r>
              <w:rPr>
                <w:rFonts w:hint="default"/>
                <w:lang w:val="en-US" w:eastAsia="zh-CN"/>
              </w:rPr>
              <w:t>低位发热量</w:t>
            </w:r>
          </w:p>
        </w:tc>
        <w:tc>
          <w:tcPr>
            <w:tcW w:w="1151" w:type="pct"/>
            <w:noWrap w:val="0"/>
            <w:vAlign w:val="center"/>
          </w:tcPr>
          <w:p>
            <w:pPr>
              <w:pStyle w:val="33"/>
              <w:bidi w:val="0"/>
              <w:jc w:val="center"/>
              <w:rPr>
                <w:rFonts w:hint="default" w:ascii="Times New Roman" w:hAnsi="Times New Roman" w:eastAsia="宋体" w:cs="Times New Roman"/>
                <w:kern w:val="2"/>
                <w:sz w:val="21"/>
                <w:szCs w:val="24"/>
                <w:lang w:val="en-US" w:eastAsia="zh-CN" w:bidi="ar-SA"/>
              </w:rPr>
            </w:pPr>
            <w:r>
              <w:rPr>
                <w:rFonts w:hint="eastAsia"/>
                <w:lang w:val="en-US" w:eastAsia="zh-CN"/>
              </w:rPr>
              <w:t>单位热值</w:t>
            </w:r>
            <w:r>
              <w:rPr>
                <w:rFonts w:hint="default"/>
                <w:lang w:val="en-US" w:eastAsia="zh-CN"/>
              </w:rPr>
              <w:t>含碳量</w:t>
            </w:r>
          </w:p>
        </w:tc>
        <w:tc>
          <w:tcPr>
            <w:tcW w:w="866" w:type="pct"/>
            <w:noWrap w:val="0"/>
            <w:vAlign w:val="center"/>
          </w:tcPr>
          <w:p>
            <w:pPr>
              <w:pStyle w:val="33"/>
              <w:bidi w:val="0"/>
              <w:jc w:val="center"/>
              <w:rPr>
                <w:rFonts w:hint="default" w:ascii="Times New Roman" w:hAnsi="Times New Roman" w:eastAsia="宋体" w:cs="Times New Roman"/>
                <w:kern w:val="2"/>
                <w:sz w:val="21"/>
                <w:szCs w:val="24"/>
                <w:lang w:val="en-US" w:eastAsia="zh-CN" w:bidi="ar-SA"/>
              </w:rPr>
            </w:pPr>
            <w:r>
              <w:rPr>
                <w:rFonts w:hint="eastAsia"/>
                <w:lang w:val="en-US" w:eastAsia="zh-CN"/>
              </w:rPr>
              <w:t>燃料碳转</w:t>
            </w:r>
            <w:r>
              <w:rPr>
                <w:rFonts w:hint="default"/>
                <w:lang w:val="en-US" w:eastAsia="zh-CN"/>
              </w:rPr>
              <w:t>化率</w:t>
            </w:r>
          </w:p>
        </w:tc>
        <w:tc>
          <w:tcPr>
            <w:tcW w:w="1178" w:type="pct"/>
            <w:noWrap w:val="0"/>
            <w:vAlign w:val="center"/>
          </w:tcPr>
          <w:p>
            <w:pPr>
              <w:pStyle w:val="33"/>
              <w:bidi w:val="0"/>
              <w:jc w:val="center"/>
              <w:rPr>
                <w:rFonts w:hint="default"/>
                <w:lang w:val="en-US" w:eastAsia="zh-CN"/>
              </w:rPr>
            </w:pPr>
            <w:r>
              <w:rPr>
                <w:rFonts w:hint="default"/>
                <w:lang w:val="en-US" w:eastAsia="zh-CN"/>
              </w:rPr>
              <w:t>二氧化碳排放因子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711" w:type="pct"/>
            <w:noWrap w:val="0"/>
            <w:vAlign w:val="center"/>
          </w:tcPr>
          <w:p>
            <w:pPr>
              <w:pStyle w:val="33"/>
              <w:bidi w:val="0"/>
              <w:jc w:val="center"/>
              <w:rPr>
                <w:rFonts w:hint="default"/>
                <w:lang w:val="en-US" w:eastAsia="zh-CN"/>
              </w:rPr>
            </w:pPr>
            <w:r>
              <w:rPr>
                <w:rFonts w:hint="eastAsia"/>
                <w:lang w:val="en-US" w:eastAsia="zh-CN"/>
              </w:rPr>
              <w:t>天然气</w:t>
            </w:r>
          </w:p>
        </w:tc>
        <w:tc>
          <w:tcPr>
            <w:tcW w:w="1091" w:type="pct"/>
            <w:noWrap w:val="0"/>
            <w:vAlign w:val="center"/>
          </w:tcPr>
          <w:p>
            <w:pPr>
              <w:pStyle w:val="33"/>
              <w:bidi w:val="0"/>
              <w:jc w:val="center"/>
              <w:rPr>
                <w:rFonts w:hint="default"/>
                <w:lang w:val="en-US" w:eastAsia="zh-CN"/>
              </w:rPr>
            </w:pPr>
            <w:r>
              <w:rPr>
                <w:rFonts w:hint="eastAsia"/>
                <w:lang w:val="en-US" w:eastAsia="zh-CN"/>
              </w:rPr>
              <w:t>389.31</w:t>
            </w:r>
            <w:r>
              <w:rPr>
                <w:rFonts w:hint="default"/>
                <w:lang w:val="en-US" w:eastAsia="zh-CN"/>
              </w:rPr>
              <w:t>GJ/</w:t>
            </w:r>
            <w:r>
              <w:rPr>
                <w:rFonts w:hint="eastAsia"/>
                <w:lang w:val="en-US" w:eastAsia="zh-CN"/>
              </w:rPr>
              <w:t>10</w:t>
            </w:r>
            <w:r>
              <w:rPr>
                <w:rFonts w:hint="eastAsia"/>
                <w:vertAlign w:val="superscript"/>
                <w:lang w:val="en-US" w:eastAsia="zh-CN"/>
              </w:rPr>
              <w:t>4</w:t>
            </w:r>
            <w:r>
              <w:rPr>
                <w:rFonts w:hint="eastAsia"/>
                <w:lang w:val="en-US" w:eastAsia="zh-CN"/>
              </w:rPr>
              <w:t>Nm</w:t>
            </w:r>
            <w:r>
              <w:rPr>
                <w:rFonts w:hint="eastAsia"/>
                <w:vertAlign w:val="superscript"/>
                <w:lang w:val="en-US" w:eastAsia="zh-CN"/>
              </w:rPr>
              <w:t>3</w:t>
            </w:r>
          </w:p>
        </w:tc>
        <w:tc>
          <w:tcPr>
            <w:tcW w:w="1151" w:type="pct"/>
            <w:noWrap w:val="0"/>
            <w:vAlign w:val="center"/>
          </w:tcPr>
          <w:p>
            <w:pPr>
              <w:pStyle w:val="33"/>
              <w:bidi w:val="0"/>
              <w:jc w:val="center"/>
              <w:rPr>
                <w:rFonts w:hint="default" w:ascii="Times New Roman" w:hAnsi="Times New Roman" w:eastAsia="宋体" w:cs="Times New Roman"/>
                <w:kern w:val="2"/>
                <w:sz w:val="21"/>
                <w:szCs w:val="24"/>
                <w:lang w:val="en-US" w:eastAsia="zh-CN" w:bidi="ar-SA"/>
              </w:rPr>
            </w:pPr>
            <w:r>
              <w:rPr>
                <w:rFonts w:hint="eastAsia"/>
                <w:lang w:val="en-US" w:eastAsia="zh-CN"/>
              </w:rPr>
              <w:t>15.3</w:t>
            </w:r>
            <w:r>
              <w:rPr>
                <w:rFonts w:hint="default"/>
                <w:lang w:val="en-US" w:eastAsia="zh-CN"/>
              </w:rPr>
              <w:t>×10</w:t>
            </w:r>
            <w:r>
              <w:rPr>
                <w:rFonts w:hint="default"/>
                <w:vertAlign w:val="superscript"/>
                <w:lang w:val="en-US" w:eastAsia="zh-CN"/>
              </w:rPr>
              <w:t>-3</w:t>
            </w:r>
            <w:r>
              <w:rPr>
                <w:rFonts w:hint="default"/>
                <w:lang w:val="en-US" w:eastAsia="zh-CN"/>
              </w:rPr>
              <w:t>tC/GJ</w:t>
            </w:r>
          </w:p>
        </w:tc>
        <w:tc>
          <w:tcPr>
            <w:tcW w:w="866" w:type="pct"/>
            <w:noWrap w:val="0"/>
            <w:vAlign w:val="center"/>
          </w:tcPr>
          <w:p>
            <w:pPr>
              <w:pStyle w:val="33"/>
              <w:bidi w:val="0"/>
              <w:jc w:val="center"/>
              <w:rPr>
                <w:rFonts w:hint="default" w:ascii="Times New Roman" w:hAnsi="Times New Roman" w:eastAsia="宋体" w:cs="Times New Roman"/>
                <w:kern w:val="2"/>
                <w:sz w:val="21"/>
                <w:szCs w:val="24"/>
                <w:lang w:val="en-US" w:eastAsia="zh-CN" w:bidi="ar-SA"/>
              </w:rPr>
            </w:pPr>
            <w:r>
              <w:rPr>
                <w:rFonts w:hint="eastAsia"/>
                <w:lang w:val="en-US" w:eastAsia="zh-CN"/>
              </w:rPr>
              <w:t>99%</w:t>
            </w:r>
          </w:p>
        </w:tc>
        <w:tc>
          <w:tcPr>
            <w:tcW w:w="1178" w:type="pct"/>
            <w:noWrap w:val="0"/>
            <w:vAlign w:val="center"/>
          </w:tcPr>
          <w:p>
            <w:pPr>
              <w:pStyle w:val="33"/>
              <w:bidi w:val="0"/>
              <w:jc w:val="center"/>
              <w:rPr>
                <w:rFonts w:hint="default"/>
                <w:lang w:val="en-US" w:eastAsia="zh-CN"/>
              </w:rPr>
            </w:pPr>
            <w:r>
              <w:rPr>
                <w:rFonts w:hint="default"/>
                <w:lang w:val="en-US" w:eastAsia="zh-CN"/>
              </w:rPr>
              <w:t>21.622tCO</w:t>
            </w:r>
            <w:r>
              <w:rPr>
                <w:rFonts w:hint="default"/>
                <w:vertAlign w:val="superscript"/>
                <w:lang w:val="en-US" w:eastAsia="zh-CN"/>
              </w:rPr>
              <w:t>2</w:t>
            </w:r>
            <w:r>
              <w:rPr>
                <w:rFonts w:hint="default"/>
                <w:lang w:val="en-US" w:eastAsia="zh-CN"/>
              </w:rPr>
              <w:t>/10</w:t>
            </w:r>
            <w:r>
              <w:rPr>
                <w:rFonts w:hint="default"/>
                <w:vertAlign w:val="superscript"/>
                <w:lang w:val="en-US" w:eastAsia="zh-CN"/>
              </w:rPr>
              <w:t>4</w:t>
            </w:r>
            <w:r>
              <w:rPr>
                <w:rFonts w:hint="default"/>
                <w:lang w:val="en-US" w:eastAsia="zh-CN"/>
              </w:rPr>
              <w:t>Nm</w:t>
            </w:r>
            <w:r>
              <w:rPr>
                <w:rFonts w:hint="default"/>
                <w:vertAlign w:val="superscript"/>
                <w:lang w:val="en-US" w:eastAsia="zh-CN"/>
              </w:rPr>
              <w:t>3</w:t>
            </w:r>
          </w:p>
        </w:tc>
      </w:tr>
    </w:tbl>
    <w:p>
      <w:pPr>
        <w:pStyle w:val="7"/>
        <w:bidi w:val="0"/>
        <w:rPr>
          <w:rFonts w:hint="eastAsia"/>
          <w:lang w:val="en-US" w:eastAsia="zh-CN"/>
        </w:rPr>
      </w:pPr>
      <w:r>
        <w:rPr>
          <w:rFonts w:hint="eastAsia"/>
          <w:lang w:val="en-US" w:eastAsia="zh-CN"/>
        </w:rPr>
        <w:t>则项目燃料燃烧碳排放量见下表：</w:t>
      </w:r>
    </w:p>
    <w:p>
      <w:pPr>
        <w:pStyle w:val="41"/>
        <w:bidi w:val="0"/>
        <w:rPr>
          <w:rFonts w:hint="default"/>
          <w:lang w:val="en-US" w:eastAsia="zh-CN"/>
        </w:rPr>
      </w:pPr>
    </w:p>
    <w:p>
      <w:pPr>
        <w:pStyle w:val="41"/>
        <w:bidi w:val="0"/>
        <w:rPr>
          <w:rFonts w:hint="default"/>
          <w:lang w:val="en-US" w:eastAsia="zh-CN"/>
        </w:rPr>
      </w:pPr>
      <w:r>
        <w:rPr>
          <w:rFonts w:hint="default"/>
          <w:lang w:val="en-US" w:eastAsia="zh-CN"/>
        </w:rPr>
        <w:t>表</w:t>
      </w:r>
      <w:r>
        <w:rPr>
          <w:rFonts w:hint="eastAsia"/>
          <w:lang w:val="en-US" w:eastAsia="zh-CN"/>
        </w:rPr>
        <w:t>8.3-2</w:t>
      </w:r>
      <w:r>
        <w:rPr>
          <w:rFonts w:hint="default"/>
          <w:lang w:val="en-US" w:eastAsia="zh-CN"/>
        </w:rPr>
        <w:t xml:space="preserve"> </w:t>
      </w:r>
      <w:r>
        <w:rPr>
          <w:rFonts w:hint="eastAsia"/>
          <w:lang w:val="en-US" w:eastAsia="zh-CN"/>
        </w:rPr>
        <w:t xml:space="preserve"> </w:t>
      </w:r>
      <w:r>
        <w:rPr>
          <w:rFonts w:hint="default"/>
          <w:lang w:val="en-US" w:eastAsia="zh-CN"/>
        </w:rPr>
        <w:t>项目燃料燃烧碳排放量</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32"/>
              <w:bidi w:val="0"/>
              <w:rPr>
                <w:rFonts w:hint="default"/>
                <w:lang w:val="en-US" w:eastAsia="zh-CN"/>
              </w:rPr>
            </w:pPr>
            <w:r>
              <w:rPr>
                <w:rFonts w:hint="eastAsia"/>
                <w:lang w:val="en-US" w:eastAsia="zh-CN"/>
              </w:rPr>
              <w:t>名称</w:t>
            </w:r>
          </w:p>
        </w:tc>
        <w:tc>
          <w:tcPr>
            <w:tcW w:w="2130" w:type="dxa"/>
          </w:tcPr>
          <w:p>
            <w:pPr>
              <w:pStyle w:val="32"/>
              <w:bidi w:val="0"/>
              <w:rPr>
                <w:rFonts w:hint="eastAsia"/>
                <w:lang w:val="en-US" w:eastAsia="zh-CN"/>
              </w:rPr>
            </w:pPr>
            <w:r>
              <w:rPr>
                <w:rFonts w:hint="eastAsia"/>
                <w:lang w:val="en-US" w:eastAsia="zh-CN"/>
              </w:rPr>
              <w:t>AD</w:t>
            </w:r>
            <w:r>
              <w:rPr>
                <w:rFonts w:hint="eastAsia"/>
                <w:vertAlign w:val="subscript"/>
                <w:lang w:val="en-US" w:eastAsia="zh-CN"/>
              </w:rPr>
              <w:t>i燃料</w:t>
            </w:r>
          </w:p>
        </w:tc>
        <w:tc>
          <w:tcPr>
            <w:tcW w:w="2131" w:type="dxa"/>
          </w:tcPr>
          <w:p>
            <w:pPr>
              <w:pStyle w:val="32"/>
              <w:bidi w:val="0"/>
              <w:rPr>
                <w:rFonts w:hint="eastAsia"/>
                <w:lang w:val="en-US" w:eastAsia="zh-CN"/>
              </w:rPr>
            </w:pPr>
            <w:r>
              <w:rPr>
                <w:rFonts w:hint="eastAsia"/>
                <w:lang w:val="en-US" w:eastAsia="zh-CN"/>
              </w:rPr>
              <w:t>EF</w:t>
            </w:r>
            <w:r>
              <w:rPr>
                <w:rFonts w:hint="eastAsia"/>
                <w:vertAlign w:val="subscript"/>
                <w:lang w:val="en-US" w:eastAsia="zh-CN"/>
              </w:rPr>
              <w:t>i</w:t>
            </w:r>
          </w:p>
        </w:tc>
        <w:tc>
          <w:tcPr>
            <w:tcW w:w="2131" w:type="dxa"/>
          </w:tcPr>
          <w:p>
            <w:pPr>
              <w:pStyle w:val="32"/>
              <w:bidi w:val="0"/>
              <w:rPr>
                <w:rFonts w:hint="eastAsia"/>
                <w:lang w:val="en-US" w:eastAsia="zh-CN"/>
              </w:rPr>
            </w:pPr>
            <w:r>
              <w:rPr>
                <w:rFonts w:hint="eastAsia"/>
                <w:lang w:val="en-US" w:eastAsia="zh-CN"/>
              </w:rPr>
              <w:t>AE</w:t>
            </w:r>
            <w:r>
              <w:rPr>
                <w:rFonts w:hint="eastAsia"/>
                <w:vertAlign w:val="subscript"/>
                <w:lang w:val="en-US" w:eastAsia="zh-CN"/>
              </w:rPr>
              <w:t>燃料燃烧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32"/>
              <w:bidi w:val="0"/>
              <w:rPr>
                <w:rFonts w:hint="eastAsia"/>
                <w:lang w:val="en-US" w:eastAsia="zh-CN"/>
              </w:rPr>
            </w:pPr>
            <w:r>
              <w:rPr>
                <w:rFonts w:hint="eastAsia"/>
                <w:lang w:val="en-US" w:eastAsia="zh-CN"/>
              </w:rPr>
              <w:t>天然气</w:t>
            </w:r>
          </w:p>
        </w:tc>
        <w:tc>
          <w:tcPr>
            <w:tcW w:w="2130" w:type="dxa"/>
          </w:tcPr>
          <w:p>
            <w:pPr>
              <w:pStyle w:val="32"/>
              <w:bidi w:val="0"/>
              <w:rPr>
                <w:rFonts w:hint="eastAsia"/>
                <w:lang w:val="en-US" w:eastAsia="zh-CN"/>
              </w:rPr>
            </w:pPr>
            <w:r>
              <w:rPr>
                <w:rFonts w:hint="eastAsia"/>
              </w:rPr>
              <w:t>3802</w:t>
            </w:r>
            <w:r>
              <w:t>×10</w:t>
            </w:r>
            <w:r>
              <w:rPr>
                <w:vertAlign w:val="superscript"/>
              </w:rPr>
              <w:t>4</w:t>
            </w:r>
            <w:r>
              <w:rPr>
                <w:rFonts w:hint="eastAsia"/>
                <w:vertAlign w:val="baseline"/>
                <w:lang w:val="en-US" w:eastAsia="zh-CN"/>
              </w:rPr>
              <w:t>N</w:t>
            </w:r>
            <w:r>
              <w:t>m</w:t>
            </w:r>
            <w:r>
              <w:rPr>
                <w:vertAlign w:val="superscript"/>
              </w:rPr>
              <w:t>3</w:t>
            </w:r>
          </w:p>
        </w:tc>
        <w:tc>
          <w:tcPr>
            <w:tcW w:w="2131" w:type="dxa"/>
          </w:tcPr>
          <w:p>
            <w:pPr>
              <w:pStyle w:val="32"/>
              <w:bidi w:val="0"/>
              <w:rPr>
                <w:rFonts w:hint="eastAsia"/>
                <w:lang w:val="en-US" w:eastAsia="zh-CN"/>
              </w:rPr>
            </w:pPr>
            <w:r>
              <w:rPr>
                <w:rFonts w:hint="default"/>
                <w:lang w:val="en-US" w:eastAsia="zh-CN"/>
              </w:rPr>
              <w:t>21.622tCO</w:t>
            </w:r>
            <w:r>
              <w:rPr>
                <w:rFonts w:hint="default"/>
                <w:vertAlign w:val="superscript"/>
                <w:lang w:val="en-US" w:eastAsia="zh-CN"/>
              </w:rPr>
              <w:t>2</w:t>
            </w:r>
            <w:r>
              <w:rPr>
                <w:rFonts w:hint="default"/>
                <w:lang w:val="en-US" w:eastAsia="zh-CN"/>
              </w:rPr>
              <w:t>/10</w:t>
            </w:r>
            <w:r>
              <w:rPr>
                <w:rFonts w:hint="default"/>
                <w:vertAlign w:val="superscript"/>
                <w:lang w:val="en-US" w:eastAsia="zh-CN"/>
              </w:rPr>
              <w:t>4</w:t>
            </w:r>
            <w:r>
              <w:rPr>
                <w:rFonts w:hint="default"/>
                <w:lang w:val="en-US" w:eastAsia="zh-CN"/>
              </w:rPr>
              <w:t>Nm</w:t>
            </w:r>
            <w:r>
              <w:rPr>
                <w:rFonts w:hint="default"/>
                <w:vertAlign w:val="superscript"/>
                <w:lang w:val="en-US" w:eastAsia="zh-CN"/>
              </w:rPr>
              <w:t>3</w:t>
            </w:r>
          </w:p>
        </w:tc>
        <w:tc>
          <w:tcPr>
            <w:tcW w:w="2131" w:type="dxa"/>
          </w:tcPr>
          <w:p>
            <w:pPr>
              <w:pStyle w:val="32"/>
              <w:bidi w:val="0"/>
              <w:rPr>
                <w:rFonts w:hint="default"/>
                <w:lang w:val="en-US" w:eastAsia="zh-CN"/>
              </w:rPr>
            </w:pPr>
            <w:r>
              <w:rPr>
                <w:rFonts w:hint="eastAsia"/>
                <w:lang w:val="en-US" w:eastAsia="zh-CN"/>
              </w:rPr>
              <w:t>82206.844</w:t>
            </w:r>
          </w:p>
        </w:tc>
      </w:tr>
    </w:tbl>
    <w:p>
      <w:pPr>
        <w:pStyle w:val="7"/>
        <w:bidi w:val="0"/>
        <w:rPr>
          <w:rFonts w:hint="eastAsia"/>
          <w:b/>
          <w:bCs/>
          <w:lang w:val="en-US" w:eastAsia="zh-CN"/>
        </w:rPr>
      </w:pPr>
      <w:r>
        <w:rPr>
          <w:rFonts w:hint="eastAsia"/>
          <w:b/>
          <w:bCs/>
          <w:lang w:val="en-US" w:eastAsia="zh-CN"/>
        </w:rPr>
        <w:t>2、生产过程中的二氧化碳排放量</w:t>
      </w:r>
    </w:p>
    <w:p>
      <w:pPr>
        <w:pStyle w:val="7"/>
        <w:bidi w:val="0"/>
        <w:rPr>
          <w:rFonts w:hint="eastAsia"/>
          <w:b/>
          <w:bCs/>
          <w:lang w:val="en-US" w:eastAsia="zh-CN"/>
        </w:rPr>
      </w:pPr>
      <w:r>
        <w:rPr>
          <w:rFonts w:hint="eastAsia"/>
          <w:lang w:val="en-US" w:eastAsia="zh-CN"/>
        </w:rPr>
        <w:t>本项目精炼剂主要成分为Na</w:t>
      </w:r>
      <w:r>
        <w:rPr>
          <w:rFonts w:hint="eastAsia"/>
          <w:vertAlign w:val="subscript"/>
          <w:lang w:val="en-US" w:eastAsia="zh-CN"/>
        </w:rPr>
        <w:t>3</w:t>
      </w:r>
      <w:r>
        <w:rPr>
          <w:rFonts w:hint="eastAsia"/>
          <w:lang w:val="en-US" w:eastAsia="zh-CN"/>
        </w:rPr>
        <w:t>AlF</w:t>
      </w:r>
      <w:r>
        <w:rPr>
          <w:rFonts w:hint="eastAsia"/>
          <w:vertAlign w:val="subscript"/>
          <w:lang w:val="en-US" w:eastAsia="zh-CN"/>
        </w:rPr>
        <w:t>6</w:t>
      </w:r>
      <w:r>
        <w:rPr>
          <w:rFonts w:hint="eastAsia"/>
          <w:lang w:val="en-US" w:eastAsia="zh-CN"/>
        </w:rPr>
        <w:t>、Na</w:t>
      </w:r>
      <w:r>
        <w:rPr>
          <w:rFonts w:hint="eastAsia"/>
          <w:vertAlign w:val="subscript"/>
          <w:lang w:val="en-US" w:eastAsia="zh-CN"/>
        </w:rPr>
        <w:t>2</w:t>
      </w:r>
      <w:r>
        <w:rPr>
          <w:rFonts w:hint="eastAsia"/>
          <w:lang w:val="en-US" w:eastAsia="zh-CN"/>
        </w:rPr>
        <w:t>SiF</w:t>
      </w:r>
      <w:r>
        <w:rPr>
          <w:rFonts w:hint="eastAsia"/>
          <w:vertAlign w:val="subscript"/>
          <w:lang w:val="en-US" w:eastAsia="zh-CN"/>
        </w:rPr>
        <w:t>6</w:t>
      </w:r>
      <w:r>
        <w:rPr>
          <w:rFonts w:hint="eastAsia"/>
          <w:lang w:val="en-US" w:eastAsia="zh-CN"/>
        </w:rPr>
        <w:t>、NaCl、KCl，不含碳酸钠或碳酸钙，故本项目无过程排放。</w:t>
      </w:r>
      <w:r>
        <w:rPr>
          <w:rFonts w:ascii="宋体" w:hAnsi="宋体" w:eastAsia="宋体" w:cs="宋体"/>
          <w:b w:val="0"/>
          <w:bCs w:val="0"/>
          <w:i w:val="0"/>
          <w:iCs w:val="0"/>
          <w:color w:val="000000"/>
          <w:sz w:val="24"/>
          <w:szCs w:val="24"/>
        </w:rPr>
        <w:t>因此该项为</w:t>
      </w:r>
      <w:r>
        <w:rPr>
          <w:rFonts w:ascii="TimesNewRomanPSMT" w:hAnsi="TimesNewRomanPSMT" w:eastAsia="TimesNewRomanPSMT" w:cs="TimesNewRomanPSMT"/>
          <w:b w:val="0"/>
          <w:bCs w:val="0"/>
          <w:i w:val="0"/>
          <w:iCs w:val="0"/>
          <w:color w:val="000000"/>
          <w:sz w:val="24"/>
          <w:szCs w:val="24"/>
        </w:rPr>
        <w:t>0</w:t>
      </w:r>
      <w:r>
        <w:rPr>
          <w:rFonts w:ascii="宋体" w:hAnsi="宋体" w:eastAsia="宋体" w:cs="宋体"/>
          <w:b w:val="0"/>
          <w:bCs w:val="0"/>
          <w:i w:val="0"/>
          <w:iCs w:val="0"/>
          <w:color w:val="000000"/>
          <w:sz w:val="24"/>
          <w:szCs w:val="24"/>
        </w:rPr>
        <w:t>。</w:t>
      </w:r>
    </w:p>
    <w:p>
      <w:pPr>
        <w:pStyle w:val="7"/>
        <w:bidi w:val="0"/>
        <w:rPr>
          <w:rFonts w:hint="eastAsia"/>
          <w:b/>
          <w:bCs/>
          <w:lang w:val="en-US" w:eastAsia="zh-CN"/>
        </w:rPr>
      </w:pPr>
      <w:r>
        <w:rPr>
          <w:rFonts w:hint="eastAsia"/>
          <w:b/>
          <w:bCs/>
          <w:lang w:val="en-US" w:eastAsia="zh-CN"/>
        </w:rPr>
        <w:t>3、净购入电力和热力碳排放量</w:t>
      </w:r>
    </w:p>
    <w:p>
      <w:pPr>
        <w:pStyle w:val="7"/>
        <w:bidi w:val="0"/>
        <w:rPr>
          <w:rFonts w:hint="eastAsia"/>
          <w:lang w:val="en-US" w:eastAsia="zh-CN"/>
        </w:rPr>
      </w:pPr>
      <w:r>
        <w:rPr>
          <w:rFonts w:hint="eastAsia"/>
          <w:lang w:val="en-US" w:eastAsia="zh-CN"/>
        </w:rPr>
        <w:t>项目不使用蒸汽，仅核算购入电力的碳排放量。净购入电力耗碳排放量（AE</w:t>
      </w:r>
      <w:r>
        <w:rPr>
          <w:rFonts w:hint="eastAsia"/>
          <w:vertAlign w:val="subscript"/>
          <w:lang w:val="en-US" w:eastAsia="zh-CN"/>
        </w:rPr>
        <w:t>使用电力</w:t>
      </w:r>
      <w:r>
        <w:rPr>
          <w:rFonts w:hint="eastAsia"/>
          <w:lang w:val="en-US" w:eastAsia="zh-CN"/>
        </w:rPr>
        <w:t>）计算方法见下式：</w:t>
      </w:r>
    </w:p>
    <w:p>
      <w:pPr>
        <w:pStyle w:val="7"/>
        <w:bidi w:val="0"/>
        <w:ind w:left="0" w:leftChars="0" w:firstLine="0" w:firstLineChars="0"/>
        <w:jc w:val="center"/>
        <w:rPr>
          <w:rFonts w:hint="eastAsia"/>
          <w:lang w:val="en-US" w:eastAsia="zh-CN"/>
        </w:rPr>
      </w:pPr>
      <w:r>
        <w:rPr>
          <w:rFonts w:hint="eastAsia"/>
          <w:lang w:val="en-US" w:eastAsia="zh-CN"/>
        </w:rPr>
        <w:t>AE</w:t>
      </w:r>
      <w:r>
        <w:rPr>
          <w:rFonts w:hint="eastAsia"/>
          <w:vertAlign w:val="subscript"/>
          <w:lang w:val="en-US" w:eastAsia="zh-CN"/>
        </w:rPr>
        <w:t>净购入电力</w:t>
      </w:r>
      <w:r>
        <w:rPr>
          <w:rFonts w:hint="eastAsia"/>
          <w:lang w:val="en-US" w:eastAsia="zh-CN"/>
        </w:rPr>
        <w:t>=AD</w:t>
      </w:r>
      <w:r>
        <w:rPr>
          <w:rFonts w:hint="eastAsia"/>
          <w:vertAlign w:val="subscript"/>
          <w:lang w:val="en-US" w:eastAsia="zh-CN"/>
        </w:rPr>
        <w:t>净购入电量</w:t>
      </w:r>
      <w:r>
        <w:rPr>
          <w:rFonts w:hint="eastAsia"/>
          <w:lang w:val="en-US" w:eastAsia="zh-CN"/>
        </w:rPr>
        <w:t>×EF</w:t>
      </w:r>
      <w:r>
        <w:rPr>
          <w:rFonts w:hint="eastAsia"/>
          <w:vertAlign w:val="subscript"/>
          <w:lang w:val="en-US" w:eastAsia="zh-CN"/>
        </w:rPr>
        <w:t>电力</w:t>
      </w:r>
    </w:p>
    <w:p>
      <w:pPr>
        <w:pStyle w:val="7"/>
        <w:bidi w:val="0"/>
        <w:rPr>
          <w:rFonts w:hint="eastAsia"/>
          <w:lang w:val="en-US" w:eastAsia="zh-CN"/>
        </w:rPr>
      </w:pPr>
      <w:r>
        <w:rPr>
          <w:rFonts w:hint="eastAsia"/>
          <w:lang w:val="en-US" w:eastAsia="zh-CN"/>
        </w:rPr>
        <w:t>式中：AD</w:t>
      </w:r>
      <w:r>
        <w:rPr>
          <w:rFonts w:hint="eastAsia"/>
          <w:vertAlign w:val="subscript"/>
          <w:lang w:val="en-US" w:eastAsia="zh-CN"/>
        </w:rPr>
        <w:t>净购入电量</w:t>
      </w:r>
      <w:r>
        <w:rPr>
          <w:rFonts w:hint="eastAsia"/>
          <w:lang w:val="en-US" w:eastAsia="zh-CN"/>
        </w:rPr>
        <w:t>—净购入电量（MWh）；</w:t>
      </w:r>
    </w:p>
    <w:p>
      <w:pPr>
        <w:pStyle w:val="7"/>
        <w:bidi w:val="0"/>
        <w:ind w:firstLine="1200" w:firstLineChars="500"/>
        <w:rPr>
          <w:rFonts w:hint="eastAsia"/>
          <w:lang w:val="en-US" w:eastAsia="zh-CN"/>
        </w:rPr>
      </w:pPr>
      <w:r>
        <w:rPr>
          <w:rFonts w:hint="eastAsia"/>
          <w:lang w:val="en-US" w:eastAsia="zh-CN"/>
        </w:rPr>
        <w:t>EF</w:t>
      </w:r>
      <w:r>
        <w:rPr>
          <w:rFonts w:hint="eastAsia"/>
          <w:vertAlign w:val="subscript"/>
          <w:lang w:val="en-US" w:eastAsia="zh-CN"/>
        </w:rPr>
        <w:t>电力</w:t>
      </w:r>
      <w:r>
        <w:rPr>
          <w:rFonts w:hint="eastAsia"/>
          <w:lang w:val="en-US" w:eastAsia="zh-CN"/>
        </w:rPr>
        <w:t>—电力排放因子（tCO</w:t>
      </w:r>
      <w:r>
        <w:rPr>
          <w:rFonts w:hint="eastAsia"/>
          <w:vertAlign w:val="subscript"/>
          <w:lang w:val="en-US" w:eastAsia="zh-CN"/>
        </w:rPr>
        <w:t>2</w:t>
      </w:r>
      <w:r>
        <w:rPr>
          <w:rFonts w:hint="eastAsia"/>
          <w:lang w:val="en-US" w:eastAsia="zh-CN"/>
        </w:rPr>
        <w:t>/MWh）。</w:t>
      </w:r>
    </w:p>
    <w:p>
      <w:pPr>
        <w:pStyle w:val="7"/>
        <w:bidi w:val="0"/>
        <w:rPr>
          <w:rFonts w:hint="eastAsia"/>
          <w:lang w:val="en-US" w:eastAsia="zh-CN"/>
        </w:rPr>
      </w:pPr>
      <w:r>
        <w:rPr>
          <w:rFonts w:hint="eastAsia"/>
          <w:lang w:val="en-US" w:eastAsia="zh-CN"/>
        </w:rPr>
        <w:t>根据《关于做好2022年企业温室气体排放报告管理相关重点工作的通知》（环办气候函〔2022〕111号），2021年电网排放因子调整为0.5810tCO</w:t>
      </w:r>
      <w:r>
        <w:rPr>
          <w:rFonts w:hint="eastAsia"/>
          <w:vertAlign w:val="subscript"/>
          <w:lang w:val="en-US" w:eastAsia="zh-CN"/>
        </w:rPr>
        <w:t>2</w:t>
      </w:r>
      <w:r>
        <w:rPr>
          <w:rFonts w:hint="eastAsia"/>
          <w:lang w:val="en-US" w:eastAsia="zh-CN"/>
        </w:rPr>
        <w:t>/MWh。据上述计算公式和参数选取，本项目净购入电力碳排放量见下表。</w:t>
      </w:r>
    </w:p>
    <w:p>
      <w:pPr>
        <w:pStyle w:val="41"/>
        <w:bidi w:val="0"/>
        <w:rPr>
          <w:rFonts w:hint="default"/>
          <w:lang w:val="en-US" w:eastAsia="zh-CN"/>
        </w:rPr>
      </w:pPr>
      <w:r>
        <w:rPr>
          <w:rFonts w:hint="default"/>
          <w:lang w:val="en-US" w:eastAsia="zh-CN"/>
        </w:rPr>
        <w:t>表</w:t>
      </w:r>
      <w:r>
        <w:rPr>
          <w:rFonts w:hint="eastAsia"/>
          <w:lang w:val="en-US" w:eastAsia="zh-CN"/>
        </w:rPr>
        <w:t>8.3</w:t>
      </w:r>
      <w:r>
        <w:rPr>
          <w:rFonts w:hint="default"/>
          <w:lang w:val="en-US" w:eastAsia="zh-CN"/>
        </w:rPr>
        <w:t xml:space="preserve">-3 </w:t>
      </w:r>
      <w:r>
        <w:rPr>
          <w:rFonts w:hint="eastAsia"/>
          <w:lang w:val="en-US" w:eastAsia="zh-CN"/>
        </w:rPr>
        <w:t xml:space="preserve"> </w:t>
      </w:r>
      <w:r>
        <w:rPr>
          <w:rFonts w:hint="default"/>
          <w:lang w:val="en-US" w:eastAsia="zh-CN"/>
        </w:rPr>
        <w:t>项目</w:t>
      </w:r>
      <w:r>
        <w:rPr>
          <w:rFonts w:hint="eastAsia"/>
          <w:lang w:val="en-US" w:eastAsia="zh-CN"/>
        </w:rPr>
        <w:t>购入电力</w:t>
      </w:r>
      <w:r>
        <w:rPr>
          <w:rFonts w:hint="default"/>
          <w:lang w:val="en-US" w:eastAsia="zh-CN"/>
        </w:rPr>
        <w:t>碳排放量</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32"/>
              <w:bidi w:val="0"/>
              <w:rPr>
                <w:rFonts w:hint="default"/>
                <w:lang w:val="en-US" w:eastAsia="zh-CN"/>
              </w:rPr>
            </w:pPr>
            <w:r>
              <w:rPr>
                <w:rFonts w:hint="eastAsia"/>
                <w:lang w:val="en-US" w:eastAsia="zh-CN"/>
              </w:rPr>
              <w:t>名称</w:t>
            </w:r>
          </w:p>
        </w:tc>
        <w:tc>
          <w:tcPr>
            <w:tcW w:w="2130" w:type="dxa"/>
          </w:tcPr>
          <w:p>
            <w:pPr>
              <w:pStyle w:val="32"/>
              <w:bidi w:val="0"/>
              <w:rPr>
                <w:rFonts w:hint="eastAsia"/>
                <w:lang w:val="en-US" w:eastAsia="zh-CN"/>
              </w:rPr>
            </w:pPr>
            <w:r>
              <w:rPr>
                <w:rFonts w:hint="eastAsia"/>
                <w:lang w:val="en-US" w:eastAsia="zh-CN"/>
              </w:rPr>
              <w:t>AD</w:t>
            </w:r>
            <w:r>
              <w:rPr>
                <w:rFonts w:hint="eastAsia"/>
                <w:vertAlign w:val="subscript"/>
                <w:lang w:val="en-US" w:eastAsia="zh-CN"/>
              </w:rPr>
              <w:t>净购入电量</w:t>
            </w:r>
          </w:p>
        </w:tc>
        <w:tc>
          <w:tcPr>
            <w:tcW w:w="2131" w:type="dxa"/>
          </w:tcPr>
          <w:p>
            <w:pPr>
              <w:pStyle w:val="32"/>
              <w:bidi w:val="0"/>
              <w:rPr>
                <w:rFonts w:hint="eastAsia"/>
                <w:lang w:val="en-US" w:eastAsia="zh-CN"/>
              </w:rPr>
            </w:pPr>
            <w:r>
              <w:rPr>
                <w:rFonts w:hint="eastAsia"/>
                <w:lang w:val="en-US" w:eastAsia="zh-CN"/>
              </w:rPr>
              <w:t>EF</w:t>
            </w:r>
            <w:r>
              <w:rPr>
                <w:rFonts w:hint="eastAsia"/>
                <w:vertAlign w:val="subscript"/>
                <w:lang w:val="en-US" w:eastAsia="zh-CN"/>
              </w:rPr>
              <w:t>i</w:t>
            </w:r>
          </w:p>
        </w:tc>
        <w:tc>
          <w:tcPr>
            <w:tcW w:w="2131" w:type="dxa"/>
          </w:tcPr>
          <w:p>
            <w:pPr>
              <w:pStyle w:val="32"/>
              <w:bidi w:val="0"/>
              <w:rPr>
                <w:rFonts w:hint="eastAsia"/>
                <w:lang w:val="en-US" w:eastAsia="zh-CN"/>
              </w:rPr>
            </w:pPr>
            <w:r>
              <w:rPr>
                <w:rFonts w:hint="eastAsia"/>
                <w:lang w:val="en-US" w:eastAsia="zh-CN"/>
              </w:rPr>
              <w:t>AE</w:t>
            </w:r>
            <w:r>
              <w:rPr>
                <w:rFonts w:hint="eastAsia"/>
                <w:vertAlign w:val="subscript"/>
                <w:lang w:val="en-US" w:eastAsia="zh-CN"/>
              </w:rPr>
              <w:t>燃料燃烧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32"/>
              <w:bidi w:val="0"/>
              <w:rPr>
                <w:rFonts w:hint="default"/>
                <w:lang w:val="en-US" w:eastAsia="zh-CN"/>
              </w:rPr>
            </w:pPr>
            <w:r>
              <w:rPr>
                <w:rFonts w:hint="eastAsia"/>
                <w:lang w:val="en-US" w:eastAsia="zh-CN"/>
              </w:rPr>
              <w:t>电</w:t>
            </w:r>
          </w:p>
        </w:tc>
        <w:tc>
          <w:tcPr>
            <w:tcW w:w="2130" w:type="dxa"/>
          </w:tcPr>
          <w:p>
            <w:pPr>
              <w:pStyle w:val="32"/>
              <w:bidi w:val="0"/>
              <w:rPr>
                <w:rFonts w:hint="eastAsia" w:eastAsia="宋体"/>
                <w:lang w:val="en-US" w:eastAsia="zh-CN"/>
              </w:rPr>
            </w:pPr>
            <w:r>
              <w:rPr>
                <w:rFonts w:hint="eastAsia"/>
              </w:rPr>
              <w:t>448</w:t>
            </w:r>
            <w:r>
              <w:rPr>
                <w:rFonts w:hint="eastAsia"/>
                <w:lang w:val="en-US" w:eastAsia="zh-CN"/>
              </w:rPr>
              <w:t>0MWh</w:t>
            </w:r>
          </w:p>
        </w:tc>
        <w:tc>
          <w:tcPr>
            <w:tcW w:w="2131" w:type="dxa"/>
          </w:tcPr>
          <w:p>
            <w:pPr>
              <w:pStyle w:val="32"/>
              <w:bidi w:val="0"/>
              <w:rPr>
                <w:rFonts w:hint="eastAsia"/>
                <w:lang w:val="en-US" w:eastAsia="zh-CN"/>
              </w:rPr>
            </w:pPr>
            <w:r>
              <w:rPr>
                <w:rFonts w:hint="eastAsia"/>
                <w:lang w:val="en-US" w:eastAsia="zh-CN"/>
              </w:rPr>
              <w:t>0.5810tCO</w:t>
            </w:r>
            <w:r>
              <w:rPr>
                <w:rFonts w:hint="eastAsia"/>
                <w:vertAlign w:val="subscript"/>
                <w:lang w:val="en-US" w:eastAsia="zh-CN"/>
              </w:rPr>
              <w:t>2</w:t>
            </w:r>
            <w:r>
              <w:rPr>
                <w:rFonts w:hint="eastAsia"/>
                <w:lang w:val="en-US" w:eastAsia="zh-CN"/>
              </w:rPr>
              <w:t>/MWh</w:t>
            </w:r>
          </w:p>
        </w:tc>
        <w:tc>
          <w:tcPr>
            <w:tcW w:w="2131" w:type="dxa"/>
          </w:tcPr>
          <w:p>
            <w:pPr>
              <w:pStyle w:val="32"/>
              <w:bidi w:val="0"/>
              <w:rPr>
                <w:rFonts w:hint="default"/>
                <w:lang w:val="en-US" w:eastAsia="zh-CN"/>
              </w:rPr>
            </w:pPr>
            <w:r>
              <w:rPr>
                <w:rFonts w:hint="eastAsia"/>
                <w:lang w:val="en-US" w:eastAsia="zh-CN"/>
              </w:rPr>
              <w:t>2598.848</w:t>
            </w:r>
          </w:p>
        </w:tc>
      </w:tr>
    </w:tbl>
    <w:p>
      <w:pPr>
        <w:pStyle w:val="7"/>
        <w:bidi w:val="0"/>
        <w:rPr>
          <w:rFonts w:hint="eastAsia"/>
          <w:b/>
          <w:bCs/>
          <w:lang w:val="en-US" w:eastAsia="zh-CN"/>
        </w:rPr>
      </w:pPr>
      <w:r>
        <w:rPr>
          <w:rFonts w:hint="eastAsia"/>
          <w:b/>
          <w:bCs/>
          <w:lang w:val="en-US" w:eastAsia="zh-CN"/>
        </w:rPr>
        <w:t>4、固碳产品隐含的排放量</w:t>
      </w:r>
    </w:p>
    <w:p>
      <w:pPr>
        <w:pStyle w:val="7"/>
        <w:bidi w:val="0"/>
        <w:rPr>
          <w:rFonts w:hint="eastAsia"/>
          <w:lang w:val="en-US" w:eastAsia="zh-CN"/>
        </w:rPr>
      </w:pPr>
      <w:r>
        <w:rPr>
          <w:rFonts w:hint="eastAsia"/>
          <w:lang w:val="en-US" w:eastAsia="zh-CN"/>
        </w:rPr>
        <w:t>项目主要产品为铝合金圆铸锭及板锭，无其他副产物产生，不存在固碳产品，因此该项为0。</w:t>
      </w:r>
    </w:p>
    <w:p>
      <w:pPr>
        <w:pStyle w:val="7"/>
        <w:bidi w:val="0"/>
        <w:rPr>
          <w:rFonts w:hint="eastAsia"/>
          <w:b/>
          <w:bCs/>
          <w:lang w:val="en-US" w:eastAsia="zh-CN"/>
        </w:rPr>
      </w:pPr>
      <w:r>
        <w:rPr>
          <w:rFonts w:hint="eastAsia"/>
          <w:b/>
          <w:bCs/>
          <w:lang w:val="en-US" w:eastAsia="zh-CN"/>
        </w:rPr>
        <w:t>5、碳排放量汇总</w:t>
      </w:r>
    </w:p>
    <w:p>
      <w:pPr>
        <w:pStyle w:val="7"/>
        <w:bidi w:val="0"/>
        <w:rPr>
          <w:rFonts w:hint="eastAsia"/>
          <w:lang w:val="en-US" w:eastAsia="zh-CN"/>
        </w:rPr>
      </w:pPr>
      <w:r>
        <w:rPr>
          <w:rFonts w:hint="eastAsia"/>
          <w:lang w:val="en-US" w:eastAsia="zh-CN"/>
        </w:rPr>
        <w:t>综上所述，项目碳排放量汇总如下：</w:t>
      </w:r>
    </w:p>
    <w:p>
      <w:pPr>
        <w:pStyle w:val="7"/>
        <w:bidi w:val="0"/>
        <w:ind w:left="0" w:leftChars="0" w:firstLine="0" w:firstLineChars="0"/>
        <w:jc w:val="center"/>
        <w:rPr>
          <w:rFonts w:hint="eastAsia"/>
          <w:vertAlign w:val="subscript"/>
          <w:lang w:val="en-US" w:eastAsia="zh-CN"/>
        </w:rPr>
      </w:pPr>
      <w:r>
        <w:rPr>
          <w:rFonts w:hint="eastAsia"/>
          <w:lang w:val="en-US" w:eastAsia="zh-CN"/>
        </w:rPr>
        <w:t>AE</w:t>
      </w:r>
      <w:r>
        <w:rPr>
          <w:rFonts w:hint="eastAsia"/>
          <w:vertAlign w:val="subscript"/>
          <w:lang w:val="en-US" w:eastAsia="zh-CN"/>
        </w:rPr>
        <w:t>总</w:t>
      </w:r>
      <w:r>
        <w:rPr>
          <w:rFonts w:hint="eastAsia"/>
          <w:lang w:val="en-US" w:eastAsia="zh-CN"/>
        </w:rPr>
        <w:t>=AE</w:t>
      </w:r>
      <w:r>
        <w:rPr>
          <w:rFonts w:hint="eastAsia"/>
          <w:vertAlign w:val="subscript"/>
          <w:lang w:val="en-US" w:eastAsia="zh-CN"/>
        </w:rPr>
        <w:t>燃料燃烧</w:t>
      </w:r>
      <w:r>
        <w:rPr>
          <w:rFonts w:hint="eastAsia"/>
          <w:lang w:val="en-US" w:eastAsia="zh-CN"/>
        </w:rPr>
        <w:t>+AE</w:t>
      </w:r>
      <w:r>
        <w:rPr>
          <w:rFonts w:hint="eastAsia"/>
          <w:vertAlign w:val="subscript"/>
          <w:lang w:val="en-US" w:eastAsia="zh-CN"/>
        </w:rPr>
        <w:t>工业生产过程</w:t>
      </w:r>
      <w:r>
        <w:rPr>
          <w:rFonts w:hint="eastAsia"/>
          <w:lang w:val="en-US" w:eastAsia="zh-CN"/>
        </w:rPr>
        <w:t>+AE</w:t>
      </w:r>
      <w:r>
        <w:rPr>
          <w:rFonts w:hint="eastAsia"/>
          <w:vertAlign w:val="subscript"/>
          <w:lang w:val="en-US" w:eastAsia="zh-CN"/>
        </w:rPr>
        <w:t>净购入电力和热力</w:t>
      </w:r>
      <w:r>
        <w:rPr>
          <w:rFonts w:hint="eastAsia"/>
          <w:lang w:val="en-US" w:eastAsia="zh-CN"/>
        </w:rPr>
        <w:t>-R</w:t>
      </w:r>
      <w:r>
        <w:rPr>
          <w:rFonts w:hint="eastAsia"/>
          <w:vertAlign w:val="subscript"/>
          <w:lang w:val="en-US" w:eastAsia="zh-CN"/>
        </w:rPr>
        <w:t>固碳</w:t>
      </w:r>
    </w:p>
    <w:p>
      <w:pPr>
        <w:pStyle w:val="7"/>
        <w:bidi w:val="0"/>
        <w:ind w:firstLine="2160" w:firstLineChars="900"/>
        <w:jc w:val="both"/>
        <w:rPr>
          <w:rFonts w:hint="eastAsia"/>
          <w:lang w:val="en-US" w:eastAsia="zh-CN"/>
        </w:rPr>
      </w:pPr>
      <w:r>
        <w:rPr>
          <w:rFonts w:hint="eastAsia"/>
          <w:vertAlign w:val="subscript"/>
          <w:lang w:val="en-US" w:eastAsia="zh-CN"/>
        </w:rPr>
        <w:t xml:space="preserve"> </w:t>
      </w:r>
      <w:r>
        <w:rPr>
          <w:rFonts w:hint="eastAsia"/>
          <w:vertAlign w:val="baseline"/>
          <w:lang w:val="en-US" w:eastAsia="zh-CN"/>
        </w:rPr>
        <w:t>=</w:t>
      </w:r>
      <w:r>
        <w:rPr>
          <w:rFonts w:hint="eastAsia"/>
          <w:lang w:val="en-US" w:eastAsia="zh-CN"/>
        </w:rPr>
        <w:t>82206.844+0+2598.848-0</w:t>
      </w:r>
    </w:p>
    <w:p>
      <w:pPr>
        <w:pStyle w:val="7"/>
        <w:bidi w:val="0"/>
        <w:ind w:firstLine="2160" w:firstLineChars="900"/>
        <w:jc w:val="both"/>
        <w:rPr>
          <w:rFonts w:hint="default"/>
          <w:lang w:val="en-US" w:eastAsia="zh-CN"/>
        </w:rPr>
      </w:pPr>
      <w:r>
        <w:rPr>
          <w:rFonts w:hint="eastAsia"/>
          <w:vertAlign w:val="subscript"/>
          <w:lang w:val="en-US" w:eastAsia="zh-CN"/>
        </w:rPr>
        <w:t xml:space="preserve"> </w:t>
      </w:r>
      <w:r>
        <w:rPr>
          <w:rFonts w:hint="eastAsia"/>
          <w:lang w:val="en-US" w:eastAsia="zh-CN"/>
        </w:rPr>
        <w:t>=84805.692</w:t>
      </w:r>
    </w:p>
    <w:p>
      <w:pPr>
        <w:pStyle w:val="31"/>
        <w:bidi w:val="0"/>
        <w:rPr>
          <w:rFonts w:hint="default"/>
          <w:lang w:val="en-US" w:eastAsia="zh-CN"/>
        </w:rPr>
      </w:pPr>
      <w:r>
        <w:rPr>
          <w:rFonts w:hint="eastAsia"/>
          <w:lang w:val="en-US" w:eastAsia="zh-CN"/>
        </w:rPr>
        <w:t>表8.3-4  温室气体排放量汇总</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center"/>
          </w:tcPr>
          <w:p>
            <w:pPr>
              <w:pStyle w:val="33"/>
              <w:bidi w:val="0"/>
              <w:rPr>
                <w:rFonts w:hint="default"/>
                <w:lang w:val="en-US" w:eastAsia="zh-CN"/>
              </w:rPr>
            </w:pPr>
            <w:r>
              <w:rPr>
                <w:rFonts w:hint="eastAsia"/>
                <w:lang w:val="en-US" w:eastAsia="zh-CN"/>
              </w:rPr>
              <w:t>源类别</w:t>
            </w:r>
          </w:p>
        </w:tc>
        <w:tc>
          <w:tcPr>
            <w:tcW w:w="5682" w:type="dxa"/>
            <w:gridSpan w:val="2"/>
            <w:noWrap w:val="0"/>
            <w:vAlign w:val="center"/>
          </w:tcPr>
          <w:p>
            <w:pPr>
              <w:pStyle w:val="33"/>
              <w:bidi w:val="0"/>
              <w:rPr>
                <w:rFonts w:hint="default"/>
                <w:lang w:val="en-US" w:eastAsia="zh-CN"/>
              </w:rPr>
            </w:pPr>
            <w:r>
              <w:rPr>
                <w:rFonts w:hint="eastAsia"/>
                <w:lang w:val="en-US" w:eastAsia="zh-CN"/>
              </w:rPr>
              <w:t>CO</w:t>
            </w:r>
            <w:r>
              <w:rPr>
                <w:rFonts w:hint="eastAsia"/>
                <w:vertAlign w:val="subscript"/>
                <w:lang w:val="en-US" w:eastAsia="zh-CN"/>
              </w:rPr>
              <w:t>2</w:t>
            </w:r>
            <w:r>
              <w:rPr>
                <w:rFonts w:hint="eastAsia"/>
                <w:lang w:val="en-US" w:eastAsia="zh-CN"/>
              </w:rPr>
              <w:t>当量（单位：t</w:t>
            </w:r>
            <w:r>
              <w:rPr>
                <w:rFonts w:hint="default"/>
                <w:lang w:val="en-US" w:eastAsia="zh-CN"/>
              </w:rPr>
              <w:t>CO</w:t>
            </w:r>
            <w:r>
              <w:rPr>
                <w:rFonts w:hint="default"/>
                <w:vertAlign w:val="subscript"/>
                <w:lang w:val="en-US" w:eastAsia="zh-CN"/>
              </w:rPr>
              <w:t>2</w:t>
            </w:r>
            <w:r>
              <w:rPr>
                <w:rFonts w:hint="eastAsia"/>
                <w:lang w:val="en-US" w:eastAsia="zh-CN"/>
              </w:rPr>
              <w:t>当量）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2840" w:type="dxa"/>
            <w:noWrap w:val="0"/>
            <w:vAlign w:val="center"/>
          </w:tcPr>
          <w:p>
            <w:pPr>
              <w:pStyle w:val="33"/>
              <w:bidi w:val="0"/>
              <w:rPr>
                <w:rFonts w:hint="default"/>
                <w:lang w:val="en-US" w:eastAsia="zh-CN"/>
              </w:rPr>
            </w:pPr>
            <w:r>
              <w:rPr>
                <w:rFonts w:hint="eastAsia"/>
                <w:lang w:val="en-US" w:eastAsia="zh-CN"/>
              </w:rPr>
              <w:t>化石燃料燃烧</w:t>
            </w:r>
            <w:r>
              <w:rPr>
                <w:rFonts w:hint="default"/>
                <w:lang w:val="en-US" w:eastAsia="zh-CN"/>
              </w:rPr>
              <w:t>CO</w:t>
            </w:r>
            <w:r>
              <w:rPr>
                <w:rFonts w:hint="default"/>
                <w:vertAlign w:val="subscript"/>
                <w:lang w:val="en-US" w:eastAsia="zh-CN"/>
              </w:rPr>
              <w:t>2</w:t>
            </w:r>
            <w:r>
              <w:rPr>
                <w:rFonts w:hint="eastAsia"/>
                <w:lang w:val="en-US" w:eastAsia="zh-CN"/>
              </w:rPr>
              <w:t>排放</w:t>
            </w:r>
          </w:p>
        </w:tc>
        <w:tc>
          <w:tcPr>
            <w:tcW w:w="5682" w:type="dxa"/>
            <w:gridSpan w:val="2"/>
            <w:noWrap w:val="0"/>
            <w:vAlign w:val="center"/>
          </w:tcPr>
          <w:p>
            <w:pPr>
              <w:pStyle w:val="33"/>
              <w:bidi w:val="0"/>
              <w:rPr>
                <w:rFonts w:hint="default"/>
                <w:lang w:val="en-US" w:eastAsia="zh-CN"/>
              </w:rPr>
            </w:pPr>
            <w:r>
              <w:rPr>
                <w:rFonts w:hint="eastAsia"/>
                <w:lang w:val="en-US" w:eastAsia="zh-CN"/>
              </w:rPr>
              <w:t>82206.844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center"/>
          </w:tcPr>
          <w:p>
            <w:pPr>
              <w:pStyle w:val="33"/>
              <w:bidi w:val="0"/>
              <w:rPr>
                <w:rFonts w:hint="default"/>
                <w:lang w:val="en-US" w:eastAsia="zh-CN"/>
              </w:rPr>
            </w:pPr>
            <w:r>
              <w:rPr>
                <w:rFonts w:hint="eastAsia"/>
                <w:lang w:val="en-US" w:eastAsia="zh-CN"/>
              </w:rPr>
              <w:t>工业生产过程</w:t>
            </w:r>
            <w:r>
              <w:rPr>
                <w:rFonts w:hint="default"/>
                <w:lang w:val="en-US" w:eastAsia="zh-CN"/>
              </w:rPr>
              <w:t>CO</w:t>
            </w:r>
            <w:r>
              <w:rPr>
                <w:rFonts w:hint="default"/>
                <w:vertAlign w:val="subscript"/>
                <w:lang w:val="en-US" w:eastAsia="zh-CN"/>
              </w:rPr>
              <w:t>2</w:t>
            </w:r>
            <w:r>
              <w:rPr>
                <w:rFonts w:hint="eastAsia"/>
                <w:lang w:val="en-US" w:eastAsia="zh-CN"/>
              </w:rPr>
              <w:t>排放</w:t>
            </w:r>
          </w:p>
        </w:tc>
        <w:tc>
          <w:tcPr>
            <w:tcW w:w="5682" w:type="dxa"/>
            <w:gridSpan w:val="2"/>
            <w:noWrap w:val="0"/>
            <w:vAlign w:val="center"/>
          </w:tcPr>
          <w:p>
            <w:pPr>
              <w:pStyle w:val="33"/>
              <w:bidi w:val="0"/>
              <w:rPr>
                <w:rFonts w:hint="eastAsia"/>
                <w:lang w:val="en-US"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center"/>
          </w:tcPr>
          <w:p>
            <w:pPr>
              <w:pStyle w:val="33"/>
              <w:bidi w:val="0"/>
              <w:rPr>
                <w:rFonts w:hint="default"/>
                <w:lang w:val="en-US" w:eastAsia="zh-CN"/>
              </w:rPr>
            </w:pPr>
            <w:r>
              <w:rPr>
                <w:rFonts w:hint="eastAsia"/>
                <w:lang w:val="en-US" w:eastAsia="zh-CN"/>
              </w:rPr>
              <w:t>CO</w:t>
            </w:r>
            <w:r>
              <w:rPr>
                <w:rFonts w:hint="eastAsia"/>
                <w:vertAlign w:val="subscript"/>
                <w:lang w:val="en-US" w:eastAsia="zh-CN"/>
              </w:rPr>
              <w:t>2</w:t>
            </w:r>
            <w:r>
              <w:rPr>
                <w:rFonts w:hint="eastAsia"/>
                <w:lang w:val="en-US" w:eastAsia="zh-CN"/>
              </w:rPr>
              <w:t>回收利用量</w:t>
            </w:r>
          </w:p>
        </w:tc>
        <w:tc>
          <w:tcPr>
            <w:tcW w:w="5682" w:type="dxa"/>
            <w:gridSpan w:val="2"/>
            <w:noWrap w:val="0"/>
            <w:vAlign w:val="center"/>
          </w:tcPr>
          <w:p>
            <w:pPr>
              <w:pStyle w:val="33"/>
              <w:bidi w:val="0"/>
              <w:rPr>
                <w:rFonts w:hint="default"/>
                <w:lang w:val="en-US"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center"/>
          </w:tcPr>
          <w:p>
            <w:pPr>
              <w:pStyle w:val="33"/>
              <w:bidi w:val="0"/>
              <w:rPr>
                <w:rFonts w:hint="default"/>
                <w:lang w:val="en-US" w:eastAsia="zh-CN"/>
              </w:rPr>
            </w:pPr>
            <w:r>
              <w:rPr>
                <w:rFonts w:hint="eastAsia"/>
                <w:lang w:val="en-US" w:eastAsia="zh-CN"/>
              </w:rPr>
              <w:t>企业净购入电力和热力消费引起的CO</w:t>
            </w:r>
            <w:r>
              <w:rPr>
                <w:rFonts w:hint="eastAsia"/>
                <w:vertAlign w:val="subscript"/>
                <w:lang w:val="en-US" w:eastAsia="zh-CN"/>
              </w:rPr>
              <w:t>2</w:t>
            </w:r>
            <w:r>
              <w:rPr>
                <w:rFonts w:hint="eastAsia"/>
                <w:lang w:val="en-US" w:eastAsia="zh-CN"/>
              </w:rPr>
              <w:t>排放</w:t>
            </w:r>
          </w:p>
        </w:tc>
        <w:tc>
          <w:tcPr>
            <w:tcW w:w="5682" w:type="dxa"/>
            <w:gridSpan w:val="2"/>
            <w:noWrap w:val="0"/>
            <w:vAlign w:val="center"/>
          </w:tcPr>
          <w:p>
            <w:pPr>
              <w:pStyle w:val="33"/>
              <w:bidi w:val="0"/>
              <w:rPr>
                <w:rFonts w:hint="default"/>
                <w:lang w:val="en-US" w:eastAsia="zh-CN"/>
              </w:rPr>
            </w:pPr>
            <w:r>
              <w:rPr>
                <w:rFonts w:hint="eastAsia"/>
                <w:lang w:val="en-US" w:eastAsia="zh-CN"/>
              </w:rPr>
              <w:t>2598.848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81" w:type="dxa"/>
            <w:gridSpan w:val="2"/>
            <w:noWrap w:val="0"/>
            <w:vAlign w:val="center"/>
          </w:tcPr>
          <w:p>
            <w:pPr>
              <w:pStyle w:val="33"/>
              <w:bidi w:val="0"/>
              <w:rPr>
                <w:rFonts w:hint="default"/>
                <w:lang w:val="en-US" w:eastAsia="zh-CN"/>
              </w:rPr>
            </w:pPr>
            <w:r>
              <w:rPr>
                <w:rFonts w:hint="eastAsia"/>
                <w:lang w:val="en-US" w:eastAsia="zh-CN"/>
              </w:rPr>
              <w:t>企业温室气体排放总量（吨CO</w:t>
            </w:r>
            <w:r>
              <w:rPr>
                <w:rFonts w:hint="eastAsia"/>
                <w:vertAlign w:val="subscript"/>
                <w:lang w:val="en-US" w:eastAsia="zh-CN"/>
              </w:rPr>
              <w:t>2</w:t>
            </w:r>
            <w:r>
              <w:rPr>
                <w:rFonts w:hint="eastAsia"/>
                <w:lang w:val="en-US" w:eastAsia="zh-CN"/>
              </w:rPr>
              <w:t>当量）</w:t>
            </w:r>
          </w:p>
        </w:tc>
        <w:tc>
          <w:tcPr>
            <w:tcW w:w="2841" w:type="dxa"/>
            <w:noWrap w:val="0"/>
            <w:vAlign w:val="center"/>
          </w:tcPr>
          <w:p>
            <w:pPr>
              <w:pStyle w:val="33"/>
              <w:bidi w:val="0"/>
              <w:rPr>
                <w:rFonts w:hint="default"/>
                <w:lang w:val="en-US" w:eastAsia="zh-CN"/>
              </w:rPr>
            </w:pPr>
            <w:r>
              <w:rPr>
                <w:rFonts w:hint="eastAsia"/>
                <w:lang w:val="en-US" w:eastAsia="zh-CN"/>
              </w:rPr>
              <w:t>84805.692</w:t>
            </w:r>
          </w:p>
        </w:tc>
      </w:tr>
    </w:tbl>
    <w:p>
      <w:pPr>
        <w:pStyle w:val="5"/>
        <w:bidi w:val="0"/>
        <w:rPr>
          <w:rFonts w:hint="eastAsia"/>
          <w:lang w:val="en-US" w:eastAsia="zh-CN"/>
        </w:rPr>
      </w:pPr>
      <w:bookmarkStart w:id="160" w:name="_Toc26718"/>
      <w:r>
        <w:rPr>
          <w:rFonts w:hint="eastAsia"/>
          <w:lang w:val="en-US" w:eastAsia="zh-CN"/>
        </w:rPr>
        <w:t>8.4碳减排措施及其可行性论证</w:t>
      </w:r>
      <w:bookmarkEnd w:id="160"/>
    </w:p>
    <w:p>
      <w:pPr>
        <w:pStyle w:val="8"/>
        <w:bidi w:val="0"/>
        <w:rPr>
          <w:rFonts w:hint="eastAsia"/>
          <w:lang w:val="en-US" w:eastAsia="zh-CN"/>
        </w:rPr>
      </w:pPr>
      <w:r>
        <w:rPr>
          <w:rFonts w:hint="eastAsia"/>
          <w:lang w:val="en-US" w:eastAsia="zh-CN"/>
        </w:rPr>
        <w:t>8.4.1拟采取的碳减排措施</w:t>
      </w:r>
    </w:p>
    <w:p>
      <w:pPr>
        <w:pStyle w:val="7"/>
        <w:bidi w:val="0"/>
        <w:rPr>
          <w:rFonts w:hint="eastAsia"/>
          <w:b/>
          <w:bCs/>
          <w:lang w:val="en-US" w:eastAsia="zh-CN"/>
        </w:rPr>
      </w:pPr>
      <w:r>
        <w:rPr>
          <w:rFonts w:hint="eastAsia"/>
          <w:b/>
          <w:bCs/>
          <w:lang w:val="en-US" w:eastAsia="zh-CN"/>
        </w:rPr>
        <w:t>1、积极开展源头控制、优化用能结构</w:t>
      </w:r>
    </w:p>
    <w:p>
      <w:pPr>
        <w:pStyle w:val="7"/>
        <w:bidi w:val="0"/>
        <w:rPr>
          <w:rFonts w:hint="eastAsia"/>
          <w:lang w:val="en-US" w:eastAsia="zh-CN"/>
        </w:rPr>
      </w:pPr>
      <w:r>
        <w:rPr>
          <w:rFonts w:hint="eastAsia"/>
          <w:lang w:val="en-US" w:eastAsia="zh-CN"/>
        </w:rPr>
        <w:t>建设项目优先选用绿色节能工艺和技术，使用清洁的能源和减少化石燃料的消耗是改变能源结构的最基本方法，如用天然气代替煤，可以大幅度地降低碳排放量。使用天然气和太阳能改变企业的能源结构，可以降低碳排放量，更加有利于减少碳排放。</w:t>
      </w:r>
    </w:p>
    <w:p>
      <w:pPr>
        <w:pStyle w:val="7"/>
        <w:bidi w:val="0"/>
        <w:rPr>
          <w:rFonts w:hint="eastAsia"/>
          <w:lang w:val="en-US" w:eastAsia="zh-CN"/>
        </w:rPr>
      </w:pPr>
      <w:r>
        <w:rPr>
          <w:rFonts w:hint="eastAsia"/>
          <w:lang w:val="en-US" w:eastAsia="zh-CN"/>
        </w:rPr>
        <w:t>项目采用了以下先进节能环保的工艺技术：</w:t>
      </w:r>
    </w:p>
    <w:p>
      <w:pPr>
        <w:pStyle w:val="7"/>
        <w:bidi w:val="0"/>
        <w:rPr>
          <w:rFonts w:hint="eastAsia"/>
          <w:lang w:val="en-US" w:eastAsia="zh-CN"/>
        </w:rPr>
      </w:pPr>
      <w:r>
        <w:rPr>
          <w:rFonts w:hint="eastAsia"/>
          <w:lang w:val="en-US" w:eastAsia="zh-CN"/>
        </w:rPr>
        <w:t>（1）采取蓄热式燃烧技术</w:t>
      </w:r>
    </w:p>
    <w:p>
      <w:pPr>
        <w:pStyle w:val="7"/>
        <w:bidi w:val="0"/>
        <w:rPr>
          <w:rFonts w:hint="eastAsia"/>
          <w:lang w:val="en-US" w:eastAsia="zh-CN"/>
        </w:rPr>
      </w:pPr>
      <w:r>
        <w:rPr>
          <w:rFonts w:hint="eastAsia"/>
          <w:lang w:val="en-US" w:eastAsia="zh-CN"/>
        </w:rPr>
        <w:t>本项目采用蓄热式燃烧技术，从鼓风机出来的常温空气由换向阀切换进入蓄热式燃烧器B后，在经过蓄热式燃烧器B时被加热，在极短时间内常温空气被加热到接近炉膛温度，被加热的高温空气进入炉膛后，卷吸周围炉内的烟气形成一股含氧量大大低于21%的稀薄贫氧高温气流，同时往稀薄高温空气附近注入天然气，燃料在贫氧状态下实现燃烧；与此同时，炉膛内燃烧后的热烟气经过另一个蓄热式燃烧器A排入大气，炉膛内高温热烟气通过蓄热式燃烧器A时，将显热储存在蓄热式燃烧器A内，然后以低于150℃的低温烟气经过换向阀排出。工作温度不高的换向阀以一定的频率进行切换，使两个蓄热式燃烧器处于蓄热与放热交替工作状态，从而达到节能和降低NO</w:t>
      </w:r>
      <w:r>
        <w:rPr>
          <w:rFonts w:hint="eastAsia"/>
          <w:vertAlign w:val="subscript"/>
          <w:lang w:val="en-US" w:eastAsia="zh-CN"/>
        </w:rPr>
        <w:t>x</w:t>
      </w:r>
      <w:r>
        <w:rPr>
          <w:rFonts w:hint="eastAsia"/>
          <w:lang w:val="en-US" w:eastAsia="zh-CN"/>
        </w:rPr>
        <w:t>排放量等目的。</w:t>
      </w:r>
    </w:p>
    <w:p>
      <w:pPr>
        <w:pStyle w:val="7"/>
        <w:bidi w:val="0"/>
        <w:rPr>
          <w:rFonts w:hint="eastAsia"/>
          <w:lang w:val="en-US" w:eastAsia="zh-CN"/>
        </w:rPr>
      </w:pPr>
      <w:r>
        <w:rPr>
          <w:rFonts w:hint="eastAsia"/>
          <w:lang w:val="en-US" w:eastAsia="zh-CN"/>
        </w:rPr>
        <w:t>（2）提高天然气燃烧效率</w:t>
      </w:r>
    </w:p>
    <w:p>
      <w:pPr>
        <w:pStyle w:val="7"/>
        <w:bidi w:val="0"/>
        <w:rPr>
          <w:rFonts w:hint="eastAsia"/>
          <w:lang w:val="en-US" w:eastAsia="zh-CN"/>
        </w:rPr>
      </w:pPr>
      <w:r>
        <w:rPr>
          <w:rFonts w:hint="eastAsia"/>
          <w:lang w:val="en-US" w:eastAsia="zh-CN"/>
        </w:rPr>
        <w:t>本项目通过自动控制炉内温度和压力来提高天然气燃烧效率，炉气温度控制方式是以炉气温度为控制对象，当炉气温度高于人为设定40℃时，助燃风机换向阀、排烟换向阀、各烧嘴的燃气切断电磁阀自动关闭，烧嘴随之熄火；当炉气温度低于人为设定60℃时，烧嘴自动点火升温。</w:t>
      </w:r>
    </w:p>
    <w:p>
      <w:pPr>
        <w:pStyle w:val="7"/>
        <w:bidi w:val="0"/>
        <w:rPr>
          <w:rFonts w:hint="eastAsia"/>
          <w:lang w:val="en-US" w:eastAsia="zh-CN"/>
        </w:rPr>
      </w:pPr>
      <w:r>
        <w:rPr>
          <w:rFonts w:hint="eastAsia"/>
          <w:lang w:val="en-US" w:eastAsia="zh-CN"/>
        </w:rPr>
        <w:t>炉压控制是由微压差压变送器，排烟风道电动蝶阀执行器等构成的闭环系统完成。取压点设在炉顶上，微压差压变送器将采集的炉气压力信号转换成4～20mA信号，送入PLC控制模块，经PID运算后控制排烟蝶阀的开度。</w:t>
      </w:r>
    </w:p>
    <w:p>
      <w:pPr>
        <w:pStyle w:val="7"/>
        <w:bidi w:val="0"/>
        <w:rPr>
          <w:rFonts w:hint="eastAsia"/>
          <w:lang w:val="en-US" w:eastAsia="zh-CN"/>
        </w:rPr>
      </w:pPr>
      <w:r>
        <w:rPr>
          <w:rFonts w:hint="eastAsia"/>
          <w:lang w:val="en-US" w:eastAsia="zh-CN"/>
        </w:rPr>
        <w:t>（3）提高熔炼炉炉体保温措施</w:t>
      </w:r>
    </w:p>
    <w:p>
      <w:pPr>
        <w:pStyle w:val="7"/>
        <w:bidi w:val="0"/>
        <w:rPr>
          <w:rFonts w:hint="eastAsia"/>
          <w:lang w:val="en-US" w:eastAsia="zh-CN"/>
        </w:rPr>
      </w:pPr>
      <w:r>
        <w:rPr>
          <w:rFonts w:hint="eastAsia"/>
          <w:lang w:val="en-US" w:eastAsia="zh-CN"/>
        </w:rPr>
        <w:t>加热炉中，炉中砌体是承受热负荷的主要部分，同时炉体的散热损失是炉子的主要热损失之一，约占炉体热量损失的4%-8%。若炉体保温性能不好，散热损失量大，炉子的热效率低、燃料消耗高。</w:t>
      </w:r>
    </w:p>
    <w:p>
      <w:pPr>
        <w:pStyle w:val="7"/>
        <w:bidi w:val="0"/>
        <w:rPr>
          <w:rFonts w:hint="eastAsia"/>
          <w:lang w:val="en-US" w:eastAsia="zh-CN"/>
        </w:rPr>
      </w:pPr>
      <w:r>
        <w:rPr>
          <w:rFonts w:hint="eastAsia"/>
          <w:lang w:val="en-US" w:eastAsia="zh-CN"/>
        </w:rPr>
        <w:t>容重和导热性是耐火材料的重要质保。导热系数越小，则炉体的散热损失越小，比热容和密度越小，则蓄热损越小。本项目选取耐火纤维作为保温材料。耐火纤维密度为120kg/m</w:t>
      </w:r>
      <w:r>
        <w:rPr>
          <w:rFonts w:hint="eastAsia"/>
          <w:vertAlign w:val="superscript"/>
          <w:lang w:val="en-US" w:eastAsia="zh-CN"/>
        </w:rPr>
        <w:t>3</w:t>
      </w:r>
      <w:r>
        <w:rPr>
          <w:rFonts w:hint="eastAsia"/>
          <w:lang w:val="en-US" w:eastAsia="zh-CN"/>
        </w:rPr>
        <w:t>，耐火粘土的密度为2100kg/m</w:t>
      </w:r>
      <w:r>
        <w:rPr>
          <w:rFonts w:hint="eastAsia"/>
          <w:vertAlign w:val="superscript"/>
          <w:lang w:val="en-US" w:eastAsia="zh-CN"/>
        </w:rPr>
        <w:t>3</w:t>
      </w:r>
      <w:r>
        <w:rPr>
          <w:rFonts w:hint="eastAsia"/>
          <w:lang w:val="en-US" w:eastAsia="zh-CN"/>
        </w:rPr>
        <w:t>，当铺成炉墙时，每1平方米的耐火粘土砖的重量是耐火纤维的16倍左右，当使用温度为600-700℃时，导热系数为耐火纤维的5倍，比热容为3倍。由此可见，炉体材料选择耐火纤维，可极大减轻炉体重量。由于炉衬容量小，炉温升温快，有利于缩短生产周期，提高热效率，降低能耗。</w:t>
      </w:r>
    </w:p>
    <w:p>
      <w:pPr>
        <w:pStyle w:val="7"/>
        <w:bidi w:val="0"/>
        <w:rPr>
          <w:rFonts w:hint="eastAsia"/>
          <w:b/>
          <w:bCs/>
          <w:lang w:val="en-US" w:eastAsia="zh-CN"/>
        </w:rPr>
      </w:pPr>
      <w:r>
        <w:rPr>
          <w:rFonts w:hint="eastAsia"/>
          <w:b/>
          <w:bCs/>
          <w:lang w:val="en-US" w:eastAsia="zh-CN"/>
        </w:rPr>
        <w:t>2、公辅工程变频控制</w:t>
      </w:r>
    </w:p>
    <w:p>
      <w:pPr>
        <w:pStyle w:val="7"/>
        <w:bidi w:val="0"/>
        <w:rPr>
          <w:rFonts w:hint="eastAsia"/>
          <w:lang w:val="en-US" w:eastAsia="zh-CN"/>
        </w:rPr>
      </w:pPr>
      <w:r>
        <w:rPr>
          <w:rFonts w:hint="eastAsia"/>
          <w:lang w:val="en-US" w:eastAsia="zh-CN"/>
        </w:rPr>
        <w:t>设备采用变频调速技术实现节能运行是我国节能的一项重点推广技术，受到国家政府的普遍重视，《中华人民共和国节约能源法》第39条就把它列为通用技术加以推广。实践证明，变频器用于设备驱动控制场合取得了显著的节电效果，是一种理想的调速控制方式。既提高了设备效率，又满足了生产工艺要求，并且因此而大大减少了设备维护、维修费用，还降低了停产周期。本项目对循环泵、空压机、风机等变负荷工况运行设备采用变频调速技术，以达到节电目的。</w:t>
      </w:r>
    </w:p>
    <w:p>
      <w:pPr>
        <w:pStyle w:val="7"/>
        <w:bidi w:val="0"/>
        <w:rPr>
          <w:rFonts w:hint="eastAsia"/>
          <w:b/>
          <w:bCs/>
          <w:lang w:val="en-US" w:eastAsia="zh-CN"/>
        </w:rPr>
      </w:pPr>
      <w:r>
        <w:rPr>
          <w:rFonts w:hint="eastAsia"/>
          <w:b/>
          <w:bCs/>
          <w:lang w:val="en-US" w:eastAsia="zh-CN"/>
        </w:rPr>
        <w:t>3、管理减排</w:t>
      </w:r>
    </w:p>
    <w:p>
      <w:pPr>
        <w:pStyle w:val="7"/>
        <w:bidi w:val="0"/>
        <w:rPr>
          <w:rFonts w:hint="eastAsia"/>
          <w:lang w:val="en-US" w:eastAsia="zh-CN"/>
        </w:rPr>
      </w:pPr>
      <w:r>
        <w:rPr>
          <w:rFonts w:hint="eastAsia"/>
          <w:lang w:val="en-US" w:eastAsia="zh-CN"/>
        </w:rPr>
        <w:t>在产品、工艺和设备等因素都确定的情况下，管理不到位仍然会导致碳排放量增加。加强管理，运用先进的管理手段和技术，可以减少碳排放。例如合理排单可以减少设备的空转，从而减少电力的间接碳排放。</w:t>
      </w:r>
    </w:p>
    <w:p>
      <w:pPr>
        <w:pStyle w:val="8"/>
        <w:bidi w:val="0"/>
        <w:rPr>
          <w:rFonts w:hint="eastAsia"/>
          <w:lang w:val="en-US" w:eastAsia="zh-CN"/>
        </w:rPr>
      </w:pPr>
      <w:r>
        <w:rPr>
          <w:rFonts w:hint="eastAsia"/>
          <w:lang w:val="en-US" w:eastAsia="zh-CN"/>
        </w:rPr>
        <w:t>8.4.2.碳减排措施的经济技术可行性</w:t>
      </w:r>
    </w:p>
    <w:p>
      <w:pPr>
        <w:pStyle w:val="7"/>
        <w:bidi w:val="0"/>
        <w:rPr>
          <w:rFonts w:hint="eastAsia"/>
          <w:lang w:val="en-US" w:eastAsia="zh-CN"/>
        </w:rPr>
      </w:pPr>
      <w:r>
        <w:rPr>
          <w:rFonts w:hint="eastAsia"/>
          <w:lang w:val="en-US" w:eastAsia="zh-CN"/>
        </w:rPr>
        <w:t>建设项目使用先进适用的工艺技术和装备，熔炼炉采用蓄热式燃烧技术，同时通过自动控制炉内温度和压力来提高天然气燃烧效率，炉内耐火材料选用耐火纤维，可节约10%天然气用量；公辅工程循环泵、空压机、风机等采用变频调节技术，同时加强管理，提高叠锭机、浇铸系统的运行效率，可节电15%左右。</w:t>
      </w:r>
    </w:p>
    <w:p>
      <w:pPr>
        <w:pStyle w:val="7"/>
        <w:bidi w:val="0"/>
        <w:rPr>
          <w:rFonts w:hint="eastAsia"/>
          <w:lang w:val="en-US" w:eastAsia="zh-CN"/>
        </w:rPr>
      </w:pPr>
      <w:r>
        <w:rPr>
          <w:rFonts w:hint="eastAsia"/>
          <w:lang w:val="en-US" w:eastAsia="zh-CN"/>
        </w:rPr>
        <w:t>通过以上碳减排措施，可有效降低电能消耗、天然气消耗，从而降低生产运行成本。因此，选用的碳减排措施具有经济技术可行性。</w:t>
      </w:r>
    </w:p>
    <w:p>
      <w:pPr>
        <w:pStyle w:val="5"/>
        <w:bidi w:val="0"/>
        <w:rPr>
          <w:rFonts w:hint="eastAsia"/>
          <w:lang w:val="en-US" w:eastAsia="zh-CN"/>
        </w:rPr>
      </w:pPr>
      <w:bookmarkStart w:id="161" w:name="_Toc26365"/>
      <w:r>
        <w:rPr>
          <w:rFonts w:hint="eastAsia"/>
          <w:lang w:val="en-US" w:eastAsia="zh-CN"/>
        </w:rPr>
        <w:t>8.5碳排放管理与监测计划</w:t>
      </w:r>
      <w:bookmarkEnd w:id="161"/>
    </w:p>
    <w:p>
      <w:pPr>
        <w:pStyle w:val="8"/>
        <w:bidi w:val="0"/>
        <w:rPr>
          <w:rFonts w:hint="eastAsia"/>
          <w:lang w:val="en-US" w:eastAsia="zh-CN"/>
        </w:rPr>
      </w:pPr>
      <w:r>
        <w:rPr>
          <w:rFonts w:hint="eastAsia"/>
          <w:lang w:val="en-US" w:eastAsia="zh-CN"/>
        </w:rPr>
        <w:t>8.5.1排放清单及管理要求</w:t>
      </w:r>
    </w:p>
    <w:p>
      <w:pPr>
        <w:pStyle w:val="7"/>
        <w:bidi w:val="0"/>
        <w:rPr>
          <w:rFonts w:hint="eastAsia"/>
          <w:lang w:val="en-US" w:eastAsia="zh-CN"/>
        </w:rPr>
      </w:pPr>
      <w:r>
        <w:rPr>
          <w:rFonts w:hint="eastAsia"/>
          <w:lang w:val="en-US" w:eastAsia="zh-CN"/>
        </w:rPr>
        <w:t>企业应设置能源及碳排放管理机构及人员等；配备能源计量/检测设备，开展碳排放监测、报告和核查工作；结合区域碳强度考核、碳市场交易、碳排放履约、排污许可与碳排放协同管理相关要求等提出管理措施。</w:t>
      </w:r>
    </w:p>
    <w:p>
      <w:pPr>
        <w:pStyle w:val="7"/>
        <w:bidi w:val="0"/>
        <w:rPr>
          <w:rFonts w:hint="eastAsia"/>
          <w:lang w:val="en-US" w:eastAsia="zh-CN"/>
        </w:rPr>
      </w:pPr>
      <w:r>
        <w:rPr>
          <w:rFonts w:hint="eastAsia"/>
          <w:lang w:val="en-US" w:eastAsia="zh-CN"/>
        </w:rPr>
        <w:t>1、组织管理</w:t>
      </w:r>
    </w:p>
    <w:p>
      <w:pPr>
        <w:pStyle w:val="7"/>
        <w:bidi w:val="0"/>
        <w:rPr>
          <w:rFonts w:hint="eastAsia"/>
          <w:lang w:val="en-US" w:eastAsia="zh-CN"/>
        </w:rPr>
      </w:pPr>
      <w:r>
        <w:rPr>
          <w:rFonts w:hint="eastAsia"/>
          <w:lang w:val="en-US" w:eastAsia="zh-CN"/>
        </w:rPr>
        <w:t>建立制度为规范企业碳管理工作，结合自身生产管理实际情况，建立碳管理制度，包括但不限于建立企业碳管理工作组织体系；明确各岗位职责及权限范围；明确战略管理、碳排放管理、碳资产管理、信息公开等具体内容；明确各事项审批流程及时限；明确管理制度的时效性。</w:t>
      </w:r>
    </w:p>
    <w:p>
      <w:pPr>
        <w:pStyle w:val="7"/>
        <w:bidi w:val="0"/>
        <w:rPr>
          <w:rFonts w:hint="eastAsia"/>
          <w:lang w:val="en-US" w:eastAsia="zh-CN"/>
        </w:rPr>
      </w:pPr>
      <w:r>
        <w:rPr>
          <w:rFonts w:hint="eastAsia"/>
          <w:lang w:val="en-US" w:eastAsia="zh-CN"/>
        </w:rPr>
        <w:t>能力培养为确保企业碳管理工作人员具备相应能力，企业应开展以下工作：通过教育、培训、技能和经验交流，确保从事碳管理有关工作人员具备相应的能力，并保存相关记录；对与碳管理工作有重大影响的人员进行岗位专业技能培训，并保存培训记录；企业可选择外派培训、内部培训和横向交流等方式开展培训工作。</w:t>
      </w:r>
    </w:p>
    <w:p>
      <w:pPr>
        <w:pStyle w:val="7"/>
        <w:bidi w:val="0"/>
        <w:rPr>
          <w:rFonts w:hint="eastAsia"/>
          <w:lang w:val="en-US" w:eastAsia="zh-CN"/>
        </w:rPr>
      </w:pPr>
      <w:r>
        <w:rPr>
          <w:rFonts w:hint="eastAsia"/>
          <w:lang w:val="en-US" w:eastAsia="zh-CN"/>
        </w:rPr>
        <w:t>意识培养企业应采取措施，使全体人员都意识到：实施企业碳管理工作的重要性；降低碳排放、提高碳排放绩效给企业带来的效益，以及个人工作改进能带来的碳排放绩效；偏离碳管理制度规定运行程序的潜在后果。</w:t>
      </w:r>
    </w:p>
    <w:p>
      <w:pPr>
        <w:pStyle w:val="7"/>
        <w:bidi w:val="0"/>
        <w:rPr>
          <w:rFonts w:hint="eastAsia"/>
          <w:b/>
          <w:bCs/>
          <w:lang w:val="en-US" w:eastAsia="zh-CN"/>
        </w:rPr>
      </w:pPr>
      <w:r>
        <w:rPr>
          <w:rFonts w:hint="eastAsia"/>
          <w:b/>
          <w:bCs/>
          <w:lang w:val="en-US" w:eastAsia="zh-CN"/>
        </w:rPr>
        <w:t>2、管理要求</w:t>
      </w:r>
    </w:p>
    <w:p>
      <w:pPr>
        <w:pStyle w:val="7"/>
        <w:bidi w:val="0"/>
        <w:rPr>
          <w:rFonts w:hint="eastAsia"/>
          <w:lang w:val="en-US" w:eastAsia="zh-CN"/>
        </w:rPr>
      </w:pPr>
      <w:r>
        <w:rPr>
          <w:rFonts w:hint="eastAsia"/>
          <w:lang w:val="en-US" w:eastAsia="zh-CN"/>
        </w:rPr>
        <w:t>（1）建立制度</w:t>
      </w:r>
    </w:p>
    <w:p>
      <w:pPr>
        <w:pStyle w:val="7"/>
        <w:bidi w:val="0"/>
        <w:rPr>
          <w:rFonts w:hint="eastAsia"/>
          <w:lang w:val="en-US" w:eastAsia="zh-CN"/>
        </w:rPr>
      </w:pPr>
      <w:r>
        <w:rPr>
          <w:rFonts w:hint="eastAsia"/>
          <w:lang w:val="en-US" w:eastAsia="zh-CN"/>
        </w:rPr>
        <w:t>为规范企业碳管理工作，结合自身生产管理实际情况，建立碳管理制度，包括但不限于建立企业碳管理工作组织体系；明确各岗位职责及权限范围；明确战略管理、碳排放管理、碳资产管理、信息公开等具体内容；明确各事项审批流程及时限；明确管理制度的时效性。</w:t>
      </w:r>
    </w:p>
    <w:p>
      <w:pPr>
        <w:pStyle w:val="7"/>
        <w:bidi w:val="0"/>
        <w:rPr>
          <w:rFonts w:hint="eastAsia"/>
          <w:lang w:val="en-US" w:eastAsia="zh-CN"/>
        </w:rPr>
      </w:pPr>
      <w:r>
        <w:rPr>
          <w:rFonts w:hint="eastAsia"/>
          <w:lang w:val="en-US" w:eastAsia="zh-CN"/>
        </w:rPr>
        <w:t>（2）能力培养</w:t>
      </w:r>
    </w:p>
    <w:p>
      <w:pPr>
        <w:pStyle w:val="7"/>
        <w:bidi w:val="0"/>
        <w:rPr>
          <w:rFonts w:hint="eastAsia"/>
          <w:lang w:val="en-US" w:eastAsia="zh-CN"/>
        </w:rPr>
      </w:pPr>
      <w:r>
        <w:rPr>
          <w:rFonts w:hint="eastAsia"/>
          <w:lang w:val="en-US" w:eastAsia="zh-CN"/>
        </w:rPr>
        <w:t>为确保企业碳管理工作人员具备相应能力，企业应开展以下工作：通过教育、培训、技能和经验交流，确保从事碳管理有关工作人员具备相应的能力，并保存相关记录；对与碳管理工作有重大影响的人员进行岗位专业技能培训，并保存培训记录；企业可选择外派培训、 内部培训和横向交流等方式开展培训工作。</w:t>
      </w:r>
    </w:p>
    <w:p>
      <w:pPr>
        <w:pStyle w:val="7"/>
        <w:bidi w:val="0"/>
        <w:rPr>
          <w:rFonts w:hint="eastAsia"/>
          <w:lang w:val="en-US" w:eastAsia="zh-CN"/>
        </w:rPr>
      </w:pPr>
      <w:r>
        <w:rPr>
          <w:rFonts w:hint="eastAsia"/>
          <w:lang w:val="en-US" w:eastAsia="zh-CN"/>
        </w:rPr>
        <w:t>（3）意识培养</w:t>
      </w:r>
    </w:p>
    <w:p>
      <w:pPr>
        <w:pStyle w:val="7"/>
        <w:bidi w:val="0"/>
        <w:rPr>
          <w:rFonts w:hint="eastAsia"/>
          <w:lang w:val="en-US" w:eastAsia="zh-CN"/>
        </w:rPr>
      </w:pPr>
      <w:r>
        <w:rPr>
          <w:rFonts w:hint="eastAsia"/>
          <w:lang w:val="en-US" w:eastAsia="zh-CN"/>
        </w:rPr>
        <w:t>企业应采取措施，使全体人员都意识到：实施企业碳管理工作的重要性；降低碳排放、提高碳排放绩效给企业带来的效益，以及个人工作改进能带来的碳排放绩效；偏离碳管理制度规定运行程序的潜在后果。</w:t>
      </w:r>
    </w:p>
    <w:p>
      <w:pPr>
        <w:pStyle w:val="8"/>
        <w:bidi w:val="0"/>
        <w:rPr>
          <w:rFonts w:hint="eastAsia"/>
          <w:lang w:val="en-US" w:eastAsia="zh-CN"/>
        </w:rPr>
      </w:pPr>
      <w:r>
        <w:rPr>
          <w:rFonts w:hint="eastAsia"/>
          <w:lang w:val="en-US" w:eastAsia="zh-CN"/>
        </w:rPr>
        <w:t>8.5.2监测计划</w:t>
      </w:r>
    </w:p>
    <w:p>
      <w:pPr>
        <w:pStyle w:val="7"/>
        <w:bidi w:val="0"/>
        <w:rPr>
          <w:rFonts w:hint="eastAsia"/>
          <w:lang w:val="en-US" w:eastAsia="zh-CN"/>
        </w:rPr>
      </w:pPr>
      <w:r>
        <w:rPr>
          <w:rFonts w:hint="eastAsia"/>
          <w:lang w:val="en-US" w:eastAsia="zh-CN"/>
        </w:rPr>
        <w:t>企业应根据自身的生产工艺和国家相关部门发布的技术指南的有关要求，进行监测管理、编写碳排放报告，进行信息公开。</w:t>
      </w:r>
    </w:p>
    <w:p>
      <w:pPr>
        <w:pStyle w:val="7"/>
        <w:bidi w:val="0"/>
        <w:rPr>
          <w:rFonts w:hint="eastAsia"/>
          <w:lang w:val="en-US" w:eastAsia="zh-CN"/>
        </w:rPr>
      </w:pPr>
      <w:r>
        <w:rPr>
          <w:rFonts w:hint="eastAsia"/>
          <w:lang w:val="en-US" w:eastAsia="zh-CN"/>
        </w:rPr>
        <w:t>1、监测管理</w:t>
      </w:r>
    </w:p>
    <w:p>
      <w:pPr>
        <w:pStyle w:val="7"/>
        <w:bidi w:val="0"/>
        <w:rPr>
          <w:rFonts w:hint="eastAsia"/>
          <w:lang w:val="en-US" w:eastAsia="zh-CN"/>
        </w:rPr>
      </w:pPr>
      <w:r>
        <w:rPr>
          <w:rFonts w:hint="eastAsia"/>
          <w:lang w:val="en-US" w:eastAsia="zh-CN"/>
        </w:rPr>
        <w:t>企业应对运行中的决定碳排放绩效的关键特性进行定期监视、测量和分析，关键特性至少应包括但不限于：排放源设施、各碳源流数据、具备实测条件的与排放因子相关的数据、碳排放相关数据和生产相关数据获取方式、数据的准确性。企业应对监视和测量获取的相关数据进行分析，应开展以下工作：a)规范碳排放数据的整理和分析；b)对数据来源进行分类整理；c)对排放因子及相关参数的监测数据进行分类整理；d)对数据进行处理并进行统计分析；e)形成数据分析报告并存档。</w:t>
      </w:r>
    </w:p>
    <w:p>
      <w:pPr>
        <w:pStyle w:val="7"/>
        <w:bidi w:val="0"/>
        <w:rPr>
          <w:rFonts w:hint="eastAsia"/>
          <w:lang w:val="en-US" w:eastAsia="zh-CN"/>
        </w:rPr>
      </w:pPr>
      <w:r>
        <w:rPr>
          <w:rFonts w:hint="eastAsia"/>
          <w:lang w:val="en-US" w:eastAsia="zh-CN"/>
        </w:rPr>
        <w:t>2、报告管理</w:t>
      </w:r>
    </w:p>
    <w:p>
      <w:pPr>
        <w:pStyle w:val="7"/>
        <w:bidi w:val="0"/>
        <w:rPr>
          <w:rFonts w:hint="eastAsia"/>
          <w:lang w:val="en-US" w:eastAsia="zh-CN"/>
        </w:rPr>
      </w:pPr>
      <w:r>
        <w:rPr>
          <w:rFonts w:hint="eastAsia"/>
          <w:lang w:val="en-US" w:eastAsia="zh-CN"/>
        </w:rPr>
        <w:t>企业应基于碳排放核算的结果编写碳排放报告，并对其进行校核。</w:t>
      </w:r>
    </w:p>
    <w:p>
      <w:pPr>
        <w:pStyle w:val="7"/>
        <w:bidi w:val="0"/>
        <w:rPr>
          <w:rFonts w:hint="eastAsia"/>
          <w:lang w:val="en-US" w:eastAsia="zh-CN"/>
        </w:rPr>
      </w:pPr>
      <w:r>
        <w:rPr>
          <w:rFonts w:hint="eastAsia"/>
          <w:lang w:val="en-US" w:eastAsia="zh-CN"/>
        </w:rPr>
        <w:t>核算报告编写应符合主管部门所规定的格式要求，对经过内部质量控制的核算结果进行确认形成最终企业盖章的碳排放报告，并按要求提交给主管部门1份，本企业存档1份。</w:t>
      </w:r>
    </w:p>
    <w:p>
      <w:pPr>
        <w:pStyle w:val="7"/>
        <w:bidi w:val="0"/>
        <w:rPr>
          <w:rFonts w:hint="eastAsia"/>
          <w:lang w:val="en-US" w:eastAsia="zh-CN"/>
        </w:rPr>
      </w:pPr>
      <w:r>
        <w:rPr>
          <w:rFonts w:hint="eastAsia"/>
          <w:lang w:val="en-US" w:eastAsia="zh-CN"/>
        </w:rPr>
        <w:t>企业碳排放报告存档时间宜与《企业碳排放核查工作规范》(DB50/T700)对于核查机构记录保存时间要求保持一致，不低于5年。</w:t>
      </w:r>
    </w:p>
    <w:p>
      <w:pPr>
        <w:pStyle w:val="7"/>
        <w:bidi w:val="0"/>
        <w:rPr>
          <w:rFonts w:hint="eastAsia"/>
          <w:lang w:val="en-US" w:eastAsia="zh-CN"/>
        </w:rPr>
      </w:pPr>
      <w:r>
        <w:rPr>
          <w:rFonts w:hint="eastAsia"/>
          <w:lang w:val="en-US" w:eastAsia="zh-CN"/>
        </w:rPr>
        <w:t>3、信息公开</w:t>
      </w:r>
    </w:p>
    <w:p>
      <w:pPr>
        <w:pStyle w:val="7"/>
        <w:bidi w:val="0"/>
        <w:rPr>
          <w:rFonts w:hint="eastAsia"/>
          <w:lang w:val="en-US" w:eastAsia="zh-CN"/>
        </w:rPr>
      </w:pPr>
      <w:r>
        <w:rPr>
          <w:rFonts w:hint="eastAsia"/>
          <w:lang w:val="en-US" w:eastAsia="zh-CN"/>
        </w:rPr>
        <w:t>企业应按照主管部门相关要求和规定，核算并上报企业碳排放情况。鼓励企业选择合适的自发性披露渠道和方式，面向社会发布企业碳排放情况。</w:t>
      </w:r>
    </w:p>
    <w:p>
      <w:pPr>
        <w:pStyle w:val="5"/>
        <w:bidi w:val="0"/>
        <w:rPr>
          <w:rFonts w:hint="eastAsia"/>
          <w:lang w:val="en-US" w:eastAsia="zh-CN"/>
        </w:rPr>
      </w:pPr>
      <w:bookmarkStart w:id="162" w:name="_Toc4919"/>
      <w:r>
        <w:rPr>
          <w:rFonts w:hint="eastAsia"/>
          <w:lang w:val="en-US" w:eastAsia="zh-CN"/>
        </w:rPr>
        <w:t>8.6碳排放评价结论</w:t>
      </w:r>
      <w:bookmarkEnd w:id="162"/>
    </w:p>
    <w:p>
      <w:pPr>
        <w:pStyle w:val="7"/>
        <w:bidi w:val="0"/>
        <w:rPr>
          <w:rFonts w:hint="eastAsia"/>
          <w:lang w:val="en-US" w:eastAsia="zh-CN"/>
        </w:rPr>
      </w:pPr>
      <w:r>
        <w:rPr>
          <w:rFonts w:hint="eastAsia"/>
          <w:lang w:val="en-US" w:eastAsia="zh-CN"/>
        </w:rPr>
        <w:t>建设项目主要排放源为燃料燃烧排放、工购入电力排放。其中燃料燃烧排放量为82206.844tCO</w:t>
      </w:r>
      <w:r>
        <w:rPr>
          <w:rFonts w:hint="eastAsia"/>
          <w:vertAlign w:val="subscript"/>
          <w:lang w:val="en-US" w:eastAsia="zh-CN"/>
        </w:rPr>
        <w:t>2</w:t>
      </w:r>
      <w:r>
        <w:rPr>
          <w:rFonts w:hint="eastAsia"/>
          <w:lang w:val="en-US" w:eastAsia="zh-CN"/>
        </w:rPr>
        <w:t>/a，购入电力的碳排放量为2598.848tCO</w:t>
      </w:r>
      <w:r>
        <w:rPr>
          <w:rFonts w:hint="eastAsia"/>
          <w:vertAlign w:val="subscript"/>
          <w:lang w:val="en-US" w:eastAsia="zh-CN"/>
        </w:rPr>
        <w:t>2</w:t>
      </w:r>
      <w:r>
        <w:rPr>
          <w:rFonts w:hint="eastAsia"/>
          <w:lang w:val="en-US" w:eastAsia="zh-CN"/>
        </w:rPr>
        <w:t>/a，碳排放总量为84805.692tCO</w:t>
      </w:r>
      <w:r>
        <w:rPr>
          <w:rFonts w:hint="eastAsia"/>
          <w:vertAlign w:val="subscript"/>
          <w:lang w:val="en-US" w:eastAsia="zh-CN"/>
        </w:rPr>
        <w:t>2</w:t>
      </w:r>
      <w:r>
        <w:rPr>
          <w:rFonts w:hint="eastAsia"/>
          <w:lang w:val="en-US" w:eastAsia="zh-CN"/>
        </w:rPr>
        <w:t>/a。</w:t>
      </w:r>
    </w:p>
    <w:p>
      <w:pPr>
        <w:pStyle w:val="7"/>
        <w:bidi w:val="0"/>
        <w:rPr>
          <w:rFonts w:hint="eastAsia"/>
          <w:lang w:val="en-US" w:eastAsia="zh-CN"/>
        </w:rPr>
      </w:pPr>
      <w:r>
        <w:rPr>
          <w:rFonts w:hint="eastAsia"/>
          <w:lang w:val="en-US" w:eastAsia="zh-CN"/>
        </w:rPr>
        <w:t>项目在工艺设计、设备选型、电气系统、节能管理等方面，采用的碳减排措施具有技术经济可行性；符合《关于加快建立健全绿色低碳循环发展经济体系的指导意见》（国发〔2021〕4号）等碳排放相关政策，与生态环境分区管控方案相符，符合区域环境准入要求，符合园区产业定位，不在园区的生态环境准入负面清单范围内。</w:t>
      </w:r>
    </w:p>
    <w:p>
      <w:pPr>
        <w:pStyle w:val="7"/>
        <w:bidi w:val="0"/>
        <w:rPr>
          <w:lang w:val="en-US" w:eastAsia="zh-CN"/>
        </w:rPr>
      </w:pPr>
      <w:r>
        <w:rPr>
          <w:rFonts w:hint="eastAsia"/>
          <w:lang w:val="en-US" w:eastAsia="zh-CN"/>
        </w:rPr>
        <w:t>因此，建设项目的碳排放水平可接受。</w:t>
      </w:r>
    </w:p>
    <w:p>
      <w:pPr>
        <w:pStyle w:val="7"/>
        <w:bidi w:val="0"/>
        <w:rPr>
          <w:lang w:val="en-US" w:eastAsia="zh-CN"/>
        </w:rPr>
      </w:pPr>
    </w:p>
    <w:p>
      <w:pPr>
        <w:pStyle w:val="7"/>
        <w:bidi w:val="0"/>
        <w:rPr>
          <w:rFonts w:hint="eastAsia"/>
          <w:lang w:val="en-US" w:eastAsia="zh-CN"/>
        </w:rPr>
      </w:pPr>
    </w:p>
    <w:p>
      <w:pPr>
        <w:pStyle w:val="7"/>
        <w:bidi w:val="0"/>
        <w:rPr>
          <w:rFonts w:hint="eastAsia"/>
          <w:lang w:val="en-US" w:eastAsia="zh-CN"/>
        </w:rPr>
      </w:pPr>
    </w:p>
    <w:p>
      <w:pPr>
        <w:pStyle w:val="7"/>
        <w:bidi w:val="0"/>
        <w:rPr>
          <w:rFonts w:hint="eastAsia"/>
          <w:lang w:val="en-US" w:eastAsia="zh-CN"/>
        </w:rPr>
      </w:pPr>
    </w:p>
    <w:p>
      <w:pPr>
        <w:pStyle w:val="7"/>
        <w:bidi w:val="0"/>
        <w:rPr>
          <w:rFonts w:hint="eastAsia"/>
          <w:lang w:val="en-US" w:eastAsia="zh-CN"/>
        </w:rPr>
      </w:pPr>
    </w:p>
    <w:p>
      <w:pPr>
        <w:pStyle w:val="7"/>
        <w:bidi w:val="0"/>
        <w:rPr>
          <w:rFonts w:hint="eastAsia"/>
          <w:lang w:val="en-US" w:eastAsia="zh-CN"/>
        </w:rPr>
      </w:pPr>
    </w:p>
    <w:p>
      <w:pPr>
        <w:pStyle w:val="7"/>
        <w:bidi w:val="0"/>
        <w:rPr>
          <w:rFonts w:hint="eastAsia"/>
          <w:lang w:val="en-US" w:eastAsia="zh-CN"/>
        </w:rPr>
      </w:pPr>
    </w:p>
    <w:p>
      <w:pPr>
        <w:pStyle w:val="7"/>
        <w:bidi w:val="0"/>
        <w:rPr>
          <w:rFonts w:hint="eastAsia"/>
          <w:lang w:val="en-US" w:eastAsia="zh-CN"/>
        </w:rPr>
      </w:pPr>
    </w:p>
    <w:p>
      <w:pPr>
        <w:pStyle w:val="7"/>
        <w:bidi w:val="0"/>
        <w:rPr>
          <w:rFonts w:hint="eastAsia"/>
          <w:lang w:val="en-US" w:eastAsia="zh-CN"/>
        </w:rPr>
        <w:sectPr>
          <w:pgSz w:w="11906" w:h="16838"/>
          <w:pgMar w:top="1440" w:right="1800" w:bottom="1440" w:left="1800" w:header="851" w:footer="992" w:gutter="0"/>
          <w:cols w:space="425" w:num="1"/>
          <w:docGrid w:type="lines" w:linePitch="312" w:charSpace="0"/>
        </w:sectPr>
      </w:pPr>
    </w:p>
    <w:p>
      <w:pPr>
        <w:pStyle w:val="4"/>
      </w:pPr>
      <w:bookmarkStart w:id="163" w:name="_Toc23197"/>
      <w:bookmarkStart w:id="164" w:name="_Toc2428"/>
      <w:bookmarkStart w:id="165" w:name="_Toc6839"/>
      <w:r>
        <w:rPr>
          <w:rFonts w:hint="eastAsia"/>
          <w:lang w:val="en-US" w:eastAsia="zh-CN"/>
        </w:rPr>
        <w:t>9</w:t>
      </w:r>
      <w:r>
        <w:rPr>
          <w:rFonts w:hint="eastAsia"/>
        </w:rPr>
        <w:t xml:space="preserve"> 环境保护措施及其可行性论证</w:t>
      </w:r>
      <w:bookmarkEnd w:id="163"/>
      <w:bookmarkEnd w:id="164"/>
      <w:bookmarkEnd w:id="165"/>
    </w:p>
    <w:p>
      <w:pPr>
        <w:pStyle w:val="5"/>
      </w:pPr>
      <w:bookmarkStart w:id="166" w:name="_Toc13512"/>
      <w:bookmarkStart w:id="167" w:name="_Toc1769"/>
      <w:bookmarkStart w:id="168" w:name="_Toc4703"/>
      <w:r>
        <w:rPr>
          <w:rFonts w:hint="eastAsia"/>
          <w:lang w:val="en-US" w:eastAsia="zh-CN"/>
        </w:rPr>
        <w:t>9</w:t>
      </w:r>
      <w:r>
        <w:rPr>
          <w:rFonts w:hint="eastAsia"/>
        </w:rPr>
        <w:t>.1施工期间污染物控制</w:t>
      </w:r>
      <w:bookmarkEnd w:id="166"/>
      <w:bookmarkEnd w:id="167"/>
      <w:bookmarkEnd w:id="168"/>
    </w:p>
    <w:p>
      <w:pPr>
        <w:pStyle w:val="8"/>
      </w:pPr>
      <w:r>
        <w:rPr>
          <w:rFonts w:hint="eastAsia"/>
          <w:lang w:val="en-US" w:eastAsia="zh-CN"/>
        </w:rPr>
        <w:t>9</w:t>
      </w:r>
      <w:r>
        <w:rPr>
          <w:rFonts w:hint="eastAsia"/>
        </w:rPr>
        <w:t>.1.1施工期间大气污染物控制</w:t>
      </w:r>
    </w:p>
    <w:p>
      <w:pPr>
        <w:pStyle w:val="7"/>
        <w:ind w:firstLine="480"/>
      </w:pPr>
      <w:r>
        <w:rPr>
          <w:rFonts w:hint="eastAsia"/>
        </w:rPr>
        <w:t>（1）在施工工地公示扬尘污染防治措施、负责人、扬尘监督管理主管部门等信息，确保做到工地周边围挡、物料堆放覆盖、土方开挖湿法作业、路面硬化、出入车辆清洗、渣土车辆密闭运输“六个百分之百”。施工时，应根据《建设工程施工现场管理规定》设置施工标志牌，并标明当地环境保护主管部门的污染举报电话。</w:t>
      </w:r>
    </w:p>
    <w:p>
      <w:pPr>
        <w:pStyle w:val="7"/>
        <w:ind w:firstLine="480"/>
      </w:pPr>
      <w:r>
        <w:rPr>
          <w:rFonts w:hint="eastAsia"/>
        </w:rPr>
        <w:t>（2）施工工地要做到“六个百分之百”，即施工工地周边100%围挡、物料堆放100%覆盖，出入车辆100%冲洗，施工现场地面100%硬化，拆迁工地100%湿法作业，渣土车辆100%密闭运输。</w:t>
      </w:r>
    </w:p>
    <w:p>
      <w:pPr>
        <w:pStyle w:val="7"/>
        <w:ind w:firstLine="480"/>
      </w:pPr>
      <w:r>
        <w:rPr>
          <w:rFonts w:hint="eastAsia"/>
        </w:rPr>
        <w:t>（3）建设施工区围挡：在施工场地周围建设2米高围档，并对围档挡板间以及挡板与地面间密封。</w:t>
      </w:r>
    </w:p>
    <w:p>
      <w:pPr>
        <w:pStyle w:val="7"/>
        <w:ind w:firstLine="480"/>
      </w:pPr>
      <w:r>
        <w:rPr>
          <w:rFonts w:hint="eastAsia"/>
        </w:rPr>
        <w:t>（4）洒水：洒水可有效抑制施工时裸露地面自然扬尘。控制洒水次数每天不低于3次，另外，对于地基开挖、打桩等基础施工阶段和堆料场、厂区车辆运输线路等易产尘点和易产尘阶段应加密洒水次数。物料运输车辆的出口设置洗车平台，车辆驶离工地前，应在洗车平台清洗轮胎及车身，不得带泥上路。</w:t>
      </w:r>
    </w:p>
    <w:p>
      <w:pPr>
        <w:pStyle w:val="7"/>
        <w:ind w:firstLine="480"/>
      </w:pPr>
      <w:r>
        <w:rPr>
          <w:rFonts w:hint="eastAsia"/>
        </w:rPr>
        <w:t>施工工地内及工地出口至铺装道路间的车行道路要进行硬化，用水冲洗的方式清洁施工道路积尘，道路定期洒水抑尘。</w:t>
      </w:r>
    </w:p>
    <w:p>
      <w:pPr>
        <w:pStyle w:val="7"/>
        <w:ind w:firstLine="480"/>
      </w:pPr>
      <w:r>
        <w:rPr>
          <w:rFonts w:hint="eastAsia"/>
        </w:rPr>
        <w:t>（5）覆盖、遮盖：对施工过程中长时间堆置的土方、砂石料、干水泥等应用苫布</w:t>
      </w:r>
      <w:r>
        <w:rPr>
          <w:rFonts w:hint="eastAsia"/>
          <w:lang w:eastAsia="zh-CN"/>
        </w:rPr>
        <w:t>或其他</w:t>
      </w:r>
      <w:r>
        <w:rPr>
          <w:rFonts w:hint="eastAsia"/>
        </w:rPr>
        <w:t>遮蔽材料覆盖，减少扬尘。</w:t>
      </w:r>
    </w:p>
    <w:p>
      <w:pPr>
        <w:pStyle w:val="7"/>
        <w:ind w:firstLine="480"/>
      </w:pPr>
      <w:r>
        <w:rPr>
          <w:rFonts w:hint="eastAsia"/>
        </w:rPr>
        <w:t>（6）加强管理：对施工场地内运输通道及时清扫，减少汽车行驶扬尘；运输车辆进入施工现场应低速行驶，减少产尘量；所有往来的多尘车辆均应蓬布运输；禁止施工现场搅拌混凝土，全部采用预拌商品混凝土。</w:t>
      </w:r>
    </w:p>
    <w:p>
      <w:pPr>
        <w:pStyle w:val="7"/>
        <w:ind w:firstLine="480"/>
      </w:pPr>
      <w:r>
        <w:rPr>
          <w:rFonts w:hint="eastAsia"/>
        </w:rPr>
        <w:t>另外，环境管理部门应加强监督管理，发现问题及时处理、警告，督促施工单位建设行为的规范化要求。</w:t>
      </w:r>
    </w:p>
    <w:p>
      <w:pPr>
        <w:pStyle w:val="8"/>
      </w:pPr>
      <w:r>
        <w:rPr>
          <w:rFonts w:hint="eastAsia"/>
          <w:lang w:val="en-US" w:eastAsia="zh-CN"/>
        </w:rPr>
        <w:t>9</w:t>
      </w:r>
      <w:r>
        <w:rPr>
          <w:rFonts w:hint="eastAsia"/>
        </w:rPr>
        <w:t>.1.2施工期水污染防治对策措施</w:t>
      </w:r>
    </w:p>
    <w:p>
      <w:pPr>
        <w:pStyle w:val="7"/>
        <w:ind w:firstLine="480"/>
      </w:pPr>
      <w:r>
        <w:rPr>
          <w:rFonts w:hint="eastAsia"/>
        </w:rPr>
        <w:t>（1）项目开工建设前，应提前在施工场地周围建设挡水、截水、排水工程，避免污水汇入附近水体，这样可将施工场地水土流失对地表水环境的影响降低到最小程度。</w:t>
      </w:r>
    </w:p>
    <w:p>
      <w:pPr>
        <w:pStyle w:val="2"/>
        <w:spacing w:line="360" w:lineRule="auto"/>
        <w:ind w:left="0" w:leftChars="0" w:firstLine="480"/>
      </w:pPr>
      <w:r>
        <w:rPr>
          <w:rFonts w:hint="eastAsia"/>
        </w:rPr>
        <w:t>（2）项目基础的大开挖工程应尽量避开雨季，安排在旱季进行，同时尽量缩短施工现场大面积裸露的时间，以减少施工期，特别是基础大开挖时产生的水土流失。</w:t>
      </w:r>
    </w:p>
    <w:p>
      <w:pPr>
        <w:pStyle w:val="7"/>
        <w:ind w:firstLine="480"/>
      </w:pPr>
      <w:r>
        <w:rPr>
          <w:rFonts w:hint="eastAsia"/>
        </w:rPr>
        <w:t>（3）项目施工场所内在施工场地等产生施工废水的地方，应根据实际情况设置沉砂池，将产生的含泥砂量大的施工废水进行沉淀处理后，尽量回用于砂浆、砂石料清洗等工序，同时晴天时，增加施工场地内的道路及施工面的喷洒，降低扬尘对区域空气环境的影响。</w:t>
      </w:r>
    </w:p>
    <w:p>
      <w:pPr>
        <w:pStyle w:val="7"/>
        <w:ind w:firstLine="480"/>
      </w:pPr>
      <w:r>
        <w:rPr>
          <w:rFonts w:hint="eastAsia"/>
        </w:rPr>
        <w:t>（4）施工期的生活污水收集经絮凝沉淀池处理后施工用水或洒水抑尘用水，加强管理，确保生活废水不外排。</w:t>
      </w:r>
    </w:p>
    <w:p>
      <w:pPr>
        <w:pStyle w:val="7"/>
        <w:ind w:firstLine="480"/>
      </w:pPr>
      <w:r>
        <w:rPr>
          <w:rFonts w:hint="eastAsia"/>
        </w:rPr>
        <w:t>（5）项目应加强管理，不得在施工现场进行机械修理，雨天对机械设备进行遮盖防雨。</w:t>
      </w:r>
    </w:p>
    <w:p>
      <w:pPr>
        <w:pStyle w:val="2"/>
        <w:spacing w:line="360" w:lineRule="auto"/>
        <w:ind w:left="0" w:leftChars="0" w:firstLine="480"/>
      </w:pPr>
      <w:r>
        <w:rPr>
          <w:rFonts w:hint="eastAsia"/>
        </w:rPr>
        <w:t>（6）施工期的施工废水和生活污水禁止以任何方式排入附近水体。</w:t>
      </w:r>
    </w:p>
    <w:p>
      <w:pPr>
        <w:pStyle w:val="8"/>
      </w:pPr>
      <w:r>
        <w:rPr>
          <w:rFonts w:hint="eastAsia"/>
          <w:lang w:val="en-US" w:eastAsia="zh-CN"/>
        </w:rPr>
        <w:t>9</w:t>
      </w:r>
      <w:r>
        <w:rPr>
          <w:rFonts w:hint="eastAsia"/>
        </w:rPr>
        <w:t>.1.3施工期间噪声防治措施</w:t>
      </w:r>
    </w:p>
    <w:p>
      <w:pPr>
        <w:pStyle w:val="7"/>
        <w:ind w:firstLine="480"/>
      </w:pPr>
      <w:r>
        <w:rPr>
          <w:rFonts w:hint="eastAsia"/>
        </w:rPr>
        <w:t>针对施工期的噪声污染源，评价要求后续施工采取如下噪声污染控制措施：</w:t>
      </w:r>
    </w:p>
    <w:p>
      <w:pPr>
        <w:pStyle w:val="7"/>
        <w:ind w:firstLine="480"/>
      </w:pPr>
      <w:r>
        <w:rPr>
          <w:rFonts w:hint="eastAsia"/>
        </w:rPr>
        <w:t>1、施工机械应尽量选用低噪声的机械设备，并定期对机械设备进行维护和保养，使其保持良好状态，减轻因设备运行状态不佳而造成的噪声污染。</w:t>
      </w:r>
    </w:p>
    <w:p>
      <w:pPr>
        <w:pStyle w:val="7"/>
        <w:ind w:firstLine="480"/>
      </w:pPr>
      <w:r>
        <w:rPr>
          <w:rFonts w:hint="eastAsia"/>
        </w:rPr>
        <w:t>2、要优化施工时间，对强噪声的机械过程如打桩等，进行集中作业，缩短噪声污染的时间；在夜间禁止施工，以减轻施工噪声扰民问题。如不可避免的夜间施工时，需得到当地环保部门的批准，并向当地居民公告。</w:t>
      </w:r>
    </w:p>
    <w:p>
      <w:pPr>
        <w:pStyle w:val="7"/>
        <w:ind w:firstLine="480"/>
      </w:pPr>
      <w:r>
        <w:rPr>
          <w:rFonts w:hint="eastAsia"/>
        </w:rPr>
        <w:t>3、对近距离施工作业人员要有劳动防护措施，噪声超过90dB(A)要</w:t>
      </w:r>
      <w:r>
        <w:rPr>
          <w:rFonts w:hint="eastAsia"/>
          <w:lang w:eastAsia="zh-CN"/>
        </w:rPr>
        <w:t>配戴</w:t>
      </w:r>
      <w:r>
        <w:rPr>
          <w:rFonts w:hint="eastAsia"/>
        </w:rPr>
        <w:t>耳罩和防噪声头盔等必要的防护用品，对大于95dB(A)的固定噪声源，应建造临时隔音间或采用隔音罩。</w:t>
      </w:r>
    </w:p>
    <w:p>
      <w:pPr>
        <w:pStyle w:val="7"/>
        <w:ind w:firstLine="480"/>
      </w:pPr>
      <w:r>
        <w:rPr>
          <w:rFonts w:hint="eastAsia"/>
        </w:rPr>
        <w:t>4、与周边村庄和居住区的居民进行良好的沟通，征求其对作业时间的要求，制定作业计划，严格按既定的作业时间进行作业，减少突发噪声对居民的影响，打桩等高噪声设备的作业原则上不安排在夜间。</w:t>
      </w:r>
    </w:p>
    <w:p>
      <w:pPr>
        <w:pStyle w:val="7"/>
        <w:ind w:firstLine="480"/>
      </w:pPr>
      <w:r>
        <w:rPr>
          <w:rFonts w:hint="eastAsia"/>
        </w:rPr>
        <w:t>5、对施工车辆要严格管理。</w:t>
      </w:r>
    </w:p>
    <w:p>
      <w:pPr>
        <w:pStyle w:val="8"/>
      </w:pPr>
      <w:r>
        <w:rPr>
          <w:rFonts w:hint="eastAsia"/>
          <w:lang w:val="en-US" w:eastAsia="zh-CN"/>
        </w:rPr>
        <w:t>9</w:t>
      </w:r>
      <w:r>
        <w:rPr>
          <w:rFonts w:hint="eastAsia"/>
        </w:rPr>
        <w:t>.1.4固体废物污染防治对策措施</w:t>
      </w:r>
    </w:p>
    <w:p>
      <w:pPr>
        <w:pStyle w:val="7"/>
        <w:ind w:firstLine="480"/>
      </w:pPr>
      <w:r>
        <w:rPr>
          <w:rFonts w:hint="eastAsia"/>
        </w:rPr>
        <w:t>（1）废弃建筑材料应对其进行分类集中堆存，能回收利用的部分，例如木制(铁制)材料等，请回收商进行收购，重复利用；不能利用的建筑垃圾收集后按照园区管委会及市政管理部门要求处置，禁止随意丢弃。</w:t>
      </w:r>
    </w:p>
    <w:p>
      <w:pPr>
        <w:pStyle w:val="7"/>
        <w:ind w:firstLine="480"/>
      </w:pPr>
      <w:r>
        <w:rPr>
          <w:rFonts w:hint="eastAsia"/>
        </w:rPr>
        <w:t>（2）施工期间生活垃圾应收集后委托环卫部门清运，禁止随意丢弃。</w:t>
      </w:r>
    </w:p>
    <w:p>
      <w:pPr>
        <w:pStyle w:val="7"/>
        <w:ind w:firstLine="480"/>
      </w:pPr>
      <w:r>
        <w:rPr>
          <w:rFonts w:hint="eastAsia"/>
        </w:rPr>
        <w:t>（3）施工期间产生的泔水及油脂存于泔水桶内，委托泔水收购商收集处置。</w:t>
      </w:r>
    </w:p>
    <w:p>
      <w:pPr>
        <w:pStyle w:val="7"/>
        <w:ind w:firstLine="480"/>
      </w:pPr>
      <w:r>
        <w:rPr>
          <w:rFonts w:hint="eastAsia"/>
        </w:rPr>
        <w:t>（4）项目建设过程中无多余弃方产生，但施工期产生的大量土石方不可能及时消纳，项目应在场址内建设临时堆土场堆放该部分土石，并在堆土场下游修筑一道挡墙，防止水土流失。</w:t>
      </w:r>
    </w:p>
    <w:p>
      <w:pPr>
        <w:pStyle w:val="7"/>
        <w:ind w:firstLine="480"/>
      </w:pPr>
      <w:r>
        <w:rPr>
          <w:rFonts w:hint="eastAsia"/>
        </w:rPr>
        <w:t>（5）不得随意堆放建筑材料及固体废物，严格运输管理，不得随路洒落或抛弃。</w:t>
      </w:r>
    </w:p>
    <w:p>
      <w:pPr>
        <w:pStyle w:val="8"/>
      </w:pPr>
      <w:r>
        <w:rPr>
          <w:rFonts w:hint="eastAsia"/>
          <w:lang w:val="en-US" w:eastAsia="zh-CN"/>
        </w:rPr>
        <w:t>9</w:t>
      </w:r>
      <w:r>
        <w:rPr>
          <w:rFonts w:hint="eastAsia"/>
        </w:rPr>
        <w:t>.1.5生态影响减缓措施</w:t>
      </w:r>
    </w:p>
    <w:p>
      <w:pPr>
        <w:pStyle w:val="7"/>
        <w:ind w:firstLine="480"/>
      </w:pPr>
      <w:r>
        <w:rPr>
          <w:rFonts w:hint="eastAsia"/>
        </w:rPr>
        <w:t>（1）合理安排工期，尽可能避开暴雨季节进行大规模土石方开挖与回填，避免雨水对地表土壤的冲刷和破坏。</w:t>
      </w:r>
    </w:p>
    <w:p>
      <w:pPr>
        <w:pStyle w:val="7"/>
        <w:ind w:firstLine="480"/>
      </w:pPr>
      <w:r>
        <w:rPr>
          <w:rFonts w:hint="eastAsia"/>
        </w:rPr>
        <w:t>（2）理选择施工工序，在堆放临时渣料时，把易产生水土流失的表层土堆放在场地中间，开挖产生的块石堆放在其周围，起临时拦挡作用，严禁随意弃置。</w:t>
      </w:r>
    </w:p>
    <w:p>
      <w:pPr>
        <w:pStyle w:val="7"/>
        <w:ind w:firstLine="480"/>
      </w:pPr>
      <w:r>
        <w:rPr>
          <w:rFonts w:hint="eastAsia"/>
        </w:rPr>
        <w:t>（3）挖、填方施工时，尽量做到先筑挡土墙，随挖、随压，严禁随意开挖取土取石，破坏植被；道路等设施建完后，要注意保护边坡，裸露的土地应尽快植树种草，恢复植被，采取封闭措施，以防坍塌，造成水土流失。</w:t>
      </w:r>
    </w:p>
    <w:p>
      <w:pPr>
        <w:pStyle w:val="7"/>
        <w:ind w:firstLine="480"/>
      </w:pPr>
      <w:r>
        <w:rPr>
          <w:rFonts w:hint="eastAsia"/>
        </w:rPr>
        <w:t>（4）施工完成后，要实施绿化补缺工程建设，种植当地灌木和乡土树种，引进外来树种、草种时，需进行严格的检疫措施，以免感染和带来病虫害及造成外来物种侵入。</w:t>
      </w:r>
    </w:p>
    <w:p>
      <w:pPr>
        <w:pStyle w:val="5"/>
      </w:pPr>
      <w:bookmarkStart w:id="169" w:name="_Toc10461"/>
      <w:r>
        <w:rPr>
          <w:rFonts w:hint="eastAsia"/>
          <w:lang w:val="en-US" w:eastAsia="zh-CN"/>
        </w:rPr>
        <w:t>9</w:t>
      </w:r>
      <w:r>
        <w:rPr>
          <w:rFonts w:hint="eastAsia"/>
        </w:rPr>
        <w:t>.2运营期污染物治理措施</w:t>
      </w:r>
      <w:bookmarkEnd w:id="169"/>
    </w:p>
    <w:p>
      <w:pPr>
        <w:pStyle w:val="8"/>
      </w:pPr>
      <w:r>
        <w:rPr>
          <w:rFonts w:hint="eastAsia"/>
          <w:lang w:val="en-US" w:eastAsia="zh-CN"/>
        </w:rPr>
        <w:t>9</w:t>
      </w:r>
      <w:r>
        <w:rPr>
          <w:rFonts w:hint="eastAsia"/>
        </w:rPr>
        <w:t>.2.1运营期大气污染防治对策措施</w:t>
      </w:r>
    </w:p>
    <w:p>
      <w:pPr>
        <w:pStyle w:val="7"/>
        <w:ind w:firstLine="480"/>
      </w:pPr>
      <w:r>
        <w:rPr>
          <w:rFonts w:hint="eastAsia"/>
        </w:rPr>
        <w:t>本项目废气排放主要包括有组织废气和无组织废气。无组织废气主要为熔炼炉、保温炉配料、精炼、扒渣、调整成分等工序未被收集逸散的少量颗粒物、氟化物、氯化氢、氯气，铝灰分离工序未被收集逸散的少量颗粒物。有组织废气主要为熔炼炉、保温炉配料、调温搅拌、精炼、搅拌扒渣、调整成分、静置保温等过程产生的废气、铝灰分离产生的废气以及均质工序产生的废气。</w:t>
      </w:r>
    </w:p>
    <w:p>
      <w:pPr>
        <w:pStyle w:val="9"/>
      </w:pPr>
      <w:r>
        <w:rPr>
          <w:rFonts w:hint="eastAsia"/>
          <w:lang w:val="en-US" w:eastAsia="zh-CN"/>
        </w:rPr>
        <w:t>9</w:t>
      </w:r>
      <w:r>
        <w:rPr>
          <w:rFonts w:hint="eastAsia"/>
        </w:rPr>
        <w:t>.2.1.1有组织废气治理措施</w:t>
      </w:r>
    </w:p>
    <w:p>
      <w:pPr>
        <w:pStyle w:val="7"/>
        <w:ind w:firstLine="482"/>
        <w:rPr>
          <w:b/>
          <w:bCs/>
        </w:rPr>
      </w:pPr>
      <w:r>
        <w:rPr>
          <w:rFonts w:hint="eastAsia"/>
          <w:b/>
          <w:bCs/>
        </w:rPr>
        <w:t>1、一期工程有组织废气治理措施</w:t>
      </w:r>
    </w:p>
    <w:p>
      <w:pPr>
        <w:pStyle w:val="7"/>
        <w:ind w:firstLine="480"/>
      </w:pPr>
      <w:r>
        <w:rPr>
          <w:rFonts w:hint="eastAsia"/>
        </w:rPr>
        <w:t>一期工程有组织废气治理措施为熔炼炉、保温炉、配料、调温搅拌、精炼、搅拌扒渣、调整成分、静置保温等过程产生的废气经收集后经生石灰粉+布袋除尘器处理后经35米高排气筒（P1-1）排放，铝灰分离产生的废气经收集进入布袋除尘器处理后经20米高排气筒（P1-2）排放，圆铸锭批次式均质炉产生的废气经收集后经25米高排气筒（P1-3）排放、圆铸锭连续式均质炉产生的废气经收集后经25米高排气筒（P1-4）排放、板锭均质炉产生的废气经收集后经25米高排气筒（P1-5）排放。</w:t>
      </w:r>
    </w:p>
    <w:p>
      <w:pPr>
        <w:pStyle w:val="7"/>
        <w:ind w:firstLine="482"/>
        <w:rPr>
          <w:b/>
          <w:bCs/>
        </w:rPr>
      </w:pPr>
      <w:r>
        <w:rPr>
          <w:rFonts w:hint="eastAsia"/>
          <w:b/>
          <w:bCs/>
        </w:rPr>
        <w:t>2、二期工程有组织废气治理措施</w:t>
      </w:r>
    </w:p>
    <w:p>
      <w:pPr>
        <w:pStyle w:val="7"/>
        <w:ind w:firstLine="480"/>
      </w:pPr>
      <w:r>
        <w:rPr>
          <w:rFonts w:hint="eastAsia"/>
        </w:rPr>
        <w:t>二期工程有组织废气治理措施为熔炼炉、保温炉、配料、调温搅拌、精炼、搅拌扒渣、调整成分、静置保温等过程产生的废气经收集后经布袋除尘器处理后经30米高排气筒（P2-1）排放，铝灰分离产生的废气经收集进入布袋除尘器处理后经20米高排气筒（P2-2）排放。</w:t>
      </w:r>
    </w:p>
    <w:p>
      <w:pPr>
        <w:pStyle w:val="7"/>
        <w:ind w:firstLine="482"/>
      </w:pPr>
      <w:r>
        <w:rPr>
          <w:rFonts w:hint="eastAsia"/>
          <w:b/>
          <w:bCs/>
        </w:rPr>
        <w:t>3、工艺简述</w:t>
      </w:r>
    </w:p>
    <w:p>
      <w:pPr>
        <w:pStyle w:val="7"/>
        <w:ind w:firstLine="480"/>
      </w:pPr>
      <w:r>
        <w:rPr>
          <w:rFonts w:hint="eastAsia"/>
        </w:rPr>
        <w:t>（1）石灰粉</w:t>
      </w:r>
    </w:p>
    <w:p>
      <w:pPr>
        <w:pStyle w:val="7"/>
        <w:ind w:firstLine="480"/>
        <w:rPr>
          <w:rStyle w:val="53"/>
        </w:rPr>
      </w:pPr>
      <w:r>
        <w:rPr>
          <w:rFonts w:hint="eastAsia"/>
        </w:rPr>
        <w:t>石灰粉主要成分为氢氧化钙，属于碱性，对酸性气体有一定的去除效率，属于干法净化法，该法不会产生废水的二次污染物。通过喷入石灰粉，能够有效增加石灰与气体的接触面积，提高处理效率，有效去除氯气、氯化氢等酸性气体，</w:t>
      </w:r>
      <w:r>
        <w:rPr>
          <w:rStyle w:val="53"/>
          <w:rFonts w:hint="eastAsia"/>
        </w:rPr>
        <w:t>HCl、Cl</w:t>
      </w:r>
      <w:r>
        <w:rPr>
          <w:rStyle w:val="53"/>
          <w:rFonts w:hint="eastAsia"/>
          <w:vertAlign w:val="subscript"/>
        </w:rPr>
        <w:t>2</w:t>
      </w:r>
      <w:r>
        <w:rPr>
          <w:rStyle w:val="53"/>
          <w:rFonts w:hint="eastAsia"/>
        </w:rPr>
        <w:t>去除效率80%。</w:t>
      </w:r>
    </w:p>
    <w:p>
      <w:pPr>
        <w:pStyle w:val="7"/>
        <w:ind w:firstLine="480"/>
      </w:pPr>
      <w:r>
        <w:rPr>
          <w:rFonts w:hint="eastAsia"/>
        </w:rPr>
        <w:t>（2）布袋除尘器</w:t>
      </w:r>
    </w:p>
    <w:p>
      <w:pPr>
        <w:pStyle w:val="7"/>
        <w:ind w:firstLine="480"/>
      </w:pPr>
      <w:r>
        <w:rPr>
          <w:rFonts w:hint="eastAsia"/>
        </w:rPr>
        <w:t>布袋除尘器是一种干式滤尘装置，适用于捕集细小、干燥、非纤维性的粉尘。滤袋采用纺织的滤布或非纺织的毡制成，利用纤维织物的过滤作用对含尘气体进行过滤。</w:t>
      </w:r>
    </w:p>
    <w:p>
      <w:pPr>
        <w:pStyle w:val="7"/>
        <w:ind w:firstLine="480"/>
      </w:pPr>
      <w:r>
        <w:rPr>
          <w:rFonts w:hint="eastAsia"/>
        </w:rPr>
        <w:t>工作原理：含尘气体通过过滤材料，尘粒被过滤下来，过滤材料捕集粗粒粉尘主要靠惯性碰撞作用，捕集细粒粉尘主要靠扩散和筛分作用。滤料的粉尘层也有一定的过滤作用。</w:t>
      </w:r>
    </w:p>
    <w:p>
      <w:pPr>
        <w:pStyle w:val="7"/>
        <w:ind w:firstLine="480"/>
      </w:pPr>
      <w:r>
        <w:rPr>
          <w:rFonts w:hint="eastAsia"/>
        </w:rPr>
        <w:t>重力沉降作用：含尘气体进入布袋除尘器时，颗粒大、比重大的粉尘，在重力作用下沉降下来，这和沉降室的作用完全相同。</w:t>
      </w:r>
    </w:p>
    <w:p>
      <w:pPr>
        <w:pStyle w:val="7"/>
        <w:ind w:firstLine="480"/>
      </w:pPr>
      <w:r>
        <w:rPr>
          <w:rFonts w:hint="eastAsia"/>
        </w:rPr>
        <w:t>筛滤作用：当粉尘的颗粒直径较滤料的纤维间的空隙或滤料上粉尘间的间隙大时，粉尘在气流通过时即被阻留下来，此即称为筛滤作用。当滤料上积存粉尘增多时，这种作用就比较显著起来。</w:t>
      </w:r>
    </w:p>
    <w:p>
      <w:pPr>
        <w:pStyle w:val="7"/>
        <w:ind w:firstLine="480"/>
      </w:pPr>
      <w:r>
        <w:rPr>
          <w:rFonts w:hint="eastAsia"/>
        </w:rPr>
        <w:t>惯性力作用：气流通过滤料时，可绕纤维而过，而较大的粉尘颗粒在惯性力的作用下，仍按原方向运动，遂与滤料相撞而被捕获。</w:t>
      </w:r>
    </w:p>
    <w:p>
      <w:pPr>
        <w:pStyle w:val="7"/>
        <w:ind w:firstLine="480"/>
      </w:pPr>
      <w:r>
        <w:rPr>
          <w:rFonts w:hint="eastAsia"/>
        </w:rPr>
        <w:t>热运动作用：质轻体小的粉尘（1um以下），随气流运动，非常接近于气流流线，能绕过纤维。但它们在受到作热运动（即布朗运动）的气体分子的碰撞之后，便改变原来的运动方向，这就增加了粉尘与纤维的接触机会，使粉尘能够被捕获。当滤料纤维直径越细，空隙率越小、其捕获率就越高，所以越有利于除尘。</w:t>
      </w:r>
    </w:p>
    <w:p>
      <w:pPr>
        <w:pStyle w:val="7"/>
        <w:ind w:firstLine="480"/>
      </w:pPr>
      <w:r>
        <w:rPr>
          <w:rFonts w:hint="eastAsia"/>
        </w:rPr>
        <w:t>优点：①除尘效率高，可捕集0.3nm以上的粉尘，使含尘气体净化到10mg/m</w:t>
      </w:r>
      <w:r>
        <w:rPr>
          <w:rFonts w:hint="eastAsia"/>
          <w:vertAlign w:val="superscript"/>
        </w:rPr>
        <w:t>3</w:t>
      </w:r>
      <w:r>
        <w:rPr>
          <w:rFonts w:hint="eastAsia"/>
        </w:rPr>
        <w:t>甚至以下。②附属设备少，投资省，技术要求低于电除尘器。③能捕集电除尘难以回收的粉尘，并且在一定程度上能收集硝化物、硫化物等化合物。④对负荷变化适应性好，特别适宜捕集细微而干燥的粉尘，所收的干尘便于处理和回收利用。⑤收集含有爆炸危险或带有火花的含尘气体时安全性较高。</w:t>
      </w:r>
    </w:p>
    <w:p>
      <w:pPr>
        <w:pStyle w:val="33"/>
      </w:pPr>
      <w:r>
        <w:drawing>
          <wp:inline distT="0" distB="0" distL="114300" distR="114300">
            <wp:extent cx="2879090" cy="2618740"/>
            <wp:effectExtent l="0" t="0" r="16510" b="10160"/>
            <wp:docPr id="108" name="图片 108" descr="布袋除尘器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布袋除尘器图片"/>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2879090" cy="2618740"/>
                    </a:xfrm>
                    <a:prstGeom prst="rect">
                      <a:avLst/>
                    </a:prstGeom>
                    <a:noFill/>
                    <a:ln>
                      <a:noFill/>
                    </a:ln>
                  </pic:spPr>
                </pic:pic>
              </a:graphicData>
            </a:graphic>
          </wp:inline>
        </w:drawing>
      </w:r>
    </w:p>
    <w:p>
      <w:pPr>
        <w:pStyle w:val="44"/>
      </w:pPr>
      <w:r>
        <w:t>图</w:t>
      </w:r>
      <w:r>
        <w:rPr>
          <w:rFonts w:hint="eastAsia"/>
          <w:lang w:val="en-US" w:eastAsia="zh-CN"/>
        </w:rPr>
        <w:t>9</w:t>
      </w:r>
      <w:r>
        <w:rPr>
          <w:rFonts w:hint="eastAsia"/>
        </w:rPr>
        <w:t>.2-1</w:t>
      </w:r>
      <w:r>
        <w:t xml:space="preserve"> </w:t>
      </w:r>
      <w:r>
        <w:rPr>
          <w:rFonts w:hint="eastAsia"/>
        </w:rPr>
        <w:t xml:space="preserve"> 布袋除尘器工作原理及结构</w:t>
      </w:r>
      <w:r>
        <w:t>图</w:t>
      </w:r>
    </w:p>
    <w:p>
      <w:pPr>
        <w:pStyle w:val="9"/>
      </w:pPr>
      <w:r>
        <w:rPr>
          <w:rFonts w:hint="eastAsia"/>
          <w:lang w:val="en-US" w:eastAsia="zh-CN"/>
        </w:rPr>
        <w:t>9</w:t>
      </w:r>
      <w:r>
        <w:rPr>
          <w:rFonts w:hint="eastAsia"/>
        </w:rPr>
        <w:t>.2.1.2无组织废气治理措施</w:t>
      </w:r>
    </w:p>
    <w:p>
      <w:pPr>
        <w:pStyle w:val="7"/>
        <w:ind w:firstLine="482"/>
        <w:rPr>
          <w:b/>
          <w:bCs/>
        </w:rPr>
      </w:pPr>
      <w:r>
        <w:rPr>
          <w:rFonts w:hint="eastAsia"/>
          <w:b/>
          <w:bCs/>
        </w:rPr>
        <w:t>1、一期工程</w:t>
      </w:r>
    </w:p>
    <w:p>
      <w:pPr>
        <w:pStyle w:val="7"/>
        <w:ind w:firstLine="480"/>
      </w:pPr>
      <w:r>
        <w:rPr>
          <w:rFonts w:hint="eastAsia"/>
        </w:rPr>
        <w:t>一期工程无组织废气主要包括倾动炉、熔炼炉配料、精炼、扒渣、调整成分等工序未被收集逸散的少量颗粒物、氟化物、氯化氢、氯气、铝灰分离工序未被收集逸散的少量颗粒物以及结晶工序产生的颗粒物。根据大气估算模型估算结果可知，各项污染物厂界无组织浓度限值满足《大气污染物综合排放标准》（GB16297-1996）表2厂界无组织排放监控浓度限值要求。</w:t>
      </w:r>
    </w:p>
    <w:p>
      <w:pPr>
        <w:pStyle w:val="7"/>
        <w:ind w:firstLine="480"/>
      </w:pPr>
      <w:r>
        <w:rPr>
          <w:rFonts w:hint="eastAsia"/>
        </w:rPr>
        <w:t>为使无组织废气排放量达到最少，一期工程拟采取以下措施：</w:t>
      </w:r>
    </w:p>
    <w:p>
      <w:pPr>
        <w:pStyle w:val="7"/>
        <w:ind w:firstLine="480"/>
      </w:pPr>
      <w:r>
        <w:rPr>
          <w:rFonts w:hint="eastAsia"/>
        </w:rPr>
        <w:t>①设备上方集气罩安装的位置，应考虑能最大效率地收集产生的废气；</w:t>
      </w:r>
    </w:p>
    <w:p>
      <w:pPr>
        <w:pStyle w:val="7"/>
        <w:ind w:firstLine="480"/>
      </w:pPr>
      <w:r>
        <w:rPr>
          <w:rFonts w:hint="eastAsia"/>
        </w:rPr>
        <w:t>②对废气收集设备、管道等定期检查、检修，以保证其收集效率；</w:t>
      </w:r>
    </w:p>
    <w:p>
      <w:pPr>
        <w:pStyle w:val="7"/>
        <w:ind w:firstLine="480"/>
      </w:pPr>
      <w:r>
        <w:rPr>
          <w:rFonts w:hint="eastAsia"/>
        </w:rPr>
        <w:t>③加强车间通风，所有操作严格按照既定的规程进行。</w:t>
      </w:r>
    </w:p>
    <w:p>
      <w:pPr>
        <w:pStyle w:val="7"/>
        <w:ind w:firstLine="480"/>
      </w:pPr>
      <w:r>
        <w:rPr>
          <w:rFonts w:hint="eastAsia"/>
        </w:rPr>
        <w:t>通过上述措施，本项目的无组织排放的污染物将得到有效控制，对当地大气环境影响较小。</w:t>
      </w:r>
    </w:p>
    <w:p>
      <w:pPr>
        <w:pStyle w:val="7"/>
        <w:ind w:firstLine="482"/>
        <w:rPr>
          <w:b/>
          <w:bCs/>
        </w:rPr>
      </w:pPr>
      <w:r>
        <w:rPr>
          <w:rFonts w:hint="eastAsia"/>
          <w:b/>
          <w:bCs/>
        </w:rPr>
        <w:t>2、二期工程</w:t>
      </w:r>
    </w:p>
    <w:p>
      <w:pPr>
        <w:pStyle w:val="7"/>
        <w:ind w:firstLine="480"/>
      </w:pPr>
      <w:r>
        <w:t>本项目无组织废气主要包括扒渣工序未被收集逸散的少量颗粒物</w:t>
      </w:r>
      <w:r>
        <w:rPr>
          <w:rFonts w:hint="eastAsia"/>
        </w:rPr>
        <w:t>、</w:t>
      </w:r>
      <w:r>
        <w:t>铝灰分离工序未被收集逸散的少量颗粒物</w:t>
      </w:r>
      <w:r>
        <w:rPr>
          <w:rFonts w:hint="eastAsia"/>
        </w:rPr>
        <w:t>以及铸轧工序中液化石油气产生的废气</w:t>
      </w:r>
      <w:r>
        <w:t>。</w:t>
      </w:r>
      <w:r>
        <w:rPr>
          <w:rFonts w:hint="eastAsia"/>
        </w:rPr>
        <w:t>根据大气估算模型估算结果可知，各项污染物厂界无组织浓度限值满足《大气污染物综合排放标准》（GB16297-1996）表2厂界无组织排放监控浓度限值要求。</w:t>
      </w:r>
    </w:p>
    <w:p>
      <w:pPr>
        <w:pStyle w:val="7"/>
        <w:ind w:firstLine="480"/>
      </w:pPr>
      <w:r>
        <w:rPr>
          <w:rFonts w:hint="eastAsia"/>
        </w:rPr>
        <w:t>为使无组织废气排放量达到最少，一期工程拟采取以下措施：</w:t>
      </w:r>
    </w:p>
    <w:p>
      <w:pPr>
        <w:pStyle w:val="7"/>
        <w:ind w:firstLine="480"/>
      </w:pPr>
      <w:r>
        <w:rPr>
          <w:rFonts w:hint="eastAsia"/>
        </w:rPr>
        <w:t>①设备上方集气罩安装的位置，应考虑能最大效率地收集产生的废气；</w:t>
      </w:r>
    </w:p>
    <w:p>
      <w:pPr>
        <w:pStyle w:val="7"/>
        <w:ind w:firstLine="480"/>
      </w:pPr>
      <w:r>
        <w:rPr>
          <w:rFonts w:hint="eastAsia"/>
        </w:rPr>
        <w:t>②对废气收集设备、管道等定期检查、检修，以保证其收集效率；</w:t>
      </w:r>
    </w:p>
    <w:p>
      <w:pPr>
        <w:pStyle w:val="7"/>
        <w:ind w:firstLine="480"/>
      </w:pPr>
      <w:r>
        <w:rPr>
          <w:rFonts w:hint="eastAsia"/>
        </w:rPr>
        <w:t>③加强车间通风，所有操作严格按照既定的规程进行。</w:t>
      </w:r>
    </w:p>
    <w:p>
      <w:pPr>
        <w:pStyle w:val="7"/>
        <w:ind w:firstLine="480"/>
      </w:pPr>
      <w:r>
        <w:rPr>
          <w:rFonts w:hint="eastAsia"/>
        </w:rPr>
        <w:t>通过上述措施，本项目的无组织排放的污染物将得到有效控制，对当地大气环境影响较小。</w:t>
      </w:r>
    </w:p>
    <w:p>
      <w:pPr>
        <w:pStyle w:val="7"/>
        <w:ind w:firstLine="480"/>
      </w:pPr>
      <w:r>
        <w:rPr>
          <w:rFonts w:hint="eastAsia"/>
        </w:rPr>
        <w:t>综上所述，本项目废气污染源虽然较多，但是治理措施技术可行，经济合理。</w:t>
      </w:r>
    </w:p>
    <w:p>
      <w:pPr>
        <w:pStyle w:val="8"/>
      </w:pPr>
      <w:r>
        <w:rPr>
          <w:rFonts w:hint="eastAsia"/>
          <w:lang w:val="en-US" w:eastAsia="zh-CN"/>
        </w:rPr>
        <w:t>9</w:t>
      </w:r>
      <w:r>
        <w:rPr>
          <w:rFonts w:hint="eastAsia"/>
        </w:rPr>
        <w:t>.2.2废水污染防治措施</w:t>
      </w:r>
    </w:p>
    <w:p>
      <w:pPr>
        <w:pStyle w:val="9"/>
      </w:pPr>
      <w:r>
        <w:rPr>
          <w:rFonts w:hint="eastAsia"/>
          <w:lang w:val="en-US" w:eastAsia="zh-CN"/>
        </w:rPr>
        <w:t>9</w:t>
      </w:r>
      <w:r>
        <w:rPr>
          <w:rFonts w:hint="eastAsia"/>
        </w:rPr>
        <w:t>.2.2.1对废水的处理要求</w:t>
      </w:r>
    </w:p>
    <w:p>
      <w:pPr>
        <w:pStyle w:val="7"/>
        <w:ind w:firstLine="482"/>
        <w:rPr>
          <w:b/>
          <w:bCs/>
        </w:rPr>
      </w:pPr>
      <w:r>
        <w:rPr>
          <w:rFonts w:hint="eastAsia"/>
          <w:b/>
          <w:bCs/>
        </w:rPr>
        <w:t>1、一期工程</w:t>
      </w:r>
    </w:p>
    <w:p>
      <w:pPr>
        <w:spacing w:line="360" w:lineRule="auto"/>
        <w:ind w:firstLine="480"/>
        <w:textAlignment w:val="baseline"/>
      </w:pPr>
      <w:r>
        <w:rPr>
          <w:rFonts w:hint="eastAsia"/>
        </w:rPr>
        <w:t>一期工程营运期间铝合金圆铸锭循环冷却水排水量为800m</w:t>
      </w:r>
      <w:r>
        <w:rPr>
          <w:rFonts w:hint="eastAsia"/>
          <w:vertAlign w:val="superscript"/>
        </w:rPr>
        <w:t>3</w:t>
      </w:r>
      <w:r>
        <w:rPr>
          <w:rFonts w:hint="eastAsia"/>
        </w:rPr>
        <w:t>/a，废水主要污染物为COD、SS及温升等，污染程度较轻，经冷却循环水池（3920</w:t>
      </w:r>
      <w:r>
        <w:t>m</w:t>
      </w:r>
      <w:r>
        <w:rPr>
          <w:vertAlign w:val="superscript"/>
        </w:rPr>
        <w:t>3</w:t>
      </w:r>
      <w:r>
        <w:rPr>
          <w:rFonts w:hint="eastAsia"/>
        </w:rPr>
        <w:t>）沉淀处理后排入项目所在地市政污水管网，最后进入砚山县第一污水处理厂进一步处理。</w:t>
      </w:r>
    </w:p>
    <w:p>
      <w:pPr>
        <w:spacing w:line="360" w:lineRule="auto"/>
        <w:ind w:firstLine="480"/>
        <w:textAlignment w:val="baseline"/>
      </w:pPr>
      <w:r>
        <w:rPr>
          <w:rFonts w:hint="eastAsia"/>
        </w:rPr>
        <w:t>铝合金板锭循环冷却水排水量为800m</w:t>
      </w:r>
      <w:r>
        <w:rPr>
          <w:rFonts w:hint="eastAsia"/>
          <w:vertAlign w:val="superscript"/>
        </w:rPr>
        <w:t>3</w:t>
      </w:r>
      <w:r>
        <w:rPr>
          <w:rFonts w:hint="eastAsia"/>
        </w:rPr>
        <w:t>/a，废水主要污染物为COD、SS、温升及石油类等，经项目自建污水处理站处理达《污水综合排放标准》（G</w:t>
      </w:r>
      <w:r>
        <w:t>B</w:t>
      </w:r>
      <w:r>
        <w:rPr>
          <w:rFonts w:hint="eastAsia"/>
        </w:rPr>
        <w:t>8978-1996）中的一级排放标准后排入项目所在地市政污水管网，最后进入砚山县第一污水处理厂进一步处理。拟建项目建设1座1m</w:t>
      </w:r>
      <w:r>
        <w:rPr>
          <w:rFonts w:hint="eastAsia"/>
          <w:vertAlign w:val="superscript"/>
        </w:rPr>
        <w:t>3</w:t>
      </w:r>
      <w:r>
        <w:rPr>
          <w:rFonts w:hint="eastAsia"/>
        </w:rPr>
        <w:t>/h污水处理站对板锭循环水系统定期排污水进行处理。处理工艺为“混凝沉淀+两级气浮”，包括含油废水调节池、混凝反应槽、沉淀槽、一级气浮、二级气浮、综合调节池等组成。气浮法除油，其原理是在含油废水中引入气体，使水中的乳化油粒粘附在所产生的细微气泡上，随气泡一起上浮到水面，形成浮渣，从而回收水中的废油。气浮法效果较好，工艺成熟。项目采用两级气浮，石油类总去除效率97.75%。</w:t>
      </w:r>
    </w:p>
    <w:p>
      <w:pPr>
        <w:spacing w:line="360" w:lineRule="auto"/>
        <w:ind w:firstLine="480"/>
        <w:textAlignment w:val="baseline"/>
      </w:pPr>
      <w:r>
        <w:rPr>
          <w:rFonts w:hint="eastAsia"/>
        </w:rPr>
        <w:t>一期工程初期雨水池采用初期雨水收集池收集，收集池有效容积为640</w:t>
      </w:r>
      <w:r>
        <w:t>m</w:t>
      </w:r>
      <w:r>
        <w:rPr>
          <w:vertAlign w:val="superscript"/>
        </w:rPr>
        <w:t>3</w:t>
      </w:r>
      <w:r>
        <w:rPr>
          <w:rFonts w:hint="eastAsia"/>
        </w:rPr>
        <w:t>，在初期雨水收集池经过沉淀处理达到</w:t>
      </w:r>
      <w:r>
        <w:rPr>
          <w:kern w:val="0"/>
        </w:rPr>
        <w:t xml:space="preserve">《城市污水再生利用 城市杂用水水质标准》(GB/TI8920-2002) </w:t>
      </w:r>
      <w:r>
        <w:rPr>
          <w:rFonts w:hint="eastAsia"/>
          <w:kern w:val="0"/>
        </w:rPr>
        <w:t>中城市绿化及道路清扫以及《城市污水再生利用工业用水水质》（GB/T19923-2005）的相应标准</w:t>
      </w:r>
      <w:r>
        <w:rPr>
          <w:rFonts w:hint="eastAsia"/>
        </w:rPr>
        <w:t>后回用于</w:t>
      </w:r>
      <w:r>
        <w:rPr>
          <w:rFonts w:hint="eastAsia"/>
          <w:bCs/>
        </w:rPr>
        <w:t>晴天厂区绿化，剩余部分用于冷却循环补充水，不外排</w:t>
      </w:r>
      <w:r>
        <w:rPr>
          <w:rFonts w:hint="eastAsia"/>
        </w:rPr>
        <w:t>。</w:t>
      </w:r>
    </w:p>
    <w:p>
      <w:pPr>
        <w:pStyle w:val="7"/>
        <w:ind w:firstLine="480"/>
      </w:pPr>
      <w:r>
        <w:rPr>
          <w:rFonts w:hint="eastAsia"/>
          <w:lang w:val="zh-CN"/>
        </w:rPr>
        <w:t>生活污水</w:t>
      </w:r>
      <w:r>
        <w:rPr>
          <w:rFonts w:hint="eastAsia"/>
        </w:rPr>
        <w:t>经化粪池、隔油池处理后达到《污水排入城镇下水道水质标准》（GB/T31962-2015）表1中A等级标准后排入项目所在地市政污水管网，最后进入砚山县第一污水处理厂处理。</w:t>
      </w:r>
    </w:p>
    <w:p>
      <w:pPr>
        <w:pStyle w:val="7"/>
        <w:ind w:firstLine="482"/>
        <w:rPr>
          <w:b/>
          <w:bCs/>
        </w:rPr>
      </w:pPr>
      <w:r>
        <w:rPr>
          <w:rFonts w:hint="eastAsia"/>
          <w:b/>
          <w:bCs/>
        </w:rPr>
        <w:t>2、二期工程</w:t>
      </w:r>
    </w:p>
    <w:p>
      <w:pPr>
        <w:spacing w:line="360" w:lineRule="auto"/>
        <w:ind w:firstLine="480"/>
        <w:textAlignment w:val="baseline"/>
      </w:pPr>
      <w:r>
        <w:rPr>
          <w:rFonts w:hint="eastAsia"/>
        </w:rPr>
        <w:t>二期工程营运期间铝合金铸轧板循环冷却水排水量为250m</w:t>
      </w:r>
      <w:r>
        <w:rPr>
          <w:rFonts w:hint="eastAsia"/>
          <w:vertAlign w:val="superscript"/>
        </w:rPr>
        <w:t>3</w:t>
      </w:r>
      <w:r>
        <w:rPr>
          <w:rFonts w:hint="eastAsia"/>
        </w:rPr>
        <w:t>/a，废水主要污染物为COD、SS及温升等，污染程度较轻，经冷却循环水池（572</w:t>
      </w:r>
      <w:r>
        <w:t>m</w:t>
      </w:r>
      <w:r>
        <w:rPr>
          <w:vertAlign w:val="superscript"/>
        </w:rPr>
        <w:t>3</w:t>
      </w:r>
      <w:r>
        <w:rPr>
          <w:rFonts w:hint="eastAsia"/>
        </w:rPr>
        <w:t>）沉淀处理后排入项目所在地市政污水管网，最后进入砚山县第一污水处理厂进一步处理。</w:t>
      </w:r>
    </w:p>
    <w:p>
      <w:pPr>
        <w:spacing w:line="360" w:lineRule="auto"/>
        <w:ind w:firstLine="480"/>
        <w:textAlignment w:val="baseline"/>
      </w:pPr>
      <w:r>
        <w:rPr>
          <w:rFonts w:hint="eastAsia"/>
        </w:rPr>
        <w:t>二期工程初期雨水池采用初期雨水收集池收集，收集池有效容积为110</w:t>
      </w:r>
      <w:r>
        <w:t>m</w:t>
      </w:r>
      <w:r>
        <w:rPr>
          <w:vertAlign w:val="superscript"/>
        </w:rPr>
        <w:t>3</w:t>
      </w:r>
      <w:r>
        <w:rPr>
          <w:rFonts w:hint="eastAsia"/>
        </w:rPr>
        <w:t>，在初期雨水收集池经过沉淀处理达到</w:t>
      </w:r>
      <w:r>
        <w:rPr>
          <w:kern w:val="0"/>
        </w:rPr>
        <w:t xml:space="preserve">《城市污水再生利用 城市杂用水水质标准》(GB/TI8920-2002) </w:t>
      </w:r>
      <w:r>
        <w:rPr>
          <w:rFonts w:hint="eastAsia"/>
          <w:kern w:val="0"/>
        </w:rPr>
        <w:t>中城市绿化及道路清扫以及《城市污水再生利用工业用水水质》（GB/T19923-2005）的相应标准</w:t>
      </w:r>
      <w:r>
        <w:rPr>
          <w:rFonts w:hint="eastAsia"/>
        </w:rPr>
        <w:t>后回用于</w:t>
      </w:r>
      <w:r>
        <w:rPr>
          <w:rFonts w:hint="eastAsia"/>
          <w:bCs/>
        </w:rPr>
        <w:t>晴天厂区绿化，剩余部分用于冷却循环补充水，不外排</w:t>
      </w:r>
      <w:r>
        <w:rPr>
          <w:rFonts w:hint="eastAsia"/>
        </w:rPr>
        <w:t>。</w:t>
      </w:r>
    </w:p>
    <w:p>
      <w:pPr>
        <w:pStyle w:val="7"/>
        <w:ind w:firstLine="480"/>
      </w:pPr>
      <w:r>
        <w:rPr>
          <w:rFonts w:hint="eastAsia"/>
          <w:lang w:val="zh-CN"/>
        </w:rPr>
        <w:t>生活污水</w:t>
      </w:r>
      <w:r>
        <w:rPr>
          <w:rFonts w:hint="eastAsia"/>
        </w:rPr>
        <w:t>经化粪池、隔油池处理后达到《污水排入城镇下水道水质标准》（GB/T31962-2015）表1中A等级标准后排入项目所在地市政污水管网，最后进入砚山县第一污水处理厂处理。</w:t>
      </w:r>
    </w:p>
    <w:p>
      <w:pPr>
        <w:pStyle w:val="7"/>
        <w:ind w:firstLine="482"/>
        <w:rPr>
          <w:b/>
          <w:bCs/>
        </w:rPr>
      </w:pPr>
      <w:r>
        <w:rPr>
          <w:rFonts w:hint="eastAsia"/>
          <w:b/>
          <w:bCs/>
        </w:rPr>
        <w:t>3、水质</w:t>
      </w:r>
    </w:p>
    <w:p>
      <w:pPr>
        <w:pStyle w:val="7"/>
        <w:ind w:firstLine="480"/>
      </w:pPr>
      <w:r>
        <w:rPr>
          <w:rFonts w:hint="eastAsia"/>
        </w:rPr>
        <w:t>项目生活污水以及循环冷却水排水经预处理后水质能够满足《污水排入城镇下水道水质标准》（GB/T31962-2015）表1中A等级标准，且项目的循环冷却水排水中主要污染物为COD和SS，污染物浓度低，满足砚山县第一污水处理厂的进水水质要求，不会对砚山县第一污水处理厂带来污染负荷。根据砚山县国祯污水处理有限公司出具的证明，拟同意接收项目产生的生活污水以及冷却循环废水。</w:t>
      </w:r>
    </w:p>
    <w:p>
      <w:pPr>
        <w:pStyle w:val="7"/>
        <w:ind w:firstLine="482"/>
        <w:rPr>
          <w:b/>
          <w:bCs/>
        </w:rPr>
      </w:pPr>
      <w:r>
        <w:rPr>
          <w:rFonts w:hint="eastAsia"/>
          <w:b/>
          <w:bCs/>
        </w:rPr>
        <w:t>4、水量</w:t>
      </w:r>
    </w:p>
    <w:p>
      <w:pPr>
        <w:pStyle w:val="7"/>
        <w:ind w:firstLine="480"/>
      </w:pPr>
      <w:r>
        <w:rPr>
          <w:rFonts w:hint="eastAsia"/>
        </w:rPr>
        <w:t>砚山县第一污水处理厂处理规模1.5万吨/年，服务范围为14km</w:t>
      </w:r>
      <w:r>
        <w:rPr>
          <w:rFonts w:hint="eastAsia"/>
          <w:vertAlign w:val="superscript"/>
        </w:rPr>
        <w:t>2</w:t>
      </w:r>
      <w:r>
        <w:rPr>
          <w:rFonts w:hint="eastAsia"/>
        </w:rPr>
        <w:t>，采用A2/O工艺，深度处理采用纤维转盘滤池，排放标准为《城镇污水处理厂污染物排放标准GB18918-2002》的一级A标，目前的处理规模为1.3万m</w:t>
      </w:r>
      <w:r>
        <w:rPr>
          <w:rFonts w:hint="eastAsia"/>
          <w:vertAlign w:val="superscript"/>
        </w:rPr>
        <w:t>3</w:t>
      </w:r>
      <w:r>
        <w:rPr>
          <w:rFonts w:hint="eastAsia"/>
        </w:rPr>
        <w:t>/d，还余有约0.2万m</w:t>
      </w:r>
      <w:r>
        <w:rPr>
          <w:rFonts w:hint="eastAsia"/>
          <w:vertAlign w:val="superscript"/>
        </w:rPr>
        <w:t>3</w:t>
      </w:r>
      <w:r>
        <w:rPr>
          <w:rFonts w:hint="eastAsia"/>
        </w:rPr>
        <w:t>/d的处理规模。目前县城的建成区基本实现雨污分流，管网设施相对健全，能满足县城城区污水处理。布标片区和三星坝片区已建成城市污水管网，生活污水全部进入管道，进入第一污水处理厂进行处理。本项目外排废水量为生活污水14.4m</w:t>
      </w:r>
      <w:r>
        <w:rPr>
          <w:rFonts w:hint="eastAsia"/>
          <w:vertAlign w:val="superscript"/>
        </w:rPr>
        <w:t>3</w:t>
      </w:r>
      <w:r>
        <w:rPr>
          <w:rFonts w:hint="eastAsia"/>
        </w:rPr>
        <w:t>/d，冷却循环系统定期排水1850m</w:t>
      </w:r>
      <w:r>
        <w:rPr>
          <w:rFonts w:hint="eastAsia"/>
          <w:vertAlign w:val="superscript"/>
        </w:rPr>
        <w:t>3</w:t>
      </w:r>
      <w:r>
        <w:rPr>
          <w:rFonts w:hint="eastAsia"/>
        </w:rPr>
        <w:t>/a（约合5.61m</w:t>
      </w:r>
      <w:r>
        <w:rPr>
          <w:rFonts w:hint="eastAsia"/>
          <w:vertAlign w:val="superscript"/>
        </w:rPr>
        <w:t>3</w:t>
      </w:r>
      <w:r>
        <w:rPr>
          <w:rFonts w:hint="eastAsia"/>
        </w:rPr>
        <w:t>/d），总外排水量为20.01m</w:t>
      </w:r>
      <w:r>
        <w:rPr>
          <w:rFonts w:hint="eastAsia"/>
          <w:vertAlign w:val="superscript"/>
        </w:rPr>
        <w:t>3</w:t>
      </w:r>
      <w:r>
        <w:rPr>
          <w:rFonts w:hint="eastAsia"/>
        </w:rPr>
        <w:t>/d，占砚山县第一污水处理厂的比例为1.0%，占比较小，且砚山县国祯污水处理有限公司同意接纳项目的污废水。</w:t>
      </w:r>
    </w:p>
    <w:p>
      <w:pPr>
        <w:pStyle w:val="7"/>
        <w:ind w:firstLine="480"/>
        <w:rPr>
          <w:highlight w:val="none"/>
        </w:rPr>
      </w:pPr>
      <w:r>
        <w:rPr>
          <w:rFonts w:hint="eastAsia"/>
          <w:highlight w:val="none"/>
        </w:rPr>
        <w:t>根据现场调查，目前项目所在区域</w:t>
      </w:r>
      <w:r>
        <w:rPr>
          <w:rFonts w:hint="eastAsia"/>
          <w:highlight w:val="none"/>
          <w:lang w:val="en-US" w:eastAsia="zh-CN"/>
        </w:rPr>
        <w:t>雨水管网及污水管网已建成。</w:t>
      </w:r>
      <w:r>
        <w:rPr>
          <w:rFonts w:hint="eastAsia"/>
          <w:highlight w:val="none"/>
        </w:rPr>
        <w:t>项目的污废水</w:t>
      </w:r>
      <w:r>
        <w:rPr>
          <w:rFonts w:hint="eastAsia"/>
          <w:highlight w:val="none"/>
          <w:lang w:val="en-US" w:eastAsia="zh-CN"/>
        </w:rPr>
        <w:t>通过污水管道</w:t>
      </w:r>
      <w:r>
        <w:rPr>
          <w:rFonts w:hint="eastAsia"/>
          <w:highlight w:val="none"/>
        </w:rPr>
        <w:t>能够进入砚山县第一污水处理厂进行处理。</w:t>
      </w:r>
      <w:r>
        <w:rPr>
          <w:rFonts w:hint="eastAsia"/>
        </w:rPr>
        <w:t>综上所述，项目采取的废水污染防治措施有效可行。</w:t>
      </w:r>
    </w:p>
    <w:p>
      <w:pPr>
        <w:pStyle w:val="9"/>
      </w:pPr>
      <w:r>
        <w:rPr>
          <w:rFonts w:hint="eastAsia"/>
          <w:lang w:val="en-US" w:eastAsia="zh-CN"/>
        </w:rPr>
        <w:t>9</w:t>
      </w:r>
      <w:r>
        <w:rPr>
          <w:rFonts w:hint="eastAsia"/>
        </w:rPr>
        <w:t>.2.2.2对厂区雨水进入园区雨水管网的要求</w:t>
      </w:r>
    </w:p>
    <w:p>
      <w:pPr>
        <w:pStyle w:val="7"/>
        <w:ind w:firstLine="480"/>
      </w:pPr>
      <w:r>
        <w:rPr>
          <w:rFonts w:hint="eastAsia"/>
        </w:rPr>
        <w:t>项目分别位于听湖水库、公革河以北，项目距离听湖水库、公革河的最近距离分别约1596m、3605m。</w:t>
      </w:r>
    </w:p>
    <w:p>
      <w:pPr>
        <w:pStyle w:val="7"/>
        <w:bidi w:val="0"/>
        <w:rPr>
          <w:rFonts w:hint="eastAsia"/>
        </w:rPr>
      </w:pPr>
      <w:r>
        <w:rPr>
          <w:rFonts w:hint="eastAsia"/>
        </w:rPr>
        <w:t>根据园区规划环评要求，园区雨水不得进入听湖水库</w:t>
      </w:r>
      <w:r>
        <w:rPr>
          <w:rFonts w:hint="eastAsia"/>
          <w:lang w:eastAsia="zh-CN"/>
        </w:rPr>
        <w:t>。</w:t>
      </w:r>
      <w:r>
        <w:rPr>
          <w:rFonts w:hint="eastAsia"/>
        </w:rPr>
        <w:t>本工程排水实施雨污分流、清污分流。</w:t>
      </w:r>
      <w:r>
        <w:rPr>
          <w:rFonts w:hint="eastAsia"/>
          <w:lang w:val="en-US" w:eastAsia="zh-CN"/>
        </w:rPr>
        <w:t>项目初期雨水经收集后回用于冷却循环水系统，后期雨水排入园区雨水管网</w:t>
      </w:r>
      <w:r>
        <w:rPr>
          <w:rFonts w:hint="eastAsia"/>
          <w:lang w:eastAsia="zh-CN"/>
        </w:rPr>
        <w:t>。</w:t>
      </w:r>
      <w:r>
        <w:rPr>
          <w:rFonts w:hint="eastAsia"/>
        </w:rPr>
        <w:t>有效避免了厂区雨水对听湖水库的影响。</w:t>
      </w:r>
    </w:p>
    <w:p>
      <w:pPr>
        <w:pStyle w:val="8"/>
      </w:pPr>
      <w:r>
        <w:rPr>
          <w:rFonts w:hint="eastAsia"/>
          <w:lang w:val="en-US" w:eastAsia="zh-CN"/>
        </w:rPr>
        <w:t>9</w:t>
      </w:r>
      <w:r>
        <w:rPr>
          <w:rFonts w:hint="eastAsia"/>
        </w:rPr>
        <w:t>.2.3地下水污染防治措施</w:t>
      </w:r>
    </w:p>
    <w:p>
      <w:pPr>
        <w:pStyle w:val="7"/>
        <w:ind w:firstLine="480"/>
      </w:pPr>
      <w:r>
        <w:rPr>
          <w:rFonts w:hint="eastAsia"/>
        </w:rPr>
        <w:t>项目运行期污废水的有效收集、无渗漏输送，固体废物的有效收集、暂存和无害化处置，以及原材料库、生产车间、氯气站、天然气站、危废暂存间、化粪池、隔油池、初期雨水收集池等区域渗漏成为污废水和固废治理的重要环节，地下水污染防控措施如下：</w:t>
      </w:r>
    </w:p>
    <w:p>
      <w:pPr>
        <w:pStyle w:val="7"/>
        <w:ind w:firstLine="482"/>
        <w:rPr>
          <w:b/>
          <w:bCs/>
        </w:rPr>
      </w:pPr>
      <w:r>
        <w:rPr>
          <w:rFonts w:hint="eastAsia"/>
          <w:b/>
          <w:bCs/>
        </w:rPr>
        <w:t>1、清污分流</w:t>
      </w:r>
    </w:p>
    <w:p>
      <w:pPr>
        <w:pStyle w:val="7"/>
        <w:ind w:firstLine="480"/>
      </w:pPr>
      <w:r>
        <w:rPr>
          <w:rFonts w:hint="eastAsia"/>
        </w:rPr>
        <w:t>要按清污分流分质处理的原则，建成三大排水系统，即生产废水、生活污水、雨水要有组织地分别排入对应的系统管网和处理系统处理。</w:t>
      </w:r>
    </w:p>
    <w:p>
      <w:pPr>
        <w:pStyle w:val="7"/>
        <w:ind w:firstLine="482"/>
        <w:rPr>
          <w:b/>
          <w:bCs/>
        </w:rPr>
      </w:pPr>
      <w:r>
        <w:rPr>
          <w:rFonts w:hint="eastAsia"/>
          <w:b/>
          <w:bCs/>
        </w:rPr>
        <w:t>2、厂区污染防渗措施及要求</w:t>
      </w:r>
    </w:p>
    <w:p>
      <w:pPr>
        <w:pStyle w:val="7"/>
        <w:ind w:firstLine="480"/>
      </w:pPr>
      <w:r>
        <w:rPr>
          <w:rFonts w:hint="eastAsia"/>
        </w:rPr>
        <w:t>依据厂区可能发生渗漏的区域的污染物性质和生产单元的构筑方式，结合厂区地质和水文地质条件，对厂区采取分区防渗措施。根据《环境影响评价技术导则-地下水环境》（HJ610-2016）厂区可划分为重点防渗区、一般防渗区和简单防渗区。</w:t>
      </w:r>
    </w:p>
    <w:p>
      <w:pPr>
        <w:pStyle w:val="7"/>
        <w:ind w:firstLine="480"/>
      </w:pPr>
      <w:r>
        <w:rPr>
          <w:rFonts w:hint="eastAsia"/>
        </w:rPr>
        <w:t>氯气站、污水处理站、循环水池、初期雨水收集池、危废暂存间、铝灰分离车间等区域划分为重点防渗区；原材料库、加工车间、货场、成品仓库、综合站房等区域划分为一般防渗区；办公室、配电室、厂区道路等区域划分为简单防渗区。</w:t>
      </w:r>
    </w:p>
    <w:p>
      <w:pPr>
        <w:pStyle w:val="7"/>
        <w:ind w:firstLine="480"/>
      </w:pPr>
      <w:r>
        <w:rPr>
          <w:rFonts w:hint="eastAsia"/>
        </w:rPr>
        <w:t>①对于重点防渗区，按照《环境影响评价技术导则-地下水环境》（HJ610-2016）中重点防渗区的防渗要求进行防渗设计，防渗层的防渗性能应等效于厚度≥6m，渗透系数≤1.0×10</w:t>
      </w:r>
      <w:r>
        <w:rPr>
          <w:rFonts w:hint="eastAsia"/>
          <w:vertAlign w:val="superscript"/>
        </w:rPr>
        <w:t>-7</w:t>
      </w:r>
      <w:r>
        <w:rPr>
          <w:rFonts w:hint="eastAsia"/>
        </w:rPr>
        <w:t>cm/s的黏土层的防渗性能。</w:t>
      </w:r>
    </w:p>
    <w:p>
      <w:pPr>
        <w:pStyle w:val="7"/>
        <w:ind w:firstLine="480"/>
      </w:pPr>
      <w:r>
        <w:rPr>
          <w:rFonts w:hint="eastAsia"/>
        </w:rPr>
        <w:t>②对于一般防渗区，按照《环境影响评价技术导则-地下水环境》（HJ610-2016）中一般防渗区的防渗要求进行防渗设计，防渗层的防渗性能应等效于厚度≥1.5m，渗透系数≤1.0×10</w:t>
      </w:r>
      <w:r>
        <w:rPr>
          <w:rFonts w:hint="eastAsia"/>
          <w:vertAlign w:val="superscript"/>
        </w:rPr>
        <w:t>-7</w:t>
      </w:r>
      <w:r>
        <w:rPr>
          <w:rFonts w:hint="eastAsia"/>
        </w:rPr>
        <w:t>cm/s的黏土层的防渗性能。</w:t>
      </w:r>
    </w:p>
    <w:p>
      <w:pPr>
        <w:pStyle w:val="7"/>
        <w:ind w:firstLine="480"/>
      </w:pPr>
      <w:r>
        <w:rPr>
          <w:rFonts w:hint="eastAsia"/>
        </w:rPr>
        <w:t>③对于简单防渗区，不采取专门针对地下水污染的防治措施，地面可采用混凝土硬化。</w:t>
      </w:r>
    </w:p>
    <w:p>
      <w:pPr>
        <w:pStyle w:val="7"/>
        <w:ind w:firstLine="480"/>
      </w:pPr>
      <w:r>
        <w:rPr>
          <w:rFonts w:hint="eastAsia"/>
        </w:rPr>
        <w:t>项目厂区污染防渗分区、防渗标准及要求见表</w:t>
      </w:r>
      <w:r>
        <w:rPr>
          <w:rFonts w:hint="eastAsia"/>
          <w:lang w:val="en-US" w:eastAsia="zh-CN"/>
        </w:rPr>
        <w:t>9</w:t>
      </w:r>
      <w:r>
        <w:rPr>
          <w:rFonts w:hint="eastAsia"/>
        </w:rPr>
        <w:t>.2-1。项目厂区污染防渗分区图见附图10。</w:t>
      </w:r>
    </w:p>
    <w:p>
      <w:pPr>
        <w:pStyle w:val="31"/>
      </w:pPr>
      <w:r>
        <w:rPr>
          <w:rFonts w:hint="eastAsia"/>
        </w:rPr>
        <w:t>表</w:t>
      </w:r>
      <w:r>
        <w:rPr>
          <w:rFonts w:hint="eastAsia"/>
          <w:lang w:val="en-US" w:eastAsia="zh-CN"/>
        </w:rPr>
        <w:t>9</w:t>
      </w:r>
      <w:r>
        <w:rPr>
          <w:rFonts w:hint="eastAsia"/>
        </w:rPr>
        <w:t>.2-1  项目厂区污染防渗分区、防渗标准及要求一览表</w:t>
      </w:r>
    </w:p>
    <w:tbl>
      <w:tblPr>
        <w:tblStyle w:val="27"/>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609"/>
        <w:gridCol w:w="3629"/>
        <w:gridCol w:w="405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80" w:hRule="atLeast"/>
          <w:tblHeader/>
        </w:trPr>
        <w:tc>
          <w:tcPr>
            <w:tcW w:w="866" w:type="pct"/>
            <w:vAlign w:val="center"/>
          </w:tcPr>
          <w:p>
            <w:pPr>
              <w:pStyle w:val="33"/>
            </w:pPr>
            <w:r>
              <w:t>污染防渗区类别</w:t>
            </w:r>
          </w:p>
        </w:tc>
        <w:tc>
          <w:tcPr>
            <w:tcW w:w="1953" w:type="pct"/>
            <w:vAlign w:val="center"/>
          </w:tcPr>
          <w:p>
            <w:pPr>
              <w:pStyle w:val="33"/>
            </w:pPr>
            <w:r>
              <w:t>防渗区名称</w:t>
            </w:r>
          </w:p>
        </w:tc>
        <w:tc>
          <w:tcPr>
            <w:tcW w:w="2179" w:type="pct"/>
            <w:vAlign w:val="center"/>
          </w:tcPr>
          <w:p>
            <w:pPr>
              <w:pStyle w:val="33"/>
            </w:pPr>
            <w:r>
              <w:t>防渗标准及要求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26" w:hRule="atLeast"/>
          <w:tblHeader/>
        </w:trPr>
        <w:tc>
          <w:tcPr>
            <w:tcW w:w="866" w:type="pct"/>
            <w:vMerge w:val="restart"/>
            <w:vAlign w:val="center"/>
          </w:tcPr>
          <w:p>
            <w:pPr>
              <w:pStyle w:val="33"/>
            </w:pPr>
            <w:r>
              <w:t>重点防渗区</w:t>
            </w:r>
          </w:p>
        </w:tc>
        <w:tc>
          <w:tcPr>
            <w:tcW w:w="1953" w:type="pct"/>
            <w:vAlign w:val="center"/>
          </w:tcPr>
          <w:p>
            <w:pPr>
              <w:pStyle w:val="33"/>
            </w:pPr>
            <w:r>
              <w:rPr>
                <w:rFonts w:hint="eastAsia"/>
              </w:rPr>
              <w:t>氯气站、污水处理站、循环水池、初期雨水收集池、化粪池、隔油池消防事故水池、铝灰分离车间</w:t>
            </w:r>
          </w:p>
        </w:tc>
        <w:tc>
          <w:tcPr>
            <w:tcW w:w="2179" w:type="pct"/>
            <w:vAlign w:val="center"/>
          </w:tcPr>
          <w:p>
            <w:pPr>
              <w:pStyle w:val="33"/>
            </w:pPr>
            <w:r>
              <w:t>等效黏土防渗层厚度Mb≥6m，渗透系数K≤1.0×10</w:t>
            </w:r>
            <w:r>
              <w:rPr>
                <w:vertAlign w:val="superscript"/>
              </w:rPr>
              <w:t>-7</w:t>
            </w:r>
            <w:r>
              <w:t>cm/s；或参照</w:t>
            </w:r>
            <w:r>
              <w:rPr>
                <w:rFonts w:hint="eastAsia"/>
              </w:rPr>
              <w:t>GB18598执行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26" w:hRule="atLeast"/>
          <w:tblHeader/>
        </w:trPr>
        <w:tc>
          <w:tcPr>
            <w:tcW w:w="866" w:type="pct"/>
            <w:vMerge w:val="continue"/>
            <w:vAlign w:val="center"/>
          </w:tcPr>
          <w:p>
            <w:pPr>
              <w:pStyle w:val="33"/>
            </w:pPr>
          </w:p>
        </w:tc>
        <w:tc>
          <w:tcPr>
            <w:tcW w:w="1953" w:type="pct"/>
            <w:vAlign w:val="center"/>
          </w:tcPr>
          <w:p>
            <w:pPr>
              <w:pStyle w:val="33"/>
            </w:pPr>
            <w:r>
              <w:rPr>
                <w:rFonts w:hint="eastAsia"/>
              </w:rPr>
              <w:t>危废暂存间</w:t>
            </w:r>
          </w:p>
        </w:tc>
        <w:tc>
          <w:tcPr>
            <w:tcW w:w="2179" w:type="pct"/>
            <w:vAlign w:val="center"/>
          </w:tcPr>
          <w:p>
            <w:pPr>
              <w:pStyle w:val="33"/>
            </w:pPr>
            <w:r>
              <w:rPr>
                <w:rFonts w:hint="eastAsia"/>
              </w:rPr>
              <w:t>防渗层为至少1m厚粘土层（渗透系数≤1.0×10</w:t>
            </w:r>
            <w:r>
              <w:rPr>
                <w:rFonts w:hint="eastAsia"/>
                <w:vertAlign w:val="superscript"/>
              </w:rPr>
              <w:t>-7</w:t>
            </w:r>
            <w:r>
              <w:rPr>
                <w:rFonts w:hint="eastAsia"/>
              </w:rPr>
              <w:t>cm/s），或2mm厚高密度聚乙烯，或至少2mm厚的其它人工材料（渗透系数≤10</w:t>
            </w:r>
            <w:r>
              <w:rPr>
                <w:rFonts w:hint="eastAsia"/>
                <w:vertAlign w:val="superscript"/>
              </w:rPr>
              <w:t>-10</w:t>
            </w:r>
            <w:r>
              <w:rPr>
                <w:rFonts w:hint="eastAsia"/>
              </w:rPr>
              <w:t>cm/s）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6" w:type="pct"/>
            <w:vMerge w:val="restart"/>
            <w:vAlign w:val="center"/>
          </w:tcPr>
          <w:p>
            <w:pPr>
              <w:pStyle w:val="33"/>
            </w:pPr>
            <w:r>
              <w:t>一般防渗区</w:t>
            </w:r>
          </w:p>
        </w:tc>
        <w:tc>
          <w:tcPr>
            <w:tcW w:w="1953" w:type="pct"/>
            <w:vAlign w:val="center"/>
          </w:tcPr>
          <w:p>
            <w:pPr>
              <w:pStyle w:val="33"/>
            </w:pPr>
            <w:r>
              <w:rPr>
                <w:rFonts w:hint="eastAsia"/>
              </w:rPr>
              <w:t>原材料库、加工车间、货场、成品仓库、综合站房</w:t>
            </w:r>
          </w:p>
        </w:tc>
        <w:tc>
          <w:tcPr>
            <w:tcW w:w="2179" w:type="pct"/>
            <w:vAlign w:val="center"/>
          </w:tcPr>
          <w:p>
            <w:pPr>
              <w:pStyle w:val="33"/>
            </w:pPr>
            <w:r>
              <w:t>等效黏土防渗层厚度Mb≥1.5m，渗透系数K≤1.0×10</w:t>
            </w:r>
            <w:r>
              <w:rPr>
                <w:vertAlign w:val="superscript"/>
              </w:rPr>
              <w:t>-7</w:t>
            </w:r>
            <w:r>
              <w:t>cm/s；或参照</w:t>
            </w:r>
            <w:r>
              <w:rPr>
                <w:rFonts w:hint="eastAsia"/>
              </w:rPr>
              <w:t>GB16889执行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6" w:type="pct"/>
            <w:vMerge w:val="continue"/>
            <w:vAlign w:val="center"/>
          </w:tcPr>
          <w:p>
            <w:pPr>
              <w:pStyle w:val="33"/>
            </w:pPr>
          </w:p>
        </w:tc>
        <w:tc>
          <w:tcPr>
            <w:tcW w:w="1953" w:type="pct"/>
            <w:vAlign w:val="center"/>
          </w:tcPr>
          <w:p>
            <w:pPr>
              <w:pStyle w:val="33"/>
            </w:pPr>
            <w:r>
              <w:rPr>
                <w:rFonts w:hint="eastAsia"/>
              </w:rPr>
              <w:t>一般固废暂存间</w:t>
            </w:r>
          </w:p>
        </w:tc>
        <w:tc>
          <w:tcPr>
            <w:tcW w:w="2179" w:type="pct"/>
            <w:vAlign w:val="center"/>
          </w:tcPr>
          <w:p>
            <w:pPr>
              <w:pStyle w:val="33"/>
            </w:pPr>
            <w:r>
              <w:t>参照</w:t>
            </w:r>
            <w:r>
              <w:rPr>
                <w:rFonts w:hint="eastAsia"/>
              </w:rPr>
              <w:t>GB18599-2020执行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6" w:type="pct"/>
            <w:vAlign w:val="center"/>
          </w:tcPr>
          <w:p>
            <w:pPr>
              <w:pStyle w:val="33"/>
            </w:pPr>
            <w:r>
              <w:t>简单防渗区</w:t>
            </w:r>
          </w:p>
        </w:tc>
        <w:tc>
          <w:tcPr>
            <w:tcW w:w="1953" w:type="pct"/>
            <w:vAlign w:val="center"/>
          </w:tcPr>
          <w:p>
            <w:pPr>
              <w:pStyle w:val="33"/>
            </w:pPr>
            <w:r>
              <w:rPr>
                <w:rFonts w:hint="eastAsia"/>
              </w:rPr>
              <w:t>配电室、厂区道路</w:t>
            </w:r>
          </w:p>
        </w:tc>
        <w:tc>
          <w:tcPr>
            <w:tcW w:w="2179" w:type="pct"/>
            <w:vAlign w:val="center"/>
          </w:tcPr>
          <w:p>
            <w:pPr>
              <w:pStyle w:val="33"/>
            </w:pPr>
            <w:r>
              <w:t>地面采用混凝土硬化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 w:hRule="atLeast"/>
          <w:tblHeader/>
        </w:trPr>
        <w:tc>
          <w:tcPr>
            <w:tcW w:w="866" w:type="pct"/>
            <w:vAlign w:val="center"/>
          </w:tcPr>
          <w:p>
            <w:pPr>
              <w:pStyle w:val="33"/>
            </w:pPr>
            <w:r>
              <w:t>备注</w:t>
            </w:r>
          </w:p>
        </w:tc>
        <w:tc>
          <w:tcPr>
            <w:tcW w:w="4133" w:type="pct"/>
            <w:gridSpan w:val="2"/>
            <w:vAlign w:val="center"/>
          </w:tcPr>
          <w:p>
            <w:pPr>
              <w:pStyle w:val="33"/>
            </w:pPr>
            <w:r>
              <w:t>厂区具体防渗措施可根据防渗材料、厚度等进行防渗设计和施工，但须达到环评提出的防渗标准及要求。</w:t>
            </w:r>
          </w:p>
        </w:tc>
      </w:tr>
    </w:tbl>
    <w:p>
      <w:pPr>
        <w:pStyle w:val="7"/>
        <w:ind w:firstLine="482"/>
        <w:rPr>
          <w:b/>
          <w:bCs/>
        </w:rPr>
      </w:pPr>
      <w:r>
        <w:rPr>
          <w:rFonts w:hint="eastAsia"/>
          <w:b/>
          <w:bCs/>
        </w:rPr>
        <w:t>3、降低地下水受污染风险的措施</w:t>
      </w:r>
    </w:p>
    <w:p>
      <w:pPr>
        <w:pStyle w:val="7"/>
        <w:ind w:firstLine="480"/>
      </w:pPr>
      <w:r>
        <w:rPr>
          <w:rFonts w:hint="eastAsia"/>
        </w:rPr>
        <w:t>为降低地下水受污染的风险，在污水处理站、天然气站、氯气站、危废暂存间、事故水池、原材料库、加工车间、货场、成品仓库、综合站房等区域做好防渗措施的基础上，还应加强污废水、固废的收集管理，采取分类贮存、架空贮存等措施，降低地下水受污染风险的措施主要有：</w:t>
      </w:r>
    </w:p>
    <w:p>
      <w:pPr>
        <w:pStyle w:val="7"/>
        <w:ind w:firstLine="480"/>
      </w:pPr>
      <w:r>
        <w:rPr>
          <w:rFonts w:hint="eastAsia"/>
        </w:rPr>
        <w:t>①运行过程中，加强污废水、固废的收集管理，采取分类贮存措施，严禁一般固废与危险废物混合贮存；</w:t>
      </w:r>
    </w:p>
    <w:p>
      <w:pPr>
        <w:pStyle w:val="7"/>
        <w:ind w:firstLine="480"/>
      </w:pPr>
      <w:r>
        <w:rPr>
          <w:rFonts w:hint="eastAsia"/>
        </w:rPr>
        <w:t>②各车间、储存仓库的屋顶须做好密封，定期检查，对破损部位及时进行修补，避免降雨对车间地面、堆存物品的淋漓；</w:t>
      </w:r>
    </w:p>
    <w:p>
      <w:pPr>
        <w:pStyle w:val="7"/>
        <w:ind w:firstLine="480"/>
      </w:pPr>
      <w:r>
        <w:rPr>
          <w:rFonts w:hint="eastAsia"/>
        </w:rPr>
        <w:t>③定期（1次/月）对车间、储存仓库地面进行冲洗，严禁污废水或固废长时间停留；</w:t>
      </w:r>
    </w:p>
    <w:p>
      <w:pPr>
        <w:pStyle w:val="7"/>
        <w:ind w:firstLine="480"/>
      </w:pPr>
      <w:r>
        <w:rPr>
          <w:rFonts w:hint="eastAsia"/>
        </w:rPr>
        <w:t>④定期清掏和清洗污水处理站中各池子、化粪池，并检查其底部和侧壁的破损情况，并拍照、保存和记录；其清掏和清洗频率应不低于1次/3年。</w:t>
      </w:r>
    </w:p>
    <w:p>
      <w:pPr>
        <w:pStyle w:val="7"/>
        <w:ind w:firstLine="482"/>
        <w:rPr>
          <w:b/>
          <w:bCs/>
        </w:rPr>
      </w:pPr>
      <w:r>
        <w:rPr>
          <w:rFonts w:hint="eastAsia"/>
          <w:b/>
          <w:bCs/>
        </w:rPr>
        <w:t>4、地下水污染监控措施</w:t>
      </w:r>
    </w:p>
    <w:p>
      <w:pPr>
        <w:pStyle w:val="7"/>
        <w:ind w:firstLine="480"/>
      </w:pPr>
      <w:r>
        <w:rPr>
          <w:rFonts w:hint="eastAsia"/>
        </w:rPr>
        <w:t>建立项目区的地下水环境监控体系，包括建立污废水渗漏检测、地下水监控制度和环境管理体系、制定监测计划、配备必要的检测仪器和设备，以便及时发现问题，及时采取措施。</w:t>
      </w:r>
    </w:p>
    <w:p>
      <w:pPr>
        <w:pStyle w:val="7"/>
        <w:ind w:firstLine="480"/>
      </w:pPr>
      <w:r>
        <w:rPr>
          <w:rFonts w:hint="eastAsia"/>
        </w:rPr>
        <w:t>本项目厂区所在区域地下水部分往南侧听湖及南东侧径流排泄进入听湖水库，部分向北东方向径流排泄进入公革河。为监控地下水环境受污染情况，本项目将依托现有的水井作为本项目地下跟踪监控井，其中位于地下水侧方向的监测井为：GW5(碧云村民井)，地下水下游的监测井为：GW1(小听湖民井)、GW6(布标民井)、GW7(柏布榔民井)。</w:t>
      </w:r>
    </w:p>
    <w:p>
      <w:pPr>
        <w:pStyle w:val="7"/>
        <w:ind w:firstLine="480"/>
      </w:pPr>
      <w:r>
        <w:rPr>
          <w:rFonts w:hint="eastAsia"/>
        </w:rPr>
        <w:t>各跟踪监测井每年监测两次（丰、枯水期各1次），监测因子为：pH、总硬度、溶解性总固体、硫酸盐、氯化物、挥发性酚类、阴离子表面活性剂、耗氧量、氨氮、硫化物、亚硝酸盐、硝酸盐、氰化物、氟化物。</w:t>
      </w:r>
    </w:p>
    <w:p>
      <w:pPr>
        <w:pStyle w:val="7"/>
        <w:ind w:firstLine="482"/>
        <w:rPr>
          <w:b/>
          <w:bCs/>
        </w:rPr>
      </w:pPr>
      <w:r>
        <w:rPr>
          <w:rFonts w:hint="eastAsia"/>
          <w:b/>
          <w:bCs/>
        </w:rPr>
        <w:t>5、应急处理措施</w:t>
      </w:r>
    </w:p>
    <w:p>
      <w:pPr>
        <w:pStyle w:val="7"/>
        <w:ind w:firstLine="480"/>
      </w:pPr>
      <w:r>
        <w:rPr>
          <w:rFonts w:hint="eastAsia"/>
        </w:rPr>
        <w:t>①应急预案</w:t>
      </w:r>
    </w:p>
    <w:p>
      <w:pPr>
        <w:pStyle w:val="7"/>
        <w:ind w:firstLine="480"/>
      </w:pPr>
      <w:r>
        <w:rPr>
          <w:rFonts w:hint="eastAsia"/>
        </w:rPr>
        <w:t>企业应按国家、地方及行业相关规范要求，制定地下水污染应急预案，并在发现污废水或固废泄漏时立刻启动应急预案，采取应急措施阻止污染物泄漏和扩散，降低地下水受污染程度。地下水污染应急预案应包括以下要点：如污废水或固废泄漏时，应立即向公司环保部门及行政管理部门报告，调查并确认污染源位置；采取有效措施及时阻断确认的污染源，防止污染物继续渗漏到地下，导致土壤和地下水受污染范围扩大；对泄漏至地面的污染物及时进行清理；制定定期对污水处理站中各池子、化粪池等池子进行清掏和清洗，检查底部及侧壁防渗层破损情况等的计划和实施方案。</w:t>
      </w:r>
    </w:p>
    <w:p>
      <w:pPr>
        <w:pStyle w:val="7"/>
        <w:ind w:firstLine="480"/>
      </w:pPr>
      <w:r>
        <w:rPr>
          <w:rFonts w:hint="eastAsia"/>
        </w:rPr>
        <w:t>②应急措施</w:t>
      </w:r>
    </w:p>
    <w:p>
      <w:pPr>
        <w:pStyle w:val="7"/>
        <w:ind w:firstLine="480"/>
      </w:pPr>
      <w:r>
        <w:rPr>
          <w:rFonts w:hint="eastAsia"/>
        </w:rPr>
        <w:t>（a）厂区地面的防渗层或污废水输送管道等出现破损或破裂时，应及时对其进行修补，避免污废水发生渗漏。</w:t>
      </w:r>
    </w:p>
    <w:p>
      <w:pPr>
        <w:pStyle w:val="7"/>
        <w:ind w:firstLine="480"/>
      </w:pPr>
      <w:r>
        <w:rPr>
          <w:rFonts w:hint="eastAsia"/>
        </w:rPr>
        <w:t>（b）初期雨水收集池、隔油池、化粪池等若发生渗漏时，应及时对破损部位进行修补，杜绝形成持续的污染源。</w:t>
      </w:r>
    </w:p>
    <w:p>
      <w:pPr>
        <w:pStyle w:val="7"/>
        <w:ind w:firstLine="480"/>
      </w:pPr>
      <w:r>
        <w:rPr>
          <w:rFonts w:hint="eastAsia"/>
        </w:rPr>
        <w:t>（c）厂区内的各车间、储存仓库等应避免雨淋，屋顶或地面防渗层若出现破损须及时进行修补。</w:t>
      </w:r>
    </w:p>
    <w:p>
      <w:pPr>
        <w:pStyle w:val="7"/>
        <w:ind w:firstLine="480"/>
      </w:pPr>
      <w:r>
        <w:rPr>
          <w:rFonts w:hint="eastAsia"/>
        </w:rPr>
        <w:t>（d）对厂区内泄漏至地面的污染物，须及时进行清理并妥善处置。</w:t>
      </w:r>
    </w:p>
    <w:p>
      <w:pPr>
        <w:pStyle w:val="8"/>
      </w:pPr>
      <w:r>
        <w:rPr>
          <w:rFonts w:hint="eastAsia"/>
          <w:lang w:val="en-US" w:eastAsia="zh-CN"/>
        </w:rPr>
        <w:t>9</w:t>
      </w:r>
      <w:r>
        <w:rPr>
          <w:rFonts w:hint="eastAsia"/>
        </w:rPr>
        <w:t>.2.4噪声治理措施及技术分析</w:t>
      </w:r>
    </w:p>
    <w:p>
      <w:pPr>
        <w:pStyle w:val="7"/>
        <w:ind w:firstLine="480"/>
      </w:pPr>
      <w:r>
        <w:rPr>
          <w:rFonts w:hint="eastAsia"/>
        </w:rPr>
        <w:t>本项目生产线的噪声源包括铸造机、锯切机、铝灰分离机、风机等，噪声的声压级在75～95dB(A)之间，均布置于生产车间内。项目拟采取噪声治理措施如下：</w:t>
      </w:r>
    </w:p>
    <w:p>
      <w:pPr>
        <w:pStyle w:val="7"/>
        <w:ind w:firstLine="480"/>
      </w:pPr>
      <w:r>
        <w:rPr>
          <w:rFonts w:hint="eastAsia"/>
        </w:rPr>
        <w:t>（1）在工艺设备选型时，应尽可能选用低噪声设备，并对发声设备采取防震、消声、隔音措施。</w:t>
      </w:r>
    </w:p>
    <w:p>
      <w:pPr>
        <w:pStyle w:val="7"/>
        <w:ind w:firstLine="480"/>
      </w:pPr>
      <w:r>
        <w:rPr>
          <w:rFonts w:hint="eastAsia"/>
        </w:rPr>
        <w:t>（2）建议在项目实施过程中对车间内高低音设备合理布置，将高噪声设备尽量布置在车间中央，加强生产车间厂房的隔声效果。</w:t>
      </w:r>
    </w:p>
    <w:p>
      <w:pPr>
        <w:pStyle w:val="7"/>
        <w:ind w:firstLine="480"/>
      </w:pPr>
      <w:r>
        <w:rPr>
          <w:rFonts w:hint="eastAsia"/>
        </w:rPr>
        <w:t>（3）加强厂区绿化，在厂界区内侧种植高大常绿树种，车间周围加大绿化力度，从而最大限度地衰减噪声。</w:t>
      </w:r>
    </w:p>
    <w:p>
      <w:pPr>
        <w:pStyle w:val="7"/>
        <w:ind w:firstLine="480"/>
      </w:pPr>
      <w:r>
        <w:rPr>
          <w:rFonts w:hint="eastAsia"/>
        </w:rPr>
        <w:t>通过以上各项噪声控制措施，本项目噪声能够得到有效控制，控制措施在技术上是可行的。</w:t>
      </w:r>
    </w:p>
    <w:p>
      <w:pPr>
        <w:pStyle w:val="8"/>
      </w:pPr>
      <w:r>
        <w:rPr>
          <w:rFonts w:hint="eastAsia"/>
          <w:lang w:val="en-US" w:eastAsia="zh-CN"/>
        </w:rPr>
        <w:t>9</w:t>
      </w:r>
      <w:r>
        <w:rPr>
          <w:rFonts w:hint="eastAsia"/>
        </w:rPr>
        <w:t>.2.5固废治理措施及技术分析</w:t>
      </w:r>
    </w:p>
    <w:p>
      <w:pPr>
        <w:pStyle w:val="7"/>
        <w:ind w:firstLine="480"/>
      </w:pPr>
      <w:r>
        <w:rPr>
          <w:rFonts w:hint="eastAsia"/>
        </w:rPr>
        <w:t>建设项目产生的固体废物主要包括危险废物、一般工业固体废物和生活垃圾。</w:t>
      </w:r>
    </w:p>
    <w:p>
      <w:pPr>
        <w:pStyle w:val="7"/>
        <w:ind w:firstLine="480"/>
      </w:pPr>
      <w:r>
        <w:rPr>
          <w:rFonts w:hint="eastAsia"/>
        </w:rPr>
        <w:t>一般固废包括：废过滤板、不合格产品、下脚料、废包装物、生活垃圾、初期雨水收集池和圆铸锭循环冷却水池污泥、铸轧板循环水池污泥。废过滤板由更换厂家回收处置；不合格产品经集中收集后作为原材料回用；下脚料经集中收集后作为原材料回用；废包装物经收集后作外售处理；生活垃圾收入垃圾箱由环卫部门定期清理；初期雨水收集池和圆铸锭循环冷却水池污泥、铸轧板循环水池污泥由环卫部门定期统一清理，按照一般工业固废处置要求进行处理。</w:t>
      </w:r>
    </w:p>
    <w:p>
      <w:pPr>
        <w:pStyle w:val="7"/>
        <w:ind w:firstLine="480"/>
      </w:pPr>
      <w:r>
        <w:rPr>
          <w:rFonts w:hint="eastAsia"/>
        </w:rPr>
        <w:t>危险废物包括：铝灰、熔保炉除尘系统收集尘、废润滑油、废机油、废酸液、废碱液、污水处理站油渣。铝灰危废类别：HW48有色金属冶炼废物，危废代码：</w:t>
      </w:r>
      <w:r>
        <w:t>321-024-48</w:t>
      </w:r>
      <w:r>
        <w:rPr>
          <w:rFonts w:hint="eastAsia"/>
        </w:rPr>
        <w:t>，交由具有此类危险废物处置资质的公司进行处理。除尘系统</w:t>
      </w:r>
      <w:r>
        <w:t>收集尘</w:t>
      </w:r>
      <w:r>
        <w:rPr>
          <w:rFonts w:hint="eastAsia"/>
        </w:rPr>
        <w:t>危废类别：HW48有色金属冶炼废物，危废代码：</w:t>
      </w:r>
      <w:r>
        <w:t>321-0</w:t>
      </w:r>
      <w:r>
        <w:rPr>
          <w:rFonts w:hint="eastAsia"/>
        </w:rPr>
        <w:t>3</w:t>
      </w:r>
      <w:r>
        <w:t>4-48</w:t>
      </w:r>
      <w:r>
        <w:rPr>
          <w:rFonts w:hint="eastAsia"/>
        </w:rPr>
        <w:t>，交由具有此类危险废物处置资质的公司进行处理。废润滑油、废机油危废类别：HW08废矿物油与含矿物油废物，危废代码：</w:t>
      </w:r>
      <w:r>
        <w:t>900-214-08</w:t>
      </w:r>
      <w:r>
        <w:rPr>
          <w:rFonts w:hint="eastAsia"/>
        </w:rPr>
        <w:t>，更换后采用桶装暂存于危废暂存间内，委托具有此类危险废物处置资质的公司进行处理。污水处理站油渣危废类别：HW08废矿物油与含矿物油废物，危废代码：900-210-08，收集后暂存于危废暂存间内，委托具有此类危险废物处置资质的公司进行处理。废酸液危废类别：HW34 废酸，危废代码：900-300-34使用酸进行清洗产生的废酸液；废碱液危废类别：HW35 其他废物，危废代码：900-352-35使用碱进行清洗产生的废碱液；废酸液、废碱液收集后交由具有此类危险废物处置资质的公司进行处理。</w:t>
      </w:r>
    </w:p>
    <w:p>
      <w:pPr>
        <w:spacing w:line="360" w:lineRule="auto"/>
        <w:ind w:firstLine="480"/>
        <w:rPr>
          <w:b/>
          <w:bCs/>
        </w:rPr>
      </w:pPr>
      <w:r>
        <w:rPr>
          <w:rFonts w:hint="eastAsia"/>
          <w:b/>
          <w:bCs/>
        </w:rPr>
        <w:t>1、</w:t>
      </w:r>
      <w:r>
        <w:rPr>
          <w:b/>
          <w:bCs/>
        </w:rPr>
        <w:t>一般固体废弃物处置措施</w:t>
      </w:r>
    </w:p>
    <w:p>
      <w:pPr>
        <w:spacing w:line="360" w:lineRule="auto"/>
        <w:ind w:firstLine="480"/>
      </w:pPr>
      <w:r>
        <w:t>项目在厂区设置了一个面积为</w:t>
      </w:r>
      <w:r>
        <w:rPr>
          <w:rFonts w:hint="eastAsia"/>
        </w:rPr>
        <w:t>10</w:t>
      </w:r>
      <w:r>
        <w:t>0m</w:t>
      </w:r>
      <w:r>
        <w:rPr>
          <w:vertAlign w:val="superscript"/>
        </w:rPr>
        <w:t>2</w:t>
      </w:r>
      <w:r>
        <w:t>的一般固废暂存间，按照</w:t>
      </w:r>
      <w:r>
        <w:rPr>
          <w:rFonts w:hint="eastAsia"/>
        </w:rPr>
        <w:t>《一般工业固体废物贮存和填埋污染控制标准》（GB18599-2020）要求</w:t>
      </w:r>
      <w:r>
        <w:t>进行建设，外售综合利用的固废在一般固废暂存间暂存。</w:t>
      </w:r>
    </w:p>
    <w:p>
      <w:pPr>
        <w:spacing w:line="360" w:lineRule="auto"/>
        <w:ind w:firstLine="480"/>
        <w:rPr>
          <w:b/>
          <w:bCs/>
        </w:rPr>
      </w:pPr>
      <w:r>
        <w:rPr>
          <w:rFonts w:hint="eastAsia"/>
          <w:b/>
          <w:bCs/>
        </w:rPr>
        <w:t>2、</w:t>
      </w:r>
      <w:r>
        <w:rPr>
          <w:b/>
          <w:bCs/>
        </w:rPr>
        <w:t>危险废物处置措施</w:t>
      </w:r>
    </w:p>
    <w:p>
      <w:pPr>
        <w:spacing w:line="360" w:lineRule="auto"/>
        <w:ind w:firstLine="480"/>
      </w:pPr>
      <w:r>
        <w:rPr>
          <w:rFonts w:hint="eastAsia"/>
        </w:rPr>
        <w:t>设置危险废物暂存间，面积为200m</w:t>
      </w:r>
      <w:r>
        <w:rPr>
          <w:rFonts w:hint="eastAsia"/>
          <w:vertAlign w:val="superscript"/>
        </w:rPr>
        <w:t>2</w:t>
      </w:r>
      <w:r>
        <w:rPr>
          <w:rFonts w:hint="eastAsia"/>
        </w:rPr>
        <w:t>，位于一期工程铝灰分离车间南侧，主要暂存铝灰及除尘装置布袋收尘</w:t>
      </w:r>
      <w:r>
        <w:t>，按照《危险废物贮存污染控制标准》（GB18597-2001）及其修改单的要求进行建设。</w:t>
      </w:r>
    </w:p>
    <w:p>
      <w:pPr>
        <w:spacing w:line="360" w:lineRule="auto"/>
        <w:ind w:firstLine="480"/>
        <w:rPr>
          <w:kern w:val="0"/>
        </w:rPr>
      </w:pPr>
      <w:r>
        <w:rPr>
          <w:rFonts w:hint="eastAsia"/>
          <w:kern w:val="0"/>
        </w:rPr>
        <w:t>危废暂存库需严格按照《危险废物贮存污染控制标准》的要求设计，做好防雨、防渗，防止二次污染。地面采用坚固、防渗、耐腐蚀的材料建造，并设计有堵截泄露的裙脚等设施。库内废物定期由有资质单位的专业运输车辆运输。</w:t>
      </w:r>
    </w:p>
    <w:p>
      <w:pPr>
        <w:spacing w:line="360" w:lineRule="auto"/>
        <w:ind w:firstLine="480"/>
        <w:rPr>
          <w:b/>
          <w:bCs/>
          <w:kern w:val="0"/>
        </w:rPr>
      </w:pPr>
      <w:r>
        <w:rPr>
          <w:rFonts w:hint="eastAsia"/>
          <w:b/>
          <w:bCs/>
          <w:kern w:val="0"/>
        </w:rPr>
        <w:t>3、危险废弃物的收集和管理</w:t>
      </w:r>
    </w:p>
    <w:p>
      <w:pPr>
        <w:spacing w:line="360" w:lineRule="auto"/>
        <w:ind w:firstLine="480"/>
        <w:rPr>
          <w:kern w:val="0"/>
        </w:rPr>
      </w:pPr>
      <w:r>
        <w:rPr>
          <w:rFonts w:hint="eastAsia"/>
          <w:kern w:val="0"/>
        </w:rPr>
        <w:t>对危险废弃物的收集和管理，需采取以下措施：</w:t>
      </w:r>
    </w:p>
    <w:p>
      <w:pPr>
        <w:spacing w:line="360" w:lineRule="auto"/>
        <w:ind w:firstLine="480"/>
        <w:rPr>
          <w:kern w:val="0"/>
        </w:rPr>
      </w:pPr>
      <w:r>
        <w:rPr>
          <w:rFonts w:hint="eastAsia" w:ascii="宋体" w:hAnsi="宋体" w:cs="宋体"/>
          <w:kern w:val="0"/>
        </w:rPr>
        <w:t>①</w:t>
      </w:r>
      <w:r>
        <w:rPr>
          <w:rFonts w:hint="eastAsia"/>
          <w:kern w:val="0"/>
        </w:rPr>
        <w:t>废弃物存放于相应的专用容器中，并贴上废弃物分类专用标签，临时堆放在危险废弃物库房中，累计一定数量后由有资质单位统一运输。</w:t>
      </w:r>
    </w:p>
    <w:p>
      <w:pPr>
        <w:spacing w:line="360" w:lineRule="auto"/>
        <w:ind w:firstLine="480"/>
        <w:rPr>
          <w:kern w:val="0"/>
        </w:rPr>
      </w:pPr>
      <w:r>
        <w:rPr>
          <w:rFonts w:hint="eastAsia" w:ascii="宋体" w:hAnsi="宋体" w:cs="宋体"/>
          <w:kern w:val="0"/>
        </w:rPr>
        <w:t>②</w:t>
      </w:r>
      <w:r>
        <w:rPr>
          <w:rFonts w:hint="eastAsia"/>
          <w:kern w:val="0"/>
        </w:rPr>
        <w:t>危险废物全部暂存于危险暂存库内，做到防雨、防渗。</w:t>
      </w:r>
    </w:p>
    <w:p>
      <w:pPr>
        <w:spacing w:line="360" w:lineRule="auto"/>
        <w:ind w:firstLine="480"/>
        <w:rPr>
          <w:kern w:val="0"/>
        </w:rPr>
      </w:pPr>
      <w:r>
        <w:rPr>
          <w:rFonts w:hint="eastAsia" w:ascii="宋体" w:hAnsi="宋体" w:cs="宋体"/>
          <w:kern w:val="0"/>
        </w:rPr>
        <w:t>③</w:t>
      </w:r>
      <w:r>
        <w:rPr>
          <w:rFonts w:hint="eastAsia"/>
          <w:kern w:val="0"/>
        </w:rPr>
        <w:t>危险废弃物暂存库地面基础必须防渗。</w:t>
      </w:r>
    </w:p>
    <w:p>
      <w:pPr>
        <w:spacing w:line="360" w:lineRule="auto"/>
        <w:ind w:firstLine="480"/>
        <w:rPr>
          <w:kern w:val="0"/>
        </w:rPr>
      </w:pPr>
      <w:r>
        <w:rPr>
          <w:rFonts w:hint="eastAsia"/>
          <w:kern w:val="0"/>
        </w:rPr>
        <w:t>上述危险废弃物的收集和管理，公司需派专人负责，各种废弃物的储存容器都有很好的密封性，危废暂存间按照《危险废物贮存污染控制标准》（</w:t>
      </w:r>
      <w:r>
        <w:rPr>
          <w:kern w:val="0"/>
        </w:rPr>
        <w:t>GB18597-2001</w:t>
      </w:r>
      <w:r>
        <w:rPr>
          <w:rFonts w:hint="eastAsia"/>
          <w:kern w:val="0"/>
        </w:rPr>
        <w:t>）相关要求进行防渗，防漏处理，安全可靠，不会受到风雨侵蚀，可有效地防止临时存放过程中的二次污染。</w:t>
      </w:r>
    </w:p>
    <w:p>
      <w:pPr>
        <w:spacing w:line="360" w:lineRule="auto"/>
        <w:ind w:firstLine="480"/>
        <w:rPr>
          <w:kern w:val="0"/>
        </w:rPr>
      </w:pPr>
      <w:r>
        <w:rPr>
          <w:rFonts w:hint="eastAsia"/>
          <w:kern w:val="0"/>
        </w:rPr>
        <w:t>根据相关规定，在危险废弃物外运至处置单位时必须严格遵守以下要求：</w:t>
      </w:r>
    </w:p>
    <w:p>
      <w:pPr>
        <w:spacing w:line="360" w:lineRule="auto"/>
        <w:ind w:firstLine="480"/>
        <w:rPr>
          <w:kern w:val="0"/>
        </w:rPr>
      </w:pPr>
      <w:r>
        <w:rPr>
          <w:kern w:val="0"/>
        </w:rPr>
        <w:t>1</w:t>
      </w:r>
      <w:r>
        <w:rPr>
          <w:rFonts w:hint="eastAsia"/>
          <w:kern w:val="0"/>
        </w:rPr>
        <w:t>）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w:t>
      </w:r>
      <w:r>
        <w:rPr>
          <w:rFonts w:hint="eastAsia"/>
          <w:kern w:val="0"/>
          <w:lang w:eastAsia="zh-CN"/>
        </w:rPr>
        <w:t>接收单位</w:t>
      </w:r>
      <w:r>
        <w:rPr>
          <w:rFonts w:hint="eastAsia"/>
          <w:kern w:val="0"/>
        </w:rPr>
        <w:t>，第五联交</w:t>
      </w:r>
      <w:r>
        <w:rPr>
          <w:rFonts w:hint="eastAsia"/>
          <w:kern w:val="0"/>
          <w:lang w:eastAsia="zh-CN"/>
        </w:rPr>
        <w:t>接收</w:t>
      </w:r>
      <w:r>
        <w:rPr>
          <w:rFonts w:hint="eastAsia"/>
          <w:kern w:val="0"/>
        </w:rPr>
        <w:t>地环保局。</w:t>
      </w:r>
    </w:p>
    <w:p>
      <w:pPr>
        <w:spacing w:line="360" w:lineRule="auto"/>
        <w:ind w:firstLine="480"/>
        <w:rPr>
          <w:kern w:val="0"/>
        </w:rPr>
      </w:pPr>
      <w:r>
        <w:rPr>
          <w:kern w:val="0"/>
        </w:rPr>
        <w:t>2</w:t>
      </w:r>
      <w:r>
        <w:rPr>
          <w:rFonts w:hint="eastAsia"/>
          <w:kern w:val="0"/>
        </w:rPr>
        <w:t>）废弃物处置单位的运输人员必须掌握危险化学品运输的安全知识，了解所运载的危险化学品的性质、危险特性、包装容器的使用特性和发生意外时的应急措施。运输车辆必须具有车辆危险货物运输许可证。</w:t>
      </w:r>
    </w:p>
    <w:p>
      <w:pPr>
        <w:spacing w:line="360" w:lineRule="auto"/>
        <w:ind w:firstLine="480"/>
        <w:rPr>
          <w:kern w:val="0"/>
        </w:rPr>
      </w:pPr>
      <w:r>
        <w:rPr>
          <w:kern w:val="0"/>
        </w:rPr>
        <w:t>3</w:t>
      </w:r>
      <w:r>
        <w:rPr>
          <w:rFonts w:hint="eastAsia"/>
          <w:kern w:val="0"/>
        </w:rPr>
        <w:t>）处置单位在运输危险废弃物时必须配备押运人员，并随时处于押运人员的监管之下，不得超载，严格按照所在城市规定的行车时间和行车路线行驶，不得进入危险化学品运输车辆禁止通行的区域。</w:t>
      </w:r>
    </w:p>
    <w:p>
      <w:pPr>
        <w:spacing w:line="360" w:lineRule="auto"/>
        <w:ind w:firstLine="480"/>
        <w:rPr>
          <w:kern w:val="0"/>
        </w:rPr>
      </w:pPr>
      <w:r>
        <w:rPr>
          <w:kern w:val="0"/>
        </w:rPr>
        <w:t>4</w:t>
      </w:r>
      <w:r>
        <w:rPr>
          <w:rFonts w:hint="eastAsia"/>
          <w:kern w:val="0"/>
        </w:rPr>
        <w:t>）危险废弃物在运输途中若发生被盗、丢失、流散、泄露等情况时，公司及押运人员必须立即向当地公安部门报告，并采取一切可能的警示措施。</w:t>
      </w:r>
    </w:p>
    <w:p>
      <w:pPr>
        <w:spacing w:line="360" w:lineRule="auto"/>
        <w:ind w:firstLine="480"/>
        <w:rPr>
          <w:kern w:val="0"/>
        </w:rPr>
      </w:pPr>
      <w:r>
        <w:rPr>
          <w:kern w:val="0"/>
        </w:rPr>
        <w:t>5</w:t>
      </w:r>
      <w:r>
        <w:rPr>
          <w:rFonts w:hint="eastAsia"/>
          <w:kern w:val="0"/>
        </w:rPr>
        <w:t>）一旦发生废弃物泄露事故，公司和废弃物处置单位都应积极协助有关部门采取必要的防治措施，减少事故损失，防治事故蔓延、扩大；针对事故对人体、动植物、土壤、水源、空气造成的现实危害和可能产生的危害，应迅速采取封闭、隔离、洗消等措施，并对事故造成的危害进行监测、处置，直至符合国家环境保护标准。</w:t>
      </w:r>
    </w:p>
    <w:p>
      <w:pPr>
        <w:spacing w:line="360" w:lineRule="auto"/>
        <w:ind w:firstLine="480"/>
        <w:rPr>
          <w:b/>
          <w:bCs/>
        </w:rPr>
      </w:pPr>
      <w:r>
        <w:rPr>
          <w:rFonts w:hint="eastAsia"/>
          <w:b/>
          <w:bCs/>
        </w:rPr>
        <w:t>4、</w:t>
      </w:r>
      <w:r>
        <w:rPr>
          <w:b/>
          <w:bCs/>
        </w:rPr>
        <w:t>生活垃圾</w:t>
      </w:r>
    </w:p>
    <w:p>
      <w:pPr>
        <w:pStyle w:val="2"/>
        <w:spacing w:line="360" w:lineRule="auto"/>
        <w:ind w:left="0" w:leftChars="0" w:firstLine="480"/>
      </w:pPr>
      <w:r>
        <w:t>生活垃圾袋装收集、日产日清，交环卫部门处理。污泥定期清掏，交由环卫部门处理</w:t>
      </w:r>
      <w:r>
        <w:rPr>
          <w:rFonts w:hint="eastAsia"/>
        </w:rPr>
        <w:t>，按照一般工业固废处置要求进行处理</w:t>
      </w:r>
      <w:r>
        <w:t>。</w:t>
      </w:r>
    </w:p>
    <w:p>
      <w:pPr>
        <w:pStyle w:val="8"/>
      </w:pPr>
      <w:r>
        <w:rPr>
          <w:rFonts w:hint="eastAsia"/>
          <w:lang w:val="en-US" w:eastAsia="zh-CN"/>
        </w:rPr>
        <w:t>9</w:t>
      </w:r>
      <w:r>
        <w:rPr>
          <w:rFonts w:hint="eastAsia"/>
        </w:rPr>
        <w:t>.2.6生态保护措施</w:t>
      </w:r>
    </w:p>
    <w:p>
      <w:pPr>
        <w:pStyle w:val="7"/>
        <w:ind w:firstLine="480"/>
      </w:pPr>
      <w:r>
        <w:rPr>
          <w:rFonts w:hint="eastAsia"/>
        </w:rPr>
        <w:t>加强项目区内绿化的建设，但应注意在项目绿化过程中应优先选择乡土物种，不得引进外来物种，以免物种入侵情况的发生。</w:t>
      </w:r>
    </w:p>
    <w:p>
      <w:pPr>
        <w:pStyle w:val="8"/>
      </w:pPr>
      <w:r>
        <w:rPr>
          <w:rFonts w:hint="eastAsia"/>
          <w:lang w:val="en-US" w:eastAsia="zh-CN"/>
        </w:rPr>
        <w:t>9</w:t>
      </w:r>
      <w:r>
        <w:rPr>
          <w:rFonts w:hint="eastAsia"/>
        </w:rPr>
        <w:t>.2.7环境风险事故防控和应急措施</w:t>
      </w:r>
    </w:p>
    <w:p>
      <w:pPr>
        <w:pStyle w:val="7"/>
        <w:ind w:firstLine="480"/>
      </w:pPr>
      <w:r>
        <w:rPr>
          <w:rFonts w:hint="eastAsia"/>
        </w:rPr>
        <w:t>1、加强消防安全教育培训</w:t>
      </w:r>
    </w:p>
    <w:p>
      <w:pPr>
        <w:pStyle w:val="7"/>
        <w:ind w:firstLine="480"/>
      </w:pPr>
      <w:r>
        <w:rPr>
          <w:rFonts w:hint="eastAsia"/>
        </w:rPr>
        <w:t>每年以创办消防知识宣传栏、开展知识竞赛等多种形式，提高全体员工的消防安全；定期组织员工学习消防法规和各项规章制度，做到依法治火；对消防设施维护保养和使用人员应进行实地演示和培训；对新员工进行岗前消防培训，经考试合格后方可上岗。</w:t>
      </w:r>
    </w:p>
    <w:p>
      <w:pPr>
        <w:pStyle w:val="7"/>
        <w:ind w:firstLine="480"/>
      </w:pPr>
      <w:r>
        <w:rPr>
          <w:rFonts w:hint="eastAsia"/>
        </w:rPr>
        <w:t>2、加强防火巡查检查：落实逐级消防安全责任制和岗位消防安全责任制，落实巡查检查制度；每月对单位进行一次防火检查并复查追踪改善，检查中发现火灾隐患，检查人员应填写防火检查记录；检查部门应将检查情况及时通知受检部门，各部门负责人应每日消防安全检查情况通知，若发现本单位存在火灾隐患，应及时整改。</w:t>
      </w:r>
    </w:p>
    <w:p>
      <w:pPr>
        <w:pStyle w:val="7"/>
        <w:ind w:firstLine="480"/>
      </w:pPr>
      <w:r>
        <w:rPr>
          <w:rFonts w:hint="eastAsia"/>
        </w:rPr>
        <w:t>3、加强安全疏散设施管理：单位应保持疏散通道、安全出口畅通，严禁占用疏散通道，严禁在安全出口或疏散通道上安装栅栏等影响疏散的障碍物；应按规范设置符合国家规定的消防安全疏散指示标志和应急照明设施；应保持防火门、消防安全疏散指示标志、应急照明、机械排烟送风、火灾事故广播等设施处于正常状态，并定期组织检查、测试、维护和保养；严禁在营业或工作期间将安全出口上锁。</w:t>
      </w:r>
    </w:p>
    <w:p>
      <w:pPr>
        <w:pStyle w:val="7"/>
        <w:ind w:firstLine="480"/>
      </w:pPr>
      <w:r>
        <w:rPr>
          <w:rFonts w:hint="eastAsia"/>
        </w:rPr>
        <w:t>4、加强消防设施、器材维护管理：每年在冬防、夏防期间定期两次对灭火器进行普查换药。派专人管理，定期巡查消防器材，包括烟、温感报警系统、消防水泵、喷淋水泵、水幕水泵、正压送风、防排烟系统及室内消火栓等，保证处于完好状态。</w:t>
      </w:r>
    </w:p>
    <w:p>
      <w:pPr>
        <w:pStyle w:val="7"/>
        <w:ind w:firstLine="480"/>
      </w:pPr>
      <w:r>
        <w:rPr>
          <w:rFonts w:hint="eastAsia"/>
        </w:rPr>
        <w:t>5、在氯气站内设置氯气吸收装置1套及50m</w:t>
      </w:r>
      <w:r>
        <w:rPr>
          <w:rFonts w:hint="eastAsia"/>
          <w:vertAlign w:val="superscript"/>
        </w:rPr>
        <w:t>3</w:t>
      </w:r>
      <w:r>
        <w:rPr>
          <w:rFonts w:hint="eastAsia"/>
        </w:rPr>
        <w:t>事故水池（碱液池）一座，一旦发生氯气泄露，氯气吸收装置会将泄露的氯气收集引入50m</w:t>
      </w:r>
      <w:r>
        <w:rPr>
          <w:rFonts w:hint="eastAsia"/>
          <w:vertAlign w:val="superscript"/>
        </w:rPr>
        <w:t>3</w:t>
      </w:r>
      <w:r>
        <w:rPr>
          <w:rFonts w:hint="eastAsia"/>
        </w:rPr>
        <w:t>事故水池（碱液池）进行吸收处理，防止外排至大气环境。</w:t>
      </w:r>
    </w:p>
    <w:p>
      <w:pPr>
        <w:pStyle w:val="7"/>
        <w:ind w:firstLine="480"/>
        <w:rPr>
          <w:rStyle w:val="53"/>
        </w:rPr>
      </w:pPr>
      <w:r>
        <w:rPr>
          <w:rFonts w:hint="eastAsia"/>
        </w:rPr>
        <w:t>6、在液氯贮罐区周边设0.5m的事故围堰，围堰内有效容积约90m</w:t>
      </w:r>
      <w:r>
        <w:rPr>
          <w:rFonts w:hint="eastAsia"/>
          <w:vertAlign w:val="superscript"/>
        </w:rPr>
        <w:t>3</w:t>
      </w:r>
      <w:r>
        <w:rPr>
          <w:rFonts w:hint="eastAsia"/>
        </w:rPr>
        <w:t>，一旦发生液氯（最大泄露量0.5t，容积约0.61m³）</w:t>
      </w:r>
      <w:r>
        <w:rPr>
          <w:rStyle w:val="53"/>
          <w:rFonts w:hint="eastAsia"/>
        </w:rPr>
        <w:t>泄漏事故，能够有效控制液氯气化面积扩大。</w:t>
      </w:r>
    </w:p>
    <w:p>
      <w:pPr>
        <w:pStyle w:val="7"/>
        <w:ind w:firstLine="480"/>
      </w:pPr>
      <w:r>
        <w:rPr>
          <w:rFonts w:hint="eastAsia"/>
        </w:rPr>
        <w:t>7、在厂区设置一座容积为80m³的事故水池，满足项目事故废水的收集，减小火灾事故状态产生的废水对周围环境的影响较小。项目事故状态下产生的废水排入事故池内收集，外运至有处理能力的污水处理设施处理，不外排。</w:t>
      </w:r>
    </w:p>
    <w:p>
      <w:pPr>
        <w:pStyle w:val="7"/>
        <w:ind w:firstLine="480"/>
      </w:pPr>
      <w:r>
        <w:rPr>
          <w:rFonts w:hint="eastAsia"/>
        </w:rPr>
        <w:t>8、铝液运输过程遵循以下要求：</w:t>
      </w:r>
    </w:p>
    <w:p>
      <w:pPr>
        <w:pStyle w:val="7"/>
        <w:ind w:firstLine="480"/>
      </w:pPr>
      <w:r>
        <w:rPr>
          <w:rFonts w:hint="eastAsia"/>
        </w:rPr>
        <w:t>（1）运输专用车辆技术性能符合国家标准《营运车辆综合性能要求和检验方法》（GB18565）的要求，车辆外廓尺寸、轴荷和质量符合国家标准《道路车辆外廓尺寸、轴荷和质量限值》（GB1589）的要求，车辆技术等级达到行业标准《营运车辆技术等级划分和评定要求》（JT/T198）规定的一级技术等级；</w:t>
      </w:r>
    </w:p>
    <w:p>
      <w:pPr>
        <w:pStyle w:val="7"/>
        <w:ind w:firstLine="480"/>
      </w:pPr>
      <w:r>
        <w:rPr>
          <w:rFonts w:hint="eastAsia"/>
        </w:rPr>
        <w:t>（2）运输车辆配备有相适应的安全防护、环境保护和消防设施设备；</w:t>
      </w:r>
    </w:p>
    <w:p>
      <w:pPr>
        <w:pStyle w:val="7"/>
        <w:ind w:firstLine="480"/>
      </w:pPr>
      <w:r>
        <w:rPr>
          <w:rFonts w:hint="eastAsia"/>
        </w:rPr>
        <w:t>（3）车辆安装行驶记录仪或定位系统；</w:t>
      </w:r>
    </w:p>
    <w:p>
      <w:pPr>
        <w:pStyle w:val="7"/>
        <w:ind w:firstLine="480"/>
      </w:pPr>
      <w:r>
        <w:rPr>
          <w:rFonts w:hint="eastAsia"/>
        </w:rPr>
        <w:t>（4）罐式专用车辆的罐体应当经质量检验部门检验合格。运输罐体容积不得超过20立方米。</w:t>
      </w:r>
    </w:p>
    <w:p>
      <w:pPr>
        <w:pStyle w:val="7"/>
        <w:ind w:firstLine="480"/>
      </w:pPr>
      <w:r>
        <w:rPr>
          <w:rFonts w:hint="eastAsia"/>
        </w:rPr>
        <w:t>9、铝液生产过程中风险防范措施：</w:t>
      </w:r>
    </w:p>
    <w:p>
      <w:pPr>
        <w:pStyle w:val="7"/>
        <w:ind w:firstLine="480"/>
      </w:pPr>
      <w:r>
        <w:rPr>
          <w:rFonts w:hint="eastAsia"/>
        </w:rPr>
        <w:t>（1）工具、辅具未经预热干燥，严禁接触铝液，否则会引起铝液爆炸；</w:t>
      </w:r>
    </w:p>
    <w:p>
      <w:pPr>
        <w:pStyle w:val="7"/>
        <w:ind w:firstLine="480"/>
      </w:pPr>
      <w:r>
        <w:rPr>
          <w:rFonts w:hint="eastAsia"/>
        </w:rPr>
        <w:t>（2）任何对铝液操作的员工，都必须穿戴好劳动保护用品；</w:t>
      </w:r>
    </w:p>
    <w:p>
      <w:pPr>
        <w:pStyle w:val="7"/>
        <w:ind w:firstLine="480"/>
      </w:pPr>
      <w:r>
        <w:rPr>
          <w:rFonts w:hint="eastAsia"/>
        </w:rPr>
        <w:t>（3）水溅入铝液可能引起铝液飞溅和爆炸、油溅入铝液会引起火灾；高温铝液管理不当，会造成设备和人身伤亡；</w:t>
      </w:r>
    </w:p>
    <w:p>
      <w:pPr>
        <w:pStyle w:val="7"/>
        <w:ind w:firstLine="480"/>
      </w:pPr>
      <w:r>
        <w:rPr>
          <w:rFonts w:hint="eastAsia"/>
        </w:rPr>
        <w:t>（4）在车间现场指定地点存放干砂，以便铝液泄漏时备用；</w:t>
      </w:r>
    </w:p>
    <w:p>
      <w:pPr>
        <w:pStyle w:val="7"/>
        <w:ind w:firstLine="480"/>
      </w:pPr>
      <w:r>
        <w:rPr>
          <w:rFonts w:hint="eastAsia"/>
        </w:rPr>
        <w:t>（5）制作液位探知棒位置监测工装（图），并每班点检液位探知棒位置及接线，确保液位探知棒安全有效；</w:t>
      </w:r>
    </w:p>
    <w:p>
      <w:pPr>
        <w:pStyle w:val="7"/>
        <w:ind w:firstLine="480"/>
      </w:pPr>
      <w:r>
        <w:rPr>
          <w:rFonts w:hint="eastAsia"/>
        </w:rPr>
        <w:t>（6）设备工作时，严禁操作工随意拔出液位探知棒，液位探知棒不及时放入炉内规定位置会造成铝液液位失控；</w:t>
      </w:r>
    </w:p>
    <w:p>
      <w:pPr>
        <w:pStyle w:val="7"/>
        <w:ind w:firstLine="480"/>
      </w:pPr>
      <w:r>
        <w:rPr>
          <w:rFonts w:hint="eastAsia"/>
        </w:rPr>
        <w:t>（7）发现保温区铝液液位高度异常，有铝液溢出隐患时，立即通知设备主管，同时关闭熔化烧嘴，并准备周转包出铝降低液位．</w:t>
      </w:r>
    </w:p>
    <w:p>
      <w:pPr>
        <w:pStyle w:val="7"/>
        <w:ind w:firstLine="480"/>
      </w:pPr>
      <w:r>
        <w:rPr>
          <w:rFonts w:hint="eastAsia"/>
        </w:rPr>
        <w:t>（8）发现保温区炉门口崩缺，及时汇报主管处理；</w:t>
      </w:r>
    </w:p>
    <w:p>
      <w:pPr>
        <w:pStyle w:val="7"/>
        <w:ind w:firstLine="480"/>
      </w:pPr>
      <w:r>
        <w:rPr>
          <w:rFonts w:hint="eastAsia"/>
        </w:rPr>
        <w:t>（9）出渣室放置渣车，以备少量铝液溢出时接料。</w:t>
      </w:r>
    </w:p>
    <w:p>
      <w:pPr>
        <w:pStyle w:val="7"/>
        <w:ind w:firstLine="480"/>
      </w:pPr>
      <w:r>
        <w:rPr>
          <w:rFonts w:hint="eastAsia"/>
        </w:rPr>
        <w:t>10、建议企业编制专门的应急预案报告，并到环保局进行备案。</w:t>
      </w:r>
    </w:p>
    <w:p>
      <w:pPr>
        <w:pStyle w:val="5"/>
      </w:pPr>
      <w:bookmarkStart w:id="170" w:name="_Toc13621"/>
      <w:bookmarkStart w:id="171" w:name="_Toc21335"/>
      <w:bookmarkStart w:id="172" w:name="_Toc4426"/>
      <w:r>
        <w:rPr>
          <w:rFonts w:hint="eastAsia"/>
          <w:lang w:val="en-US" w:eastAsia="zh-CN"/>
        </w:rPr>
        <w:t>9</w:t>
      </w:r>
      <w:r>
        <w:rPr>
          <w:rFonts w:hint="eastAsia"/>
        </w:rPr>
        <w:t>.3污染防治措施汇总表</w:t>
      </w:r>
      <w:bookmarkEnd w:id="170"/>
      <w:bookmarkEnd w:id="171"/>
      <w:bookmarkEnd w:id="172"/>
    </w:p>
    <w:p>
      <w:pPr>
        <w:pStyle w:val="7"/>
        <w:ind w:firstLine="480"/>
      </w:pPr>
      <w:r>
        <w:rPr>
          <w:rFonts w:hint="eastAsia"/>
        </w:rPr>
        <w:t>拟建项目环境保护措施针对不同的保护对象实施，具体措施的实施时段及内容见下表</w:t>
      </w:r>
      <w:r>
        <w:rPr>
          <w:rFonts w:hint="eastAsia"/>
          <w:lang w:val="en-US" w:eastAsia="zh-CN"/>
        </w:rPr>
        <w:t>9</w:t>
      </w:r>
      <w:r>
        <w:rPr>
          <w:rFonts w:hint="eastAsia"/>
        </w:rPr>
        <w:t>.3-1。</w:t>
      </w:r>
    </w:p>
    <w:p>
      <w:pPr>
        <w:pStyle w:val="31"/>
      </w:pPr>
      <w:r>
        <w:rPr>
          <w:rFonts w:hint="eastAsia"/>
        </w:rPr>
        <w:t>表</w:t>
      </w:r>
      <w:r>
        <w:rPr>
          <w:rFonts w:hint="eastAsia"/>
          <w:lang w:val="en-US" w:eastAsia="zh-CN"/>
        </w:rPr>
        <w:t>9</w:t>
      </w:r>
      <w:r>
        <w:t>.3-</w:t>
      </w:r>
      <w:r>
        <w:rPr>
          <w:rFonts w:hint="eastAsia"/>
        </w:rPr>
        <w:t>1  本项目环境保护措施一览表</w:t>
      </w:r>
    </w:p>
    <w:tbl>
      <w:tblPr>
        <w:tblStyle w:val="27"/>
        <w:tblW w:w="52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73"/>
        <w:gridCol w:w="409"/>
        <w:gridCol w:w="1473"/>
        <w:gridCol w:w="4501"/>
        <w:gridCol w:w="2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tcBorders>
              <w:tl2br w:val="single" w:color="auto" w:sz="4" w:space="0"/>
            </w:tcBorders>
            <w:vAlign w:val="center"/>
          </w:tcPr>
          <w:p>
            <w:pPr>
              <w:pStyle w:val="32"/>
              <w:rPr>
                <w:b/>
                <w:bCs/>
              </w:rPr>
            </w:pPr>
            <w:r>
              <w:rPr>
                <w:b/>
                <w:bCs/>
              </w:rPr>
              <w:t xml:space="preserve"> 内容</w:t>
            </w:r>
          </w:p>
          <w:p>
            <w:pPr>
              <w:pStyle w:val="32"/>
              <w:rPr>
                <w:b/>
                <w:bCs/>
              </w:rPr>
            </w:pPr>
            <w:r>
              <w:rPr>
                <w:b/>
                <w:bCs/>
              </w:rPr>
              <w:t>序号</w:t>
            </w:r>
          </w:p>
        </w:tc>
        <w:tc>
          <w:tcPr>
            <w:tcW w:w="981" w:type="pct"/>
            <w:gridSpan w:val="2"/>
            <w:vAlign w:val="center"/>
          </w:tcPr>
          <w:p>
            <w:pPr>
              <w:pStyle w:val="32"/>
              <w:rPr>
                <w:b/>
                <w:bCs/>
              </w:rPr>
            </w:pPr>
            <w:r>
              <w:rPr>
                <w:b/>
                <w:bCs/>
              </w:rPr>
              <w:t>防治对象</w:t>
            </w:r>
          </w:p>
        </w:tc>
        <w:tc>
          <w:tcPr>
            <w:tcW w:w="2346" w:type="pct"/>
            <w:vAlign w:val="center"/>
          </w:tcPr>
          <w:p>
            <w:pPr>
              <w:pStyle w:val="32"/>
              <w:rPr>
                <w:b/>
                <w:bCs/>
              </w:rPr>
            </w:pPr>
            <w:r>
              <w:rPr>
                <w:b/>
                <w:bCs/>
              </w:rPr>
              <w:t>治理措施</w:t>
            </w:r>
          </w:p>
        </w:tc>
        <w:tc>
          <w:tcPr>
            <w:tcW w:w="1320" w:type="pct"/>
            <w:vAlign w:val="center"/>
          </w:tcPr>
          <w:p>
            <w:pPr>
              <w:pStyle w:val="32"/>
              <w:rPr>
                <w:b/>
                <w:bCs/>
              </w:rPr>
            </w:pPr>
            <w:r>
              <w:rPr>
                <w:b/>
                <w:bCs/>
              </w:rPr>
              <w:t>预期效果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5"/>
            <w:vAlign w:val="center"/>
          </w:tcPr>
          <w:p>
            <w:pPr>
              <w:pStyle w:val="32"/>
            </w:pPr>
            <w:r>
              <w:rPr>
                <w:b/>
                <w:bCs/>
              </w:rPr>
              <w:t>一</w:t>
            </w:r>
            <w:r>
              <w:rPr>
                <w:rFonts w:hint="eastAsia"/>
                <w:b/>
                <w:bCs/>
              </w:rPr>
              <w:t>、</w:t>
            </w:r>
            <w:r>
              <w:rPr>
                <w:b/>
                <w:bCs/>
              </w:rPr>
              <w:t>施工期环保措施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2"/>
            </w:pPr>
            <w:r>
              <w:t>1</w:t>
            </w:r>
          </w:p>
        </w:tc>
        <w:tc>
          <w:tcPr>
            <w:tcW w:w="981" w:type="pct"/>
            <w:gridSpan w:val="2"/>
            <w:vAlign w:val="center"/>
          </w:tcPr>
          <w:p>
            <w:pPr>
              <w:pStyle w:val="32"/>
            </w:pPr>
            <w:r>
              <w:t>施工废气</w:t>
            </w:r>
          </w:p>
        </w:tc>
        <w:tc>
          <w:tcPr>
            <w:tcW w:w="2346" w:type="pct"/>
            <w:tcBorders>
              <w:top w:val="nil"/>
            </w:tcBorders>
            <w:vAlign w:val="center"/>
          </w:tcPr>
          <w:p>
            <w:pPr>
              <w:pStyle w:val="32"/>
              <w:jc w:val="both"/>
            </w:pPr>
            <w:r>
              <w:rPr>
                <w:rFonts w:hint="eastAsia"/>
              </w:rPr>
              <w:t>（1）</w:t>
            </w:r>
            <w:r>
              <w:t>洒水降尘；</w:t>
            </w:r>
          </w:p>
          <w:p>
            <w:pPr>
              <w:pStyle w:val="32"/>
              <w:jc w:val="both"/>
            </w:pPr>
            <w:r>
              <w:rPr>
                <w:rFonts w:hint="eastAsia"/>
              </w:rPr>
              <w:t>（2）</w:t>
            </w:r>
            <w:r>
              <w:t>合理堆放建筑材料，采取覆盖防尘措施；</w:t>
            </w:r>
          </w:p>
          <w:p>
            <w:pPr>
              <w:pStyle w:val="32"/>
              <w:jc w:val="both"/>
            </w:pPr>
            <w:r>
              <w:rPr>
                <w:rFonts w:hint="eastAsia"/>
              </w:rPr>
              <w:t>（3）</w:t>
            </w:r>
            <w:r>
              <w:t>运输车辆低速行驶；</w:t>
            </w:r>
          </w:p>
          <w:p>
            <w:pPr>
              <w:pStyle w:val="32"/>
              <w:jc w:val="both"/>
            </w:pPr>
            <w:r>
              <w:rPr>
                <w:rFonts w:hint="eastAsia"/>
              </w:rPr>
              <w:t>（4）</w:t>
            </w:r>
            <w:r>
              <w:t>加强车辆管理；</w:t>
            </w:r>
          </w:p>
        </w:tc>
        <w:tc>
          <w:tcPr>
            <w:tcW w:w="1320" w:type="pct"/>
            <w:tcBorders>
              <w:top w:val="nil"/>
            </w:tcBorders>
            <w:vAlign w:val="center"/>
          </w:tcPr>
          <w:p>
            <w:pPr>
              <w:pStyle w:val="32"/>
            </w:pPr>
            <w:r>
              <w:t>降低扬尘产生量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2"/>
            </w:pPr>
            <w:r>
              <w:t>2</w:t>
            </w:r>
          </w:p>
        </w:tc>
        <w:tc>
          <w:tcPr>
            <w:tcW w:w="981" w:type="pct"/>
            <w:gridSpan w:val="2"/>
            <w:vAlign w:val="center"/>
          </w:tcPr>
          <w:p>
            <w:pPr>
              <w:pStyle w:val="32"/>
            </w:pPr>
            <w:r>
              <w:t>施工废水</w:t>
            </w:r>
          </w:p>
        </w:tc>
        <w:tc>
          <w:tcPr>
            <w:tcW w:w="2346" w:type="pct"/>
            <w:vAlign w:val="center"/>
          </w:tcPr>
          <w:p>
            <w:pPr>
              <w:pStyle w:val="32"/>
              <w:jc w:val="both"/>
            </w:pPr>
            <w:r>
              <w:rPr>
                <w:rFonts w:hint="eastAsia"/>
              </w:rPr>
              <w:t>（1）项目开工建设前，应提前在施工场地周围建设挡水、截水、排水工程，避免污水汇入附近水体。</w:t>
            </w:r>
          </w:p>
          <w:p>
            <w:pPr>
              <w:pStyle w:val="32"/>
              <w:jc w:val="both"/>
            </w:pPr>
            <w:r>
              <w:rPr>
                <w:rFonts w:hint="eastAsia"/>
              </w:rPr>
              <w:t>（2）项目基础的大开挖工程应尽量避开雨季，安排在旱季进行，同时尽量缩短施工现场大面积裸露的时间。</w:t>
            </w:r>
          </w:p>
          <w:p>
            <w:pPr>
              <w:pStyle w:val="32"/>
              <w:jc w:val="both"/>
            </w:pPr>
            <w:r>
              <w:rPr>
                <w:rFonts w:hint="eastAsia"/>
              </w:rPr>
              <w:t>（3）项目施工场所内在施工场地等产生施工废水的地方，应根据实际情况设置沉砂池，将产生的含泥砂量大的施工废水进行沉淀处理后，尽量回用于砂浆、砂石料清洗等工序。</w:t>
            </w:r>
          </w:p>
          <w:p>
            <w:pPr>
              <w:pStyle w:val="32"/>
              <w:jc w:val="both"/>
            </w:pPr>
            <w:r>
              <w:rPr>
                <w:rFonts w:hint="eastAsia"/>
              </w:rPr>
              <w:t>（4）施工期的生活污水收集经絮凝沉淀池处理后施工用水或洒水抑尘用水，加强管理，确保生活废水不外排。</w:t>
            </w:r>
          </w:p>
          <w:p>
            <w:pPr>
              <w:pStyle w:val="32"/>
              <w:jc w:val="both"/>
            </w:pPr>
            <w:r>
              <w:rPr>
                <w:rFonts w:hint="eastAsia"/>
              </w:rPr>
              <w:t>（5）项目应加强管理，不得在施工现场进行机械修理，雨天对机械设备进行遮盖防雨。</w:t>
            </w:r>
          </w:p>
        </w:tc>
        <w:tc>
          <w:tcPr>
            <w:tcW w:w="1320" w:type="pct"/>
            <w:vAlign w:val="center"/>
          </w:tcPr>
          <w:p>
            <w:pPr>
              <w:pStyle w:val="32"/>
            </w:pPr>
            <w:r>
              <w:t>降低施工废水产生的影响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2"/>
            </w:pPr>
            <w:r>
              <w:t>3</w:t>
            </w:r>
          </w:p>
        </w:tc>
        <w:tc>
          <w:tcPr>
            <w:tcW w:w="981" w:type="pct"/>
            <w:gridSpan w:val="2"/>
            <w:vAlign w:val="center"/>
          </w:tcPr>
          <w:p>
            <w:pPr>
              <w:pStyle w:val="32"/>
            </w:pPr>
            <w:r>
              <w:t>施工机械</w:t>
            </w:r>
          </w:p>
        </w:tc>
        <w:tc>
          <w:tcPr>
            <w:tcW w:w="2346" w:type="pct"/>
            <w:vAlign w:val="center"/>
          </w:tcPr>
          <w:p>
            <w:pPr>
              <w:pStyle w:val="32"/>
              <w:jc w:val="both"/>
            </w:pPr>
            <w:r>
              <w:rPr>
                <w:rFonts w:hint="eastAsia"/>
              </w:rPr>
              <w:t>（1）</w:t>
            </w:r>
            <w:r>
              <w:t>合理安排施工时间；</w:t>
            </w:r>
          </w:p>
          <w:p>
            <w:pPr>
              <w:pStyle w:val="32"/>
              <w:jc w:val="both"/>
            </w:pPr>
            <w:r>
              <w:rPr>
                <w:rFonts w:hint="eastAsia"/>
              </w:rPr>
              <w:t>（2）</w:t>
            </w:r>
            <w:r>
              <w:t>合理布局施工场地；</w:t>
            </w:r>
          </w:p>
          <w:p>
            <w:pPr>
              <w:pStyle w:val="32"/>
              <w:jc w:val="both"/>
            </w:pPr>
            <w:r>
              <w:rPr>
                <w:rFonts w:hint="eastAsia"/>
              </w:rPr>
              <w:t>（3）</w:t>
            </w:r>
            <w:r>
              <w:t>降低设备声级；</w:t>
            </w:r>
          </w:p>
          <w:p>
            <w:pPr>
              <w:pStyle w:val="32"/>
              <w:jc w:val="both"/>
            </w:pPr>
            <w:r>
              <w:rPr>
                <w:rFonts w:hint="eastAsia"/>
              </w:rPr>
              <w:t>（4）</w:t>
            </w:r>
            <w:r>
              <w:t>降低人为噪音；</w:t>
            </w:r>
          </w:p>
        </w:tc>
        <w:tc>
          <w:tcPr>
            <w:tcW w:w="1320" w:type="pct"/>
            <w:vAlign w:val="center"/>
          </w:tcPr>
          <w:p>
            <w:pPr>
              <w:pStyle w:val="32"/>
            </w:pPr>
            <w:r>
              <w:t>施工机械噪声达标排放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2"/>
            </w:pPr>
            <w:r>
              <w:t>4</w:t>
            </w:r>
          </w:p>
        </w:tc>
        <w:tc>
          <w:tcPr>
            <w:tcW w:w="981" w:type="pct"/>
            <w:gridSpan w:val="2"/>
            <w:vAlign w:val="center"/>
          </w:tcPr>
          <w:p>
            <w:pPr>
              <w:pStyle w:val="32"/>
            </w:pPr>
            <w:r>
              <w:t>施工固废</w:t>
            </w:r>
          </w:p>
        </w:tc>
        <w:tc>
          <w:tcPr>
            <w:tcW w:w="2346" w:type="pct"/>
            <w:vAlign w:val="center"/>
          </w:tcPr>
          <w:p>
            <w:pPr>
              <w:pStyle w:val="32"/>
              <w:jc w:val="left"/>
            </w:pPr>
            <w:r>
              <w:rPr>
                <w:rFonts w:hint="eastAsia"/>
              </w:rPr>
              <w:t>（1）废弃建筑材料应对其进行分类集中堆存，能回收利用的部分，请回收商进行收购，重复利用；不能利用的建筑垃圾收集后按照园区管委会及市政管理部门要求处置，禁止随意丢弃。</w:t>
            </w:r>
          </w:p>
          <w:p>
            <w:pPr>
              <w:pStyle w:val="32"/>
              <w:jc w:val="left"/>
            </w:pPr>
            <w:r>
              <w:rPr>
                <w:rFonts w:hint="eastAsia"/>
              </w:rPr>
              <w:t>（2）施工期间生活垃圾应收集后委托环卫部门清运，禁止随意丢弃。</w:t>
            </w:r>
          </w:p>
          <w:p>
            <w:pPr>
              <w:pStyle w:val="32"/>
              <w:jc w:val="left"/>
            </w:pPr>
            <w:r>
              <w:rPr>
                <w:rFonts w:hint="eastAsia"/>
              </w:rPr>
              <w:t>（3）施工期间产生的泔水及油脂存于泔水桶内，委托泔水收购商收集处置。</w:t>
            </w:r>
          </w:p>
          <w:p>
            <w:pPr>
              <w:pStyle w:val="32"/>
              <w:jc w:val="left"/>
            </w:pPr>
            <w:r>
              <w:rPr>
                <w:rFonts w:hint="eastAsia"/>
              </w:rPr>
              <w:t>（4）项目建设过程中无多余弃方产生，但施工期产生的大量土石方不可能及时消纳，项目应在场址内建设临时堆土场堆放该部分土石，并在堆土场下游修筑一道挡墙，防止水土流失。</w:t>
            </w:r>
          </w:p>
          <w:p>
            <w:pPr>
              <w:pStyle w:val="32"/>
              <w:jc w:val="left"/>
            </w:pPr>
            <w:r>
              <w:rPr>
                <w:rFonts w:hint="eastAsia"/>
              </w:rPr>
              <w:t>（5）不得随意堆放建筑材料及固体废物，严格运输管理，不得随路洒落或抛弃。</w:t>
            </w:r>
          </w:p>
        </w:tc>
        <w:tc>
          <w:tcPr>
            <w:tcW w:w="1320" w:type="pct"/>
            <w:vAlign w:val="center"/>
          </w:tcPr>
          <w:p>
            <w:pPr>
              <w:pStyle w:val="32"/>
            </w:pPr>
            <w:r>
              <w:t>处置率100%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2"/>
            </w:pPr>
            <w:r>
              <w:t>5</w:t>
            </w:r>
          </w:p>
        </w:tc>
        <w:tc>
          <w:tcPr>
            <w:tcW w:w="981" w:type="pct"/>
            <w:gridSpan w:val="2"/>
            <w:vAlign w:val="center"/>
          </w:tcPr>
          <w:p>
            <w:pPr>
              <w:pStyle w:val="32"/>
            </w:pPr>
            <w:r>
              <w:t>生态环境</w:t>
            </w:r>
          </w:p>
        </w:tc>
        <w:tc>
          <w:tcPr>
            <w:tcW w:w="2346" w:type="pct"/>
            <w:vAlign w:val="center"/>
          </w:tcPr>
          <w:p>
            <w:pPr>
              <w:pStyle w:val="32"/>
            </w:pPr>
            <w:r>
              <w:rPr>
                <w:rFonts w:hint="eastAsia"/>
              </w:rPr>
              <w:t>（1）合理安排工期，尽可能避开暴雨季节进行大规模土石方开挖与回填，避免雨水对地表土壤的冲刷和破坏。</w:t>
            </w:r>
          </w:p>
          <w:p>
            <w:pPr>
              <w:pStyle w:val="32"/>
            </w:pPr>
            <w:r>
              <w:rPr>
                <w:rFonts w:hint="eastAsia"/>
              </w:rPr>
              <w:t>（2）理选择施工工序，在堆放临时渣料时，把易产生水土流失的表层土堆放在场地中间，开挖产生的块石堆放在其周围，起临时拦挡作用，严禁随意弃置。</w:t>
            </w:r>
          </w:p>
          <w:p>
            <w:pPr>
              <w:pStyle w:val="32"/>
            </w:pPr>
            <w:r>
              <w:rPr>
                <w:rFonts w:hint="eastAsia"/>
              </w:rPr>
              <w:t>（3）挖、填方施工时，尽量做到先筑挡土墙，随挖、随压，严禁随意开挖取土取石，破坏植被；道路等设施建完后，要注意保护边坡，裸露的土地应尽快植树种草，恢复植被，采取封闭措施。</w:t>
            </w:r>
          </w:p>
          <w:p>
            <w:pPr>
              <w:pStyle w:val="32"/>
            </w:pPr>
            <w:r>
              <w:rPr>
                <w:rFonts w:hint="eastAsia"/>
              </w:rPr>
              <w:t>（4）施工完成后，要实施绿化补缺工程建设。</w:t>
            </w:r>
          </w:p>
        </w:tc>
        <w:tc>
          <w:tcPr>
            <w:tcW w:w="1320" w:type="pct"/>
            <w:vAlign w:val="center"/>
          </w:tcPr>
          <w:p>
            <w:pPr>
              <w:pStyle w:val="32"/>
            </w:pPr>
            <w:r>
              <w:t>减少植被破坏，防治水土流失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5"/>
            <w:vAlign w:val="center"/>
          </w:tcPr>
          <w:p>
            <w:pPr>
              <w:pStyle w:val="32"/>
            </w:pPr>
            <w:r>
              <w:rPr>
                <w:b/>
                <w:bCs/>
              </w:rPr>
              <w:t>二</w:t>
            </w:r>
            <w:r>
              <w:rPr>
                <w:rFonts w:hint="eastAsia"/>
                <w:b/>
                <w:bCs/>
              </w:rPr>
              <w:t>、</w:t>
            </w:r>
            <w:r>
              <w:rPr>
                <w:b/>
                <w:bCs/>
              </w:rPr>
              <w:t>营运期环保措施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2"/>
              <w:rPr>
                <w:b/>
                <w:bCs/>
              </w:rPr>
            </w:pPr>
            <w:r>
              <w:rPr>
                <w:b/>
                <w:bCs/>
              </w:rPr>
              <w:t>1</w:t>
            </w:r>
          </w:p>
        </w:tc>
        <w:tc>
          <w:tcPr>
            <w:tcW w:w="4648" w:type="pct"/>
            <w:gridSpan w:val="4"/>
            <w:vAlign w:val="center"/>
          </w:tcPr>
          <w:p>
            <w:pPr>
              <w:pStyle w:val="32"/>
              <w:rPr>
                <w:b/>
                <w:bCs/>
              </w:rPr>
            </w:pPr>
            <w:r>
              <w:rPr>
                <w:b/>
                <w:bCs/>
              </w:rPr>
              <w:t>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restart"/>
            <w:vAlign w:val="center"/>
          </w:tcPr>
          <w:p>
            <w:pPr>
              <w:pStyle w:val="33"/>
            </w:pPr>
            <w:r>
              <w:rPr>
                <w:rFonts w:hint="eastAsia"/>
              </w:rPr>
              <w:t>1.1</w:t>
            </w:r>
          </w:p>
        </w:tc>
        <w:tc>
          <w:tcPr>
            <w:tcW w:w="213" w:type="pct"/>
            <w:vMerge w:val="restart"/>
            <w:vAlign w:val="center"/>
          </w:tcPr>
          <w:p>
            <w:pPr>
              <w:pStyle w:val="33"/>
            </w:pPr>
            <w:r>
              <w:rPr>
                <w:rFonts w:hint="eastAsia"/>
                <w:b/>
                <w:bCs/>
              </w:rPr>
              <w:t>一期工程</w:t>
            </w:r>
          </w:p>
        </w:tc>
        <w:tc>
          <w:tcPr>
            <w:tcW w:w="767" w:type="pct"/>
            <w:vAlign w:val="center"/>
          </w:tcPr>
          <w:p>
            <w:pPr>
              <w:pStyle w:val="33"/>
            </w:pPr>
            <w:r>
              <w:rPr>
                <w:rFonts w:hint="eastAsia"/>
              </w:rPr>
              <w:t>熔保炉天然气燃烧废气、精炼废气、扒渣废气</w:t>
            </w:r>
          </w:p>
        </w:tc>
        <w:tc>
          <w:tcPr>
            <w:tcW w:w="2346" w:type="pct"/>
            <w:vAlign w:val="center"/>
          </w:tcPr>
          <w:p>
            <w:pPr>
              <w:pStyle w:val="33"/>
              <w:rPr>
                <w:szCs w:val="21"/>
              </w:rPr>
            </w:pPr>
            <w:r>
              <w:rPr>
                <w:rFonts w:hint="eastAsia"/>
                <w:szCs w:val="21"/>
              </w:rPr>
              <w:t>废气收集后经过石灰粉+布袋除尘器处理后通过</w:t>
            </w:r>
            <w:r>
              <w:rPr>
                <w:rFonts w:hint="eastAsia"/>
              </w:rPr>
              <w:t>P1-1排气筒</w:t>
            </w:r>
            <w:r>
              <w:t>排放</w:t>
            </w:r>
            <w:r>
              <w:rPr>
                <w:rFonts w:hint="eastAsia"/>
                <w:szCs w:val="21"/>
              </w:rPr>
              <w:t>，排气筒高度为35m，风机风量为130000m</w:t>
            </w:r>
            <w:r>
              <w:rPr>
                <w:rFonts w:hint="eastAsia"/>
                <w:szCs w:val="21"/>
                <w:vertAlign w:val="superscript"/>
              </w:rPr>
              <w:t>3</w:t>
            </w:r>
            <w:r>
              <w:rPr>
                <w:rFonts w:hint="eastAsia"/>
                <w:szCs w:val="21"/>
              </w:rPr>
              <w:t>/h</w:t>
            </w:r>
          </w:p>
        </w:tc>
        <w:tc>
          <w:tcPr>
            <w:tcW w:w="1320" w:type="pct"/>
            <w:vAlign w:val="center"/>
          </w:tcPr>
          <w:p>
            <w:pPr>
              <w:pStyle w:val="33"/>
              <w:rPr>
                <w:szCs w:val="21"/>
              </w:rPr>
            </w:pPr>
            <w:r>
              <w:rPr>
                <w:szCs w:val="21"/>
              </w:rPr>
              <w:t>颗粒物、SO</w:t>
            </w:r>
            <w:r>
              <w:rPr>
                <w:szCs w:val="21"/>
                <w:vertAlign w:val="subscript"/>
              </w:rPr>
              <w:t>2</w:t>
            </w:r>
            <w:r>
              <w:rPr>
                <w:szCs w:val="21"/>
              </w:rPr>
              <w:t>能够满足《工业炉窑大气污染物排放标准》（GB9078-1996），NO</w:t>
            </w:r>
            <w:r>
              <w:rPr>
                <w:rFonts w:hint="eastAsia"/>
                <w:szCs w:val="21"/>
              </w:rPr>
              <w:t>x</w:t>
            </w:r>
            <w:r>
              <w:rPr>
                <w:szCs w:val="21"/>
              </w:rPr>
              <w:t>、HCl、氟化物、Cl</w:t>
            </w:r>
            <w:r>
              <w:rPr>
                <w:szCs w:val="21"/>
                <w:vertAlign w:val="subscript"/>
              </w:rPr>
              <w:t>2</w:t>
            </w:r>
            <w:r>
              <w:rPr>
                <w:szCs w:val="21"/>
              </w:rPr>
              <w:t>排放能满足《大气污染物综合排放标准》（GB16297-1996）表2二级标准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铝灰分离废气</w:t>
            </w:r>
          </w:p>
        </w:tc>
        <w:tc>
          <w:tcPr>
            <w:tcW w:w="2346" w:type="pct"/>
            <w:vAlign w:val="center"/>
          </w:tcPr>
          <w:p>
            <w:pPr>
              <w:pStyle w:val="33"/>
              <w:rPr>
                <w:szCs w:val="21"/>
              </w:rPr>
            </w:pPr>
            <w:r>
              <w:rPr>
                <w:szCs w:val="21"/>
              </w:rPr>
              <w:t>废气收集后经过布袋除尘器处理</w:t>
            </w:r>
            <w:r>
              <w:rPr>
                <w:rFonts w:hint="eastAsia"/>
                <w:szCs w:val="21"/>
              </w:rPr>
              <w:t>后通过</w:t>
            </w:r>
            <w:r>
              <w:rPr>
                <w:rFonts w:hint="eastAsia"/>
              </w:rPr>
              <w:t>P1-2排气筒</w:t>
            </w:r>
            <w:r>
              <w:t>排放</w:t>
            </w:r>
            <w:r>
              <w:rPr>
                <w:szCs w:val="21"/>
              </w:rPr>
              <w:t>，排气筒高度为</w:t>
            </w:r>
            <w:r>
              <w:rPr>
                <w:rFonts w:hint="eastAsia"/>
                <w:szCs w:val="21"/>
              </w:rPr>
              <w:t>2</w:t>
            </w:r>
            <w:r>
              <w:rPr>
                <w:szCs w:val="21"/>
              </w:rPr>
              <w:t>0m，风机风量为10000m</w:t>
            </w:r>
            <w:r>
              <w:rPr>
                <w:szCs w:val="21"/>
                <w:vertAlign w:val="superscript"/>
              </w:rPr>
              <w:t>3</w:t>
            </w:r>
            <w:r>
              <w:rPr>
                <w:szCs w:val="21"/>
              </w:rPr>
              <w:t>/h。</w:t>
            </w:r>
          </w:p>
        </w:tc>
        <w:tc>
          <w:tcPr>
            <w:tcW w:w="1320" w:type="pct"/>
            <w:vAlign w:val="center"/>
          </w:tcPr>
          <w:p>
            <w:pPr>
              <w:pStyle w:val="33"/>
              <w:rPr>
                <w:szCs w:val="21"/>
              </w:rPr>
            </w:pPr>
            <w:r>
              <w:rPr>
                <w:rFonts w:hint="eastAsia"/>
                <w:szCs w:val="21"/>
              </w:rPr>
              <w:t>颗粒物排放</w:t>
            </w:r>
            <w:r>
              <w:rPr>
                <w:szCs w:val="21"/>
              </w:rPr>
              <w:t>满足《大气污染物综合排放标准》（GB16297-1996）表2二级标准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圆铸锭批次式均质炉天然气燃烧废气</w:t>
            </w:r>
          </w:p>
        </w:tc>
        <w:tc>
          <w:tcPr>
            <w:tcW w:w="2346" w:type="pct"/>
            <w:vAlign w:val="center"/>
          </w:tcPr>
          <w:p>
            <w:pPr>
              <w:pStyle w:val="33"/>
            </w:pPr>
            <w:r>
              <w:t>废气收集后经过</w:t>
            </w:r>
            <w:r>
              <w:rPr>
                <w:rFonts w:hint="eastAsia"/>
              </w:rPr>
              <w:t>P1-3排气筒</w:t>
            </w:r>
            <w:r>
              <w:t>排放，排气筒高度为</w:t>
            </w:r>
            <w:r>
              <w:rPr>
                <w:rFonts w:hint="eastAsia"/>
              </w:rPr>
              <w:t>25</w:t>
            </w:r>
            <w:r>
              <w:t>m，</w:t>
            </w:r>
            <w:r>
              <w:rPr>
                <w:rFonts w:hint="eastAsia"/>
              </w:rPr>
              <w:t>废气</w:t>
            </w:r>
            <w:r>
              <w:t>量为</w:t>
            </w:r>
            <w:r>
              <w:rPr>
                <w:rFonts w:hint="eastAsia"/>
              </w:rPr>
              <w:t>6095.12</w:t>
            </w:r>
            <w:r>
              <w:t>m</w:t>
            </w:r>
            <w:r>
              <w:rPr>
                <w:vertAlign w:val="superscript"/>
              </w:rPr>
              <w:t>3</w:t>
            </w:r>
            <w:r>
              <w:t>/h</w:t>
            </w:r>
          </w:p>
        </w:tc>
        <w:tc>
          <w:tcPr>
            <w:tcW w:w="1320" w:type="pct"/>
            <w:vMerge w:val="restart"/>
            <w:vAlign w:val="center"/>
          </w:tcPr>
          <w:p>
            <w:pPr>
              <w:pStyle w:val="33"/>
              <w:rPr>
                <w:szCs w:val="21"/>
              </w:rPr>
            </w:pPr>
            <w:r>
              <w:rPr>
                <w:szCs w:val="21"/>
              </w:rPr>
              <w:t>颗粒物、SO</w:t>
            </w:r>
            <w:r>
              <w:rPr>
                <w:szCs w:val="21"/>
                <w:vertAlign w:val="subscript"/>
              </w:rPr>
              <w:t>2</w:t>
            </w:r>
            <w:r>
              <w:rPr>
                <w:szCs w:val="21"/>
              </w:rPr>
              <w:t>能够满足《工业炉窑大气污染物排放标准》（GB9078-1996），NO</w:t>
            </w:r>
            <w:r>
              <w:rPr>
                <w:rFonts w:hint="eastAsia"/>
                <w:szCs w:val="21"/>
              </w:rPr>
              <w:t>x</w:t>
            </w:r>
            <w:r>
              <w:rPr>
                <w:szCs w:val="21"/>
              </w:rPr>
              <w:t>排放能满足《大气污染物综合排放标准》（GB16297-1996）表2二级标准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圆铸锭连续式均质炉天然气燃烧废气</w:t>
            </w:r>
          </w:p>
        </w:tc>
        <w:tc>
          <w:tcPr>
            <w:tcW w:w="2346" w:type="pct"/>
            <w:vAlign w:val="center"/>
          </w:tcPr>
          <w:p>
            <w:pPr>
              <w:pStyle w:val="33"/>
            </w:pPr>
            <w:r>
              <w:t>废气收集后经过</w:t>
            </w:r>
            <w:r>
              <w:rPr>
                <w:rFonts w:hint="eastAsia"/>
              </w:rPr>
              <w:t>P1-4排气筒</w:t>
            </w:r>
            <w:r>
              <w:t>排放，排气筒高度为</w:t>
            </w:r>
            <w:r>
              <w:rPr>
                <w:rFonts w:hint="eastAsia"/>
              </w:rPr>
              <w:t>25</w:t>
            </w:r>
            <w:r>
              <w:t>m，</w:t>
            </w:r>
            <w:r>
              <w:rPr>
                <w:rFonts w:hint="eastAsia"/>
              </w:rPr>
              <w:t>废气</w:t>
            </w:r>
            <w:r>
              <w:t>量为</w:t>
            </w:r>
            <w:r>
              <w:rPr>
                <w:rFonts w:hint="eastAsia"/>
              </w:rPr>
              <w:t>3047.56</w:t>
            </w:r>
            <w:r>
              <w:t>m</w:t>
            </w:r>
            <w:r>
              <w:rPr>
                <w:vertAlign w:val="superscript"/>
              </w:rPr>
              <w:t>3</w:t>
            </w:r>
            <w:r>
              <w:t>/h。</w:t>
            </w:r>
          </w:p>
        </w:tc>
        <w:tc>
          <w:tcPr>
            <w:tcW w:w="1320" w:type="pct"/>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板锭锭批次式均质炉天然气燃烧废气</w:t>
            </w:r>
          </w:p>
        </w:tc>
        <w:tc>
          <w:tcPr>
            <w:tcW w:w="2346" w:type="pct"/>
            <w:vAlign w:val="center"/>
          </w:tcPr>
          <w:p>
            <w:pPr>
              <w:pStyle w:val="33"/>
            </w:pPr>
            <w:r>
              <w:t>废气收集后经过</w:t>
            </w:r>
            <w:r>
              <w:rPr>
                <w:rFonts w:hint="eastAsia"/>
              </w:rPr>
              <w:t>P1-5排气筒</w:t>
            </w:r>
            <w:r>
              <w:t>排放，排气筒高度为</w:t>
            </w:r>
            <w:r>
              <w:rPr>
                <w:rFonts w:hint="eastAsia"/>
              </w:rPr>
              <w:t>25</w:t>
            </w:r>
            <w:r>
              <w:t>m，</w:t>
            </w:r>
            <w:r>
              <w:rPr>
                <w:rFonts w:hint="eastAsia"/>
              </w:rPr>
              <w:t>废气</w:t>
            </w:r>
            <w:r>
              <w:t>量为</w:t>
            </w:r>
            <w:r>
              <w:rPr>
                <w:rFonts w:hint="eastAsia"/>
              </w:rPr>
              <w:t>9142.68</w:t>
            </w:r>
            <w:r>
              <w:t>m</w:t>
            </w:r>
            <w:r>
              <w:rPr>
                <w:vertAlign w:val="superscript"/>
              </w:rPr>
              <w:t>3</w:t>
            </w:r>
            <w:r>
              <w:t>/h。</w:t>
            </w:r>
          </w:p>
        </w:tc>
        <w:tc>
          <w:tcPr>
            <w:tcW w:w="1320" w:type="pct"/>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无组织排放废气</w:t>
            </w:r>
          </w:p>
        </w:tc>
        <w:tc>
          <w:tcPr>
            <w:tcW w:w="2346" w:type="pct"/>
            <w:vAlign w:val="center"/>
          </w:tcPr>
          <w:p>
            <w:pPr>
              <w:pStyle w:val="33"/>
              <w:jc w:val="left"/>
            </w:pPr>
            <w:r>
              <w:rPr>
                <w:rFonts w:hint="eastAsia"/>
              </w:rPr>
              <w:t>①设备上方集气罩安装的位置，应考虑能最大效率地收集产生的废气；</w:t>
            </w:r>
          </w:p>
          <w:p>
            <w:pPr>
              <w:pStyle w:val="33"/>
              <w:jc w:val="left"/>
            </w:pPr>
            <w:r>
              <w:rPr>
                <w:rFonts w:hint="eastAsia"/>
              </w:rPr>
              <w:t>②对废气收集设备、管道等定期检查、检修，以保证其收集效率；</w:t>
            </w:r>
          </w:p>
          <w:p>
            <w:pPr>
              <w:pStyle w:val="33"/>
              <w:jc w:val="left"/>
            </w:pPr>
            <w:r>
              <w:rPr>
                <w:rFonts w:hint="eastAsia"/>
              </w:rPr>
              <w:t>③加强车间通风，所有操作严格按照既定的规程进行。</w:t>
            </w:r>
          </w:p>
        </w:tc>
        <w:tc>
          <w:tcPr>
            <w:tcW w:w="1320" w:type="pct"/>
            <w:vAlign w:val="center"/>
          </w:tcPr>
          <w:p>
            <w:pPr>
              <w:pStyle w:val="33"/>
            </w:pPr>
            <w:r>
              <w:rPr>
                <w:rFonts w:hint="eastAsia"/>
              </w:rPr>
              <w:t>《大气污染物综合排放标准》（GB16297-1996）无组织排放监控浓度限值要求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restart"/>
            <w:vAlign w:val="center"/>
          </w:tcPr>
          <w:p>
            <w:pPr>
              <w:pStyle w:val="33"/>
            </w:pPr>
            <w:r>
              <w:rPr>
                <w:rFonts w:hint="eastAsia"/>
              </w:rPr>
              <w:t>1.2</w:t>
            </w:r>
          </w:p>
        </w:tc>
        <w:tc>
          <w:tcPr>
            <w:tcW w:w="213" w:type="pct"/>
            <w:vMerge w:val="restart"/>
            <w:vAlign w:val="center"/>
          </w:tcPr>
          <w:p>
            <w:pPr>
              <w:pStyle w:val="33"/>
            </w:pPr>
            <w:r>
              <w:rPr>
                <w:rFonts w:hint="eastAsia"/>
                <w:b/>
                <w:bCs/>
              </w:rPr>
              <w:t>二期工程</w:t>
            </w:r>
          </w:p>
        </w:tc>
        <w:tc>
          <w:tcPr>
            <w:tcW w:w="767" w:type="pct"/>
            <w:vAlign w:val="center"/>
          </w:tcPr>
          <w:p>
            <w:pPr>
              <w:pStyle w:val="33"/>
            </w:pPr>
            <w:r>
              <w:rPr>
                <w:rFonts w:hint="eastAsia"/>
              </w:rPr>
              <w:t>熔保炉天然气燃烧废气、精炼废气、扒渣废气</w:t>
            </w:r>
          </w:p>
        </w:tc>
        <w:tc>
          <w:tcPr>
            <w:tcW w:w="2346" w:type="pct"/>
            <w:vAlign w:val="center"/>
          </w:tcPr>
          <w:p>
            <w:pPr>
              <w:pStyle w:val="33"/>
            </w:pPr>
            <w:r>
              <w:t>废气收集后经过布袋除尘器处理后</w:t>
            </w:r>
            <w:r>
              <w:rPr>
                <w:rFonts w:hint="eastAsia"/>
              </w:rPr>
              <w:t>通过P2-1排气筒排放，</w:t>
            </w:r>
            <w:r>
              <w:t>排气筒高度为30m，风机风量为</w:t>
            </w:r>
            <w:r>
              <w:rPr>
                <w:rFonts w:hint="eastAsia"/>
              </w:rPr>
              <w:t>5</w:t>
            </w:r>
            <w:r>
              <w:t>0000m</w:t>
            </w:r>
            <w:r>
              <w:rPr>
                <w:vertAlign w:val="superscript"/>
              </w:rPr>
              <w:t>3</w:t>
            </w:r>
            <w:r>
              <w:t>/h。</w:t>
            </w:r>
          </w:p>
        </w:tc>
        <w:tc>
          <w:tcPr>
            <w:tcW w:w="1320" w:type="pct"/>
            <w:vAlign w:val="center"/>
          </w:tcPr>
          <w:p>
            <w:pPr>
              <w:pStyle w:val="33"/>
              <w:rPr>
                <w:szCs w:val="21"/>
              </w:rPr>
            </w:pPr>
            <w:r>
              <w:rPr>
                <w:szCs w:val="21"/>
              </w:rPr>
              <w:t>颗粒物、SO</w:t>
            </w:r>
            <w:r>
              <w:rPr>
                <w:szCs w:val="21"/>
                <w:vertAlign w:val="subscript"/>
              </w:rPr>
              <w:t>2</w:t>
            </w:r>
            <w:r>
              <w:rPr>
                <w:szCs w:val="21"/>
              </w:rPr>
              <w:t>能够满足《工业炉窑大气污染物排放标准》（GB9078-1996），NO</w:t>
            </w:r>
            <w:r>
              <w:rPr>
                <w:rFonts w:hint="eastAsia"/>
                <w:szCs w:val="21"/>
              </w:rPr>
              <w:t>x</w:t>
            </w:r>
            <w:r>
              <w:rPr>
                <w:szCs w:val="21"/>
              </w:rPr>
              <w:t>、HCl、氟化物、Cl</w:t>
            </w:r>
            <w:r>
              <w:rPr>
                <w:szCs w:val="21"/>
                <w:vertAlign w:val="subscript"/>
              </w:rPr>
              <w:t>2</w:t>
            </w:r>
            <w:r>
              <w:rPr>
                <w:szCs w:val="21"/>
              </w:rPr>
              <w:t>排放能满足《大气污染物综合排放标准》（GB16297-1996）表2二级标准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铝灰分离废气</w:t>
            </w:r>
          </w:p>
        </w:tc>
        <w:tc>
          <w:tcPr>
            <w:tcW w:w="2346" w:type="pct"/>
            <w:vAlign w:val="center"/>
          </w:tcPr>
          <w:p>
            <w:pPr>
              <w:pStyle w:val="33"/>
              <w:rPr>
                <w:szCs w:val="21"/>
              </w:rPr>
            </w:pPr>
            <w:r>
              <w:rPr>
                <w:szCs w:val="21"/>
              </w:rPr>
              <w:t>废气收集后经过布袋除尘器处理</w:t>
            </w:r>
            <w:r>
              <w:rPr>
                <w:rFonts w:hint="eastAsia"/>
                <w:szCs w:val="21"/>
              </w:rPr>
              <w:t>后通过</w:t>
            </w:r>
            <w:r>
              <w:rPr>
                <w:rFonts w:hint="eastAsia"/>
              </w:rPr>
              <w:t>P2-2排气筒</w:t>
            </w:r>
            <w:r>
              <w:t>排放</w:t>
            </w:r>
            <w:r>
              <w:rPr>
                <w:szCs w:val="21"/>
              </w:rPr>
              <w:t>，排气筒高度为</w:t>
            </w:r>
            <w:r>
              <w:rPr>
                <w:rFonts w:hint="eastAsia"/>
                <w:szCs w:val="21"/>
              </w:rPr>
              <w:t>2</w:t>
            </w:r>
            <w:r>
              <w:rPr>
                <w:szCs w:val="21"/>
              </w:rPr>
              <w:t>0m，风机风量为</w:t>
            </w:r>
            <w:r>
              <w:rPr>
                <w:rFonts w:hint="eastAsia"/>
                <w:szCs w:val="21"/>
              </w:rPr>
              <w:t>5</w:t>
            </w:r>
            <w:r>
              <w:rPr>
                <w:szCs w:val="21"/>
              </w:rPr>
              <w:t>000m</w:t>
            </w:r>
            <w:r>
              <w:rPr>
                <w:szCs w:val="21"/>
                <w:vertAlign w:val="superscript"/>
              </w:rPr>
              <w:t>3</w:t>
            </w:r>
            <w:r>
              <w:rPr>
                <w:szCs w:val="21"/>
              </w:rPr>
              <w:t>/h。</w:t>
            </w:r>
          </w:p>
        </w:tc>
        <w:tc>
          <w:tcPr>
            <w:tcW w:w="1320" w:type="pct"/>
            <w:vAlign w:val="center"/>
          </w:tcPr>
          <w:p>
            <w:pPr>
              <w:pStyle w:val="33"/>
              <w:rPr>
                <w:szCs w:val="21"/>
              </w:rPr>
            </w:pPr>
            <w:r>
              <w:rPr>
                <w:rFonts w:hint="eastAsia"/>
                <w:szCs w:val="21"/>
              </w:rPr>
              <w:t>颗粒物排放</w:t>
            </w:r>
            <w:r>
              <w:rPr>
                <w:szCs w:val="21"/>
              </w:rPr>
              <w:t>能满足《大气污染物综合排放标准》（GB16297-1996）表2二级标准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Merge w:val="continue"/>
            <w:vAlign w:val="center"/>
          </w:tcPr>
          <w:p>
            <w:pPr>
              <w:pStyle w:val="33"/>
            </w:pPr>
          </w:p>
        </w:tc>
        <w:tc>
          <w:tcPr>
            <w:tcW w:w="213" w:type="pct"/>
            <w:vMerge w:val="continue"/>
            <w:vAlign w:val="center"/>
          </w:tcPr>
          <w:p>
            <w:pPr>
              <w:pStyle w:val="33"/>
            </w:pPr>
          </w:p>
        </w:tc>
        <w:tc>
          <w:tcPr>
            <w:tcW w:w="767" w:type="pct"/>
            <w:vAlign w:val="center"/>
          </w:tcPr>
          <w:p>
            <w:pPr>
              <w:pStyle w:val="33"/>
            </w:pPr>
            <w:r>
              <w:rPr>
                <w:rFonts w:hint="eastAsia"/>
              </w:rPr>
              <w:t>无组织排放废气</w:t>
            </w:r>
          </w:p>
        </w:tc>
        <w:tc>
          <w:tcPr>
            <w:tcW w:w="2346" w:type="pct"/>
            <w:vAlign w:val="center"/>
          </w:tcPr>
          <w:p>
            <w:pPr>
              <w:pStyle w:val="33"/>
            </w:pPr>
            <w:r>
              <w:rPr>
                <w:rFonts w:hint="eastAsia"/>
              </w:rPr>
              <w:t>①设备上方集气罩安装的位置，应考虑能最大效率地收集产生的废气；</w:t>
            </w:r>
          </w:p>
          <w:p>
            <w:pPr>
              <w:pStyle w:val="33"/>
            </w:pPr>
            <w:r>
              <w:rPr>
                <w:rFonts w:hint="eastAsia"/>
              </w:rPr>
              <w:t>②对废气收集设备、管道等定期检查、检修，以保证其收集效率；</w:t>
            </w:r>
          </w:p>
          <w:p>
            <w:pPr>
              <w:pStyle w:val="33"/>
              <w:rPr>
                <w:szCs w:val="21"/>
              </w:rPr>
            </w:pPr>
            <w:r>
              <w:rPr>
                <w:rFonts w:hint="eastAsia"/>
              </w:rPr>
              <w:t>③加强车间通风，所有操作严格按照既定的规程进行。</w:t>
            </w:r>
          </w:p>
        </w:tc>
        <w:tc>
          <w:tcPr>
            <w:tcW w:w="1320" w:type="pct"/>
            <w:vAlign w:val="center"/>
          </w:tcPr>
          <w:p>
            <w:pPr>
              <w:pStyle w:val="33"/>
              <w:rPr>
                <w:sz w:val="18"/>
                <w:szCs w:val="18"/>
              </w:rPr>
            </w:pPr>
            <w:r>
              <w:rPr>
                <w:rFonts w:hint="eastAsia"/>
              </w:rPr>
              <w:t>《大气污染物综合排放标准》（GB16297-1996）无组织排放监控浓度限值要求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rPr>
                <w:b/>
                <w:bCs/>
              </w:rPr>
            </w:pPr>
            <w:r>
              <w:rPr>
                <w:rFonts w:hint="eastAsia"/>
                <w:b/>
                <w:bCs/>
              </w:rPr>
              <w:t>2</w:t>
            </w:r>
          </w:p>
        </w:tc>
        <w:tc>
          <w:tcPr>
            <w:tcW w:w="4648" w:type="pct"/>
            <w:gridSpan w:val="4"/>
            <w:vAlign w:val="center"/>
          </w:tcPr>
          <w:p>
            <w:pPr>
              <w:pStyle w:val="33"/>
              <w:rPr>
                <w:b/>
                <w:bCs/>
              </w:rPr>
            </w:pPr>
            <w:r>
              <w:rPr>
                <w:rFonts w:hint="eastAsia"/>
                <w:b/>
                <w:bCs/>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pPr>
            <w:r>
              <w:rPr>
                <w:rFonts w:hint="eastAsia"/>
              </w:rPr>
              <w:t>2.1</w:t>
            </w:r>
          </w:p>
        </w:tc>
        <w:tc>
          <w:tcPr>
            <w:tcW w:w="981" w:type="pct"/>
            <w:gridSpan w:val="2"/>
            <w:vAlign w:val="center"/>
          </w:tcPr>
          <w:p>
            <w:pPr>
              <w:pStyle w:val="33"/>
            </w:pPr>
            <w:r>
              <w:rPr>
                <w:rFonts w:hint="eastAsia"/>
                <w:b/>
                <w:bCs/>
                <w:sz w:val="24"/>
              </w:rPr>
              <w:t>一期工程</w:t>
            </w:r>
          </w:p>
        </w:tc>
        <w:tc>
          <w:tcPr>
            <w:tcW w:w="2346" w:type="pct"/>
            <w:vAlign w:val="center"/>
          </w:tcPr>
          <w:p>
            <w:pPr>
              <w:pStyle w:val="32"/>
            </w:pPr>
            <w:r>
              <w:rPr>
                <w:rFonts w:hint="eastAsia"/>
              </w:rPr>
              <w:t>（1）圆铸锭循环冷却水经冷却循环水池沉淀处理后排入项目所在地市政污水管网，最后进入砚山县第一污水处理厂进一步处理。</w:t>
            </w:r>
          </w:p>
          <w:p>
            <w:pPr>
              <w:pStyle w:val="32"/>
            </w:pPr>
            <w:r>
              <w:rPr>
                <w:rFonts w:hint="eastAsia"/>
              </w:rPr>
              <w:t>（2）铝合金板锭循环冷却水经项目自建污水处理站处理达标后排入项目所在地市政污水管网，最后进入砚山县第一污水处理厂进一步处理。</w:t>
            </w:r>
          </w:p>
          <w:p>
            <w:pPr>
              <w:pStyle w:val="32"/>
            </w:pPr>
            <w:r>
              <w:rPr>
                <w:rFonts w:hint="eastAsia"/>
              </w:rPr>
              <w:t>（3）项目建设1座1m</w:t>
            </w:r>
            <w:r>
              <w:rPr>
                <w:rFonts w:hint="eastAsia"/>
                <w:vertAlign w:val="superscript"/>
              </w:rPr>
              <w:t>3</w:t>
            </w:r>
            <w:r>
              <w:rPr>
                <w:rFonts w:hint="eastAsia"/>
              </w:rPr>
              <w:t>/h污水处理站对板锭循环水系统定期排污水进行处理。处理工艺为“混凝沉淀+两级气浮”。</w:t>
            </w:r>
          </w:p>
          <w:p>
            <w:pPr>
              <w:pStyle w:val="32"/>
            </w:pPr>
            <w:r>
              <w:rPr>
                <w:rFonts w:hint="eastAsia"/>
              </w:rPr>
              <w:t>（4）初期雨水收集池有效容积为640</w:t>
            </w:r>
            <w:r>
              <w:t>m</w:t>
            </w:r>
            <w:r>
              <w:rPr>
                <w:vertAlign w:val="superscript"/>
              </w:rPr>
              <w:t>3</w:t>
            </w:r>
            <w:r>
              <w:rPr>
                <w:rFonts w:hint="eastAsia"/>
              </w:rPr>
              <w:t>，在初期雨水收集池经过沉淀处理达标后回用晴天厂区绿化，剩余部分用于冷却循环补充水，不外排。</w:t>
            </w:r>
          </w:p>
          <w:p>
            <w:pPr>
              <w:pStyle w:val="32"/>
            </w:pPr>
            <w:r>
              <w:rPr>
                <w:rFonts w:hint="eastAsia"/>
              </w:rPr>
              <w:t>（5）</w:t>
            </w:r>
            <w:r>
              <w:rPr>
                <w:rFonts w:hint="eastAsia"/>
                <w:lang w:val="zh-CN"/>
              </w:rPr>
              <w:t>生活污水</w:t>
            </w:r>
            <w:r>
              <w:rPr>
                <w:rFonts w:hint="eastAsia"/>
              </w:rPr>
              <w:t>经化粪池、隔油池处理达标后排入项目所在地市政污水管网，最后进入砚山县第一污水处理厂处理。</w:t>
            </w:r>
          </w:p>
        </w:tc>
        <w:tc>
          <w:tcPr>
            <w:tcW w:w="1320" w:type="pct"/>
            <w:vMerge w:val="restart"/>
            <w:vAlign w:val="center"/>
          </w:tcPr>
          <w:p>
            <w:pPr>
              <w:pStyle w:val="33"/>
            </w:pPr>
          </w:p>
          <w:p>
            <w:pPr>
              <w:pStyle w:val="33"/>
            </w:pPr>
            <w:r>
              <w:rPr>
                <w:rFonts w:hint="eastAsia"/>
              </w:rPr>
              <w:t>初期雨水回用执行</w:t>
            </w:r>
            <w:r>
              <w:t xml:space="preserve">《城市污水再生利用 城市杂用水水质标准》(GB/TI8920-2002) </w:t>
            </w:r>
            <w:r>
              <w:rPr>
                <w:rFonts w:hint="eastAsia"/>
              </w:rPr>
              <w:t>中城市绿化及道路清扫以及《城市污水再生利用工业用水水质》（GB/T19923-2005）的相应标准后回用于晴天厂区绿化，剩余部分用于冷却循环补充水，不外排。</w:t>
            </w:r>
          </w:p>
          <w:p>
            <w:pPr>
              <w:pStyle w:val="33"/>
            </w:pPr>
            <w:r>
              <w:rPr>
                <w:rFonts w:hint="eastAsia"/>
              </w:rPr>
              <w:t>冷却循环水、生活污水执行《污水排入城镇下水道水质标准》（GB/T31962-2015）表1中A等级标准后排入市政污水管网，最后进入砚山县第一污水处理厂进一步处理。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pPr>
            <w:r>
              <w:rPr>
                <w:rFonts w:hint="eastAsia"/>
              </w:rPr>
              <w:t>2.2</w:t>
            </w:r>
          </w:p>
        </w:tc>
        <w:tc>
          <w:tcPr>
            <w:tcW w:w="981" w:type="pct"/>
            <w:gridSpan w:val="2"/>
            <w:vAlign w:val="center"/>
          </w:tcPr>
          <w:p>
            <w:pPr>
              <w:pStyle w:val="33"/>
            </w:pPr>
            <w:r>
              <w:rPr>
                <w:rFonts w:hint="eastAsia"/>
                <w:b/>
                <w:bCs/>
                <w:sz w:val="24"/>
              </w:rPr>
              <w:t>二期工程</w:t>
            </w:r>
          </w:p>
        </w:tc>
        <w:tc>
          <w:tcPr>
            <w:tcW w:w="2346" w:type="pct"/>
            <w:vAlign w:val="center"/>
          </w:tcPr>
          <w:p>
            <w:pPr>
              <w:pStyle w:val="32"/>
            </w:pPr>
            <w:r>
              <w:rPr>
                <w:rFonts w:hint="eastAsia"/>
              </w:rPr>
              <w:t>（1）铸轧板循环冷却水经冷却循环水池沉淀处理后排入项目所在地市政污水管网，最后进入砚山县第一污水处理厂进一步处理。</w:t>
            </w:r>
          </w:p>
          <w:p>
            <w:pPr>
              <w:pStyle w:val="32"/>
            </w:pPr>
            <w:r>
              <w:rPr>
                <w:rFonts w:hint="eastAsia"/>
              </w:rPr>
              <w:t>（2）初期雨水收集池有效容积为110</w:t>
            </w:r>
            <w:r>
              <w:t>m</w:t>
            </w:r>
            <w:r>
              <w:rPr>
                <w:vertAlign w:val="superscript"/>
              </w:rPr>
              <w:t>3</w:t>
            </w:r>
            <w:r>
              <w:rPr>
                <w:rFonts w:hint="eastAsia"/>
              </w:rPr>
              <w:t>，在初期雨水收集池经过沉淀处理达标后回用晴天厂区绿化，剩余部分用于冷却循环补充水，不外排。</w:t>
            </w:r>
          </w:p>
          <w:p>
            <w:pPr>
              <w:pStyle w:val="33"/>
            </w:pPr>
            <w:r>
              <w:rPr>
                <w:rFonts w:hint="eastAsia"/>
              </w:rPr>
              <w:t>（5）</w:t>
            </w:r>
            <w:r>
              <w:rPr>
                <w:rFonts w:hint="eastAsia"/>
                <w:lang w:val="zh-CN"/>
              </w:rPr>
              <w:t>生活污水</w:t>
            </w:r>
            <w:r>
              <w:rPr>
                <w:rFonts w:hint="eastAsia"/>
              </w:rPr>
              <w:t>经化粪池、隔油池处理达标后排入项目所在地市政污水管网，最后进入砚山县第一污水处理厂处理。</w:t>
            </w:r>
          </w:p>
        </w:tc>
        <w:tc>
          <w:tcPr>
            <w:tcW w:w="1320" w:type="pct"/>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rPr>
                <w:b/>
                <w:bCs/>
              </w:rPr>
            </w:pPr>
            <w:r>
              <w:rPr>
                <w:rFonts w:hint="eastAsia"/>
                <w:b/>
                <w:bCs/>
              </w:rPr>
              <w:t>3</w:t>
            </w:r>
          </w:p>
        </w:tc>
        <w:tc>
          <w:tcPr>
            <w:tcW w:w="981" w:type="pct"/>
            <w:gridSpan w:val="2"/>
            <w:vAlign w:val="center"/>
          </w:tcPr>
          <w:p>
            <w:pPr>
              <w:pStyle w:val="33"/>
              <w:rPr>
                <w:b/>
                <w:bCs/>
              </w:rPr>
            </w:pPr>
            <w:r>
              <w:rPr>
                <w:rFonts w:hint="eastAsia"/>
                <w:b/>
                <w:bCs/>
              </w:rPr>
              <w:t>噪声</w:t>
            </w:r>
          </w:p>
        </w:tc>
        <w:tc>
          <w:tcPr>
            <w:tcW w:w="2346" w:type="pct"/>
            <w:vAlign w:val="center"/>
          </w:tcPr>
          <w:p>
            <w:pPr>
              <w:pStyle w:val="33"/>
              <w:jc w:val="left"/>
            </w:pPr>
            <w:r>
              <w:rPr>
                <w:rFonts w:hint="eastAsia"/>
              </w:rPr>
              <w:t>（1）在工艺设备选型时，应尽可能选用低噪声设备，并对发声设备采取防震、消声、隔音措施。</w:t>
            </w:r>
          </w:p>
          <w:p>
            <w:pPr>
              <w:pStyle w:val="33"/>
              <w:jc w:val="left"/>
            </w:pPr>
            <w:r>
              <w:rPr>
                <w:rFonts w:hint="eastAsia"/>
              </w:rPr>
              <w:t>（2）建议在项目实施过程中对车间内高低音设备合理布置，将高噪声设备尽量布置在车间中央，加强生产车间厂房的隔声效果。</w:t>
            </w:r>
          </w:p>
          <w:p>
            <w:pPr>
              <w:pStyle w:val="33"/>
              <w:jc w:val="left"/>
            </w:pPr>
            <w:r>
              <w:rPr>
                <w:rFonts w:hint="eastAsia"/>
              </w:rPr>
              <w:t>（3）加强厂区绿化，在厂界区内侧种植高大常绿树种，车间周围加大绿化力度，从而最大限度地衰减噪声。</w:t>
            </w:r>
          </w:p>
        </w:tc>
        <w:tc>
          <w:tcPr>
            <w:tcW w:w="1320" w:type="pct"/>
            <w:vAlign w:val="center"/>
          </w:tcPr>
          <w:p>
            <w:pPr>
              <w:pStyle w:val="33"/>
            </w:pPr>
            <w:r>
              <w:rPr>
                <w:rFonts w:hint="eastAsia"/>
              </w:rPr>
              <w:t>厂界噪声达到《工业企业环境造成排放标准》3类标准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rPr>
                <w:b/>
                <w:bCs/>
              </w:rPr>
            </w:pPr>
            <w:r>
              <w:rPr>
                <w:rFonts w:hint="eastAsia"/>
                <w:b/>
                <w:bCs/>
              </w:rPr>
              <w:t>4</w:t>
            </w:r>
          </w:p>
        </w:tc>
        <w:tc>
          <w:tcPr>
            <w:tcW w:w="4648" w:type="pct"/>
            <w:gridSpan w:val="4"/>
            <w:vAlign w:val="center"/>
          </w:tcPr>
          <w:p>
            <w:pPr>
              <w:pStyle w:val="33"/>
              <w:rPr>
                <w:b/>
                <w:bCs/>
              </w:rPr>
            </w:pPr>
            <w:r>
              <w:rPr>
                <w:rFonts w:hint="eastAsia"/>
                <w:b/>
                <w:bCs/>
              </w:rPr>
              <w:t>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pPr>
            <w:r>
              <w:rPr>
                <w:rFonts w:hint="eastAsia"/>
              </w:rPr>
              <w:t>4.1</w:t>
            </w:r>
          </w:p>
        </w:tc>
        <w:tc>
          <w:tcPr>
            <w:tcW w:w="981" w:type="pct"/>
            <w:gridSpan w:val="2"/>
            <w:vAlign w:val="center"/>
          </w:tcPr>
          <w:p>
            <w:pPr>
              <w:pStyle w:val="33"/>
            </w:pPr>
            <w:r>
              <w:rPr>
                <w:rFonts w:hint="eastAsia"/>
              </w:rPr>
              <w:t>一般固体废弃物</w:t>
            </w:r>
          </w:p>
        </w:tc>
        <w:tc>
          <w:tcPr>
            <w:tcW w:w="2346" w:type="pct"/>
            <w:vAlign w:val="center"/>
          </w:tcPr>
          <w:p>
            <w:pPr>
              <w:pStyle w:val="33"/>
              <w:jc w:val="both"/>
            </w:pPr>
            <w:r>
              <w:rPr>
                <w:rFonts w:hint="eastAsia"/>
              </w:rPr>
              <w:t>厂区设置一个面积为100m</w:t>
            </w:r>
            <w:r>
              <w:rPr>
                <w:rFonts w:hint="eastAsia"/>
                <w:vertAlign w:val="superscript"/>
              </w:rPr>
              <w:t>2</w:t>
            </w:r>
            <w:r>
              <w:rPr>
                <w:rFonts w:hint="eastAsia"/>
              </w:rPr>
              <w:t>的一般固废暂存间，按照《一般工业固体废物贮存和填埋污染控制标准》（GB18599-2020）要求进行建设，外售综合利用的固废在一般固废暂存间暂存。</w:t>
            </w:r>
          </w:p>
        </w:tc>
        <w:tc>
          <w:tcPr>
            <w:tcW w:w="1320" w:type="pct"/>
            <w:vMerge w:val="restart"/>
            <w:vAlign w:val="center"/>
          </w:tcPr>
          <w:p>
            <w:pPr>
              <w:pStyle w:val="33"/>
            </w:pPr>
            <w:r>
              <w:rPr>
                <w:rFonts w:hint="eastAsia"/>
              </w:rPr>
              <w:t>处置率100%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pPr>
            <w:r>
              <w:rPr>
                <w:rFonts w:hint="eastAsia"/>
              </w:rPr>
              <w:t>4.2</w:t>
            </w:r>
          </w:p>
        </w:tc>
        <w:tc>
          <w:tcPr>
            <w:tcW w:w="981" w:type="pct"/>
            <w:gridSpan w:val="2"/>
            <w:vAlign w:val="center"/>
          </w:tcPr>
          <w:p>
            <w:pPr>
              <w:pStyle w:val="33"/>
            </w:pPr>
            <w:r>
              <w:rPr>
                <w:rFonts w:hint="eastAsia"/>
              </w:rPr>
              <w:t>危险废物</w:t>
            </w:r>
          </w:p>
        </w:tc>
        <w:tc>
          <w:tcPr>
            <w:tcW w:w="2346" w:type="pct"/>
            <w:vAlign w:val="center"/>
          </w:tcPr>
          <w:p>
            <w:pPr>
              <w:pStyle w:val="33"/>
            </w:pPr>
            <w:r>
              <w:rPr>
                <w:rFonts w:hint="eastAsia"/>
              </w:rPr>
              <w:t>设置危险废物暂存间，面积为200m</w:t>
            </w:r>
            <w:r>
              <w:rPr>
                <w:rFonts w:hint="eastAsia"/>
                <w:vertAlign w:val="superscript"/>
              </w:rPr>
              <w:t>2</w:t>
            </w:r>
            <w:r>
              <w:rPr>
                <w:rFonts w:hint="eastAsia"/>
              </w:rPr>
              <w:t>，位于一期工程铝灰分离车间南侧，主要暂存铝灰，按照《危险废物贮存污染控制标准》（GB18597-2001）及其修改单的要求进行建设。</w:t>
            </w:r>
          </w:p>
          <w:p>
            <w:pPr>
              <w:pStyle w:val="33"/>
            </w:pPr>
            <w:r>
              <w:rPr>
                <w:rFonts w:hint="eastAsia"/>
              </w:rPr>
              <w:t>危废暂存库需严格按照《危险废物贮存污染控制标准》的要求设计，做好防雨、防渗，防止二次污染。地面采用坚固、防渗、耐腐蚀的材料建造，并设计有堵截泄露的裙脚等设施。库内废物定期由有资质单位的专业运输车辆运输。</w:t>
            </w:r>
          </w:p>
        </w:tc>
        <w:tc>
          <w:tcPr>
            <w:tcW w:w="1320" w:type="pct"/>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rPr>
                <w:b/>
                <w:bCs/>
              </w:rPr>
            </w:pPr>
            <w:r>
              <w:rPr>
                <w:rFonts w:hint="eastAsia"/>
                <w:b/>
                <w:bCs/>
              </w:rPr>
              <w:t>5</w:t>
            </w:r>
          </w:p>
        </w:tc>
        <w:tc>
          <w:tcPr>
            <w:tcW w:w="981" w:type="pct"/>
            <w:gridSpan w:val="2"/>
            <w:vAlign w:val="center"/>
          </w:tcPr>
          <w:p>
            <w:pPr>
              <w:pStyle w:val="33"/>
              <w:rPr>
                <w:b/>
                <w:bCs/>
              </w:rPr>
            </w:pPr>
            <w:r>
              <w:rPr>
                <w:rFonts w:hint="eastAsia"/>
                <w:b/>
                <w:bCs/>
              </w:rPr>
              <w:t>地下水</w:t>
            </w:r>
          </w:p>
        </w:tc>
        <w:tc>
          <w:tcPr>
            <w:tcW w:w="2346" w:type="pct"/>
            <w:vAlign w:val="center"/>
          </w:tcPr>
          <w:p>
            <w:pPr>
              <w:pStyle w:val="33"/>
              <w:jc w:val="left"/>
            </w:pPr>
            <w:r>
              <w:rPr>
                <w:rFonts w:hint="eastAsia"/>
              </w:rPr>
              <w:t>（1）清污分流；</w:t>
            </w:r>
          </w:p>
          <w:p>
            <w:pPr>
              <w:pStyle w:val="33"/>
              <w:jc w:val="left"/>
            </w:pPr>
            <w:r>
              <w:rPr>
                <w:rFonts w:hint="eastAsia"/>
              </w:rPr>
              <w:t>（2）按照要求进行防渗；</w:t>
            </w:r>
          </w:p>
          <w:p>
            <w:pPr>
              <w:pStyle w:val="33"/>
              <w:jc w:val="left"/>
            </w:pPr>
            <w:r>
              <w:rPr>
                <w:rFonts w:hint="eastAsia"/>
              </w:rPr>
              <w:t>（3）地下水污染监控；</w:t>
            </w:r>
          </w:p>
          <w:p>
            <w:pPr>
              <w:pStyle w:val="33"/>
              <w:jc w:val="left"/>
            </w:pPr>
            <w:r>
              <w:rPr>
                <w:rFonts w:hint="eastAsia"/>
              </w:rPr>
              <w:t>（4）应急处理措施。</w:t>
            </w:r>
          </w:p>
        </w:tc>
        <w:tc>
          <w:tcPr>
            <w:tcW w:w="1320" w:type="pct"/>
            <w:vAlign w:val="center"/>
          </w:tcPr>
          <w:p>
            <w:pPr>
              <w:pStyle w:val="33"/>
            </w:pPr>
            <w:r>
              <w:rPr>
                <w:rFonts w:hint="eastAsia"/>
              </w:rPr>
              <w:t>减少运行期对地下水造成的影响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rPr>
                <w:b/>
                <w:bCs/>
              </w:rPr>
            </w:pPr>
            <w:r>
              <w:rPr>
                <w:rFonts w:hint="eastAsia"/>
                <w:b/>
                <w:bCs/>
              </w:rPr>
              <w:t>6</w:t>
            </w:r>
          </w:p>
        </w:tc>
        <w:tc>
          <w:tcPr>
            <w:tcW w:w="981" w:type="pct"/>
            <w:gridSpan w:val="2"/>
            <w:vAlign w:val="center"/>
          </w:tcPr>
          <w:p>
            <w:pPr>
              <w:pStyle w:val="33"/>
            </w:pPr>
            <w:r>
              <w:rPr>
                <w:rFonts w:hint="eastAsia"/>
                <w:b/>
                <w:bCs/>
              </w:rPr>
              <w:t>生态环境</w:t>
            </w:r>
          </w:p>
        </w:tc>
        <w:tc>
          <w:tcPr>
            <w:tcW w:w="2346" w:type="pct"/>
            <w:vAlign w:val="center"/>
          </w:tcPr>
          <w:p>
            <w:pPr>
              <w:pStyle w:val="33"/>
            </w:pPr>
            <w:r>
              <w:rPr>
                <w:rFonts w:hint="eastAsia"/>
              </w:rPr>
              <w:t>加强项目区内绿化的建设，但应注意在项目绿化过程中应优先选择乡土物种，不得引进外来物种，以免物种入侵情况的发生。</w:t>
            </w:r>
          </w:p>
        </w:tc>
        <w:tc>
          <w:tcPr>
            <w:tcW w:w="1320" w:type="pct"/>
            <w:vAlign w:val="center"/>
          </w:tcPr>
          <w:p>
            <w:pPr>
              <w:pStyle w:val="33"/>
            </w:pPr>
            <w:r>
              <w:rPr>
                <w:rFonts w:hint="eastAsia"/>
              </w:rPr>
              <w:t>减少运行期对生态环境造成的影响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1" w:type="pct"/>
            <w:vAlign w:val="center"/>
          </w:tcPr>
          <w:p>
            <w:pPr>
              <w:pStyle w:val="33"/>
              <w:rPr>
                <w:b/>
                <w:bCs/>
              </w:rPr>
            </w:pPr>
            <w:r>
              <w:rPr>
                <w:rFonts w:hint="eastAsia"/>
                <w:b/>
                <w:bCs/>
              </w:rPr>
              <w:t>7</w:t>
            </w:r>
          </w:p>
        </w:tc>
        <w:tc>
          <w:tcPr>
            <w:tcW w:w="981" w:type="pct"/>
            <w:gridSpan w:val="2"/>
            <w:vAlign w:val="center"/>
          </w:tcPr>
          <w:p>
            <w:pPr>
              <w:pStyle w:val="33"/>
            </w:pPr>
            <w:r>
              <w:rPr>
                <w:rFonts w:hint="eastAsia"/>
                <w:b/>
                <w:bCs/>
              </w:rPr>
              <w:t>环境风险</w:t>
            </w:r>
          </w:p>
        </w:tc>
        <w:tc>
          <w:tcPr>
            <w:tcW w:w="2346" w:type="pct"/>
            <w:vAlign w:val="center"/>
          </w:tcPr>
          <w:p>
            <w:pPr>
              <w:pStyle w:val="33"/>
              <w:jc w:val="left"/>
            </w:pPr>
            <w:r>
              <w:rPr>
                <w:rFonts w:hint="eastAsia"/>
              </w:rPr>
              <w:t>1、加强消防安全教育培训</w:t>
            </w:r>
          </w:p>
          <w:p>
            <w:pPr>
              <w:pStyle w:val="33"/>
              <w:jc w:val="left"/>
            </w:pPr>
            <w:r>
              <w:rPr>
                <w:rFonts w:hint="eastAsia"/>
              </w:rPr>
              <w:t>2、加强防火巡查检查</w:t>
            </w:r>
          </w:p>
          <w:p>
            <w:pPr>
              <w:pStyle w:val="33"/>
              <w:jc w:val="left"/>
            </w:pPr>
            <w:r>
              <w:rPr>
                <w:rFonts w:hint="eastAsia"/>
              </w:rPr>
              <w:t>3、加强安全疏散设施管理</w:t>
            </w:r>
          </w:p>
          <w:p>
            <w:pPr>
              <w:pStyle w:val="33"/>
              <w:jc w:val="left"/>
            </w:pPr>
            <w:r>
              <w:rPr>
                <w:rFonts w:hint="eastAsia"/>
              </w:rPr>
              <w:t>4、加强消防设施、器材维护管理</w:t>
            </w:r>
          </w:p>
          <w:p>
            <w:pPr>
              <w:pStyle w:val="33"/>
              <w:jc w:val="left"/>
            </w:pPr>
            <w:r>
              <w:rPr>
                <w:rFonts w:hint="eastAsia"/>
              </w:rPr>
              <w:t>5、在氯气站内设置氯气吸收装置1套及50m</w:t>
            </w:r>
            <w:r>
              <w:rPr>
                <w:rFonts w:hint="eastAsia"/>
                <w:vertAlign w:val="superscript"/>
              </w:rPr>
              <w:t>3</w:t>
            </w:r>
            <w:r>
              <w:rPr>
                <w:rFonts w:hint="eastAsia"/>
              </w:rPr>
              <w:t>事故水池（碱液池）一座。</w:t>
            </w:r>
          </w:p>
          <w:p>
            <w:pPr>
              <w:pStyle w:val="33"/>
              <w:jc w:val="left"/>
            </w:pPr>
            <w:r>
              <w:rPr>
                <w:rFonts w:hint="eastAsia"/>
              </w:rPr>
              <w:t>6、在液氯贮罐区周边设0.5m的事故围堰，围堰内有效容积约90m</w:t>
            </w:r>
            <w:r>
              <w:rPr>
                <w:rFonts w:hint="eastAsia"/>
                <w:vertAlign w:val="superscript"/>
              </w:rPr>
              <w:t>3</w:t>
            </w:r>
            <w:r>
              <w:rPr>
                <w:rFonts w:hint="eastAsia"/>
              </w:rPr>
              <w:t>。</w:t>
            </w:r>
          </w:p>
          <w:p>
            <w:pPr>
              <w:pStyle w:val="33"/>
              <w:jc w:val="left"/>
            </w:pPr>
            <w:r>
              <w:rPr>
                <w:rFonts w:hint="eastAsia"/>
              </w:rPr>
              <w:t>7、在厂区设置一座容积为80m³的事故水池。</w:t>
            </w:r>
          </w:p>
          <w:p>
            <w:pPr>
              <w:pStyle w:val="33"/>
              <w:jc w:val="left"/>
            </w:pPr>
            <w:r>
              <w:rPr>
                <w:rFonts w:hint="eastAsia"/>
              </w:rPr>
              <w:t>8、企业编制专门的应急预案报告，并到环保局进行备案。</w:t>
            </w:r>
          </w:p>
        </w:tc>
        <w:tc>
          <w:tcPr>
            <w:tcW w:w="1320" w:type="pct"/>
            <w:vAlign w:val="center"/>
          </w:tcPr>
          <w:p>
            <w:pPr>
              <w:pStyle w:val="33"/>
            </w:pPr>
            <w:r>
              <w:rPr>
                <w:szCs w:val="21"/>
              </w:rPr>
              <w:t>保证事故状态下废水不外排进入厂界外环境</w:t>
            </w:r>
          </w:p>
        </w:tc>
      </w:tr>
    </w:tbl>
    <w:p>
      <w:pPr>
        <w:pStyle w:val="5"/>
      </w:pPr>
      <w:bookmarkStart w:id="173" w:name="_Toc2083"/>
      <w:r>
        <w:rPr>
          <w:rFonts w:hint="eastAsia"/>
          <w:lang w:val="en-US" w:eastAsia="zh-CN"/>
        </w:rPr>
        <w:t>9</w:t>
      </w:r>
      <w:r>
        <w:rPr>
          <w:rFonts w:hint="eastAsia"/>
        </w:rPr>
        <w:t>.4总量控制建议</w:t>
      </w:r>
      <w:bookmarkEnd w:id="173"/>
    </w:p>
    <w:p>
      <w:pPr>
        <w:pStyle w:val="8"/>
      </w:pPr>
      <w:r>
        <w:rPr>
          <w:rFonts w:hint="eastAsia"/>
          <w:lang w:val="en-US" w:eastAsia="zh-CN"/>
        </w:rPr>
        <w:t>9</w:t>
      </w:r>
      <w:r>
        <w:rPr>
          <w:rFonts w:hint="eastAsia"/>
        </w:rPr>
        <w:t>.4.1总量控制的目的</w:t>
      </w:r>
    </w:p>
    <w:p>
      <w:pPr>
        <w:pStyle w:val="7"/>
        <w:ind w:firstLine="480"/>
        <w:rPr>
          <w:rFonts w:hint="eastAsia"/>
        </w:rPr>
      </w:pPr>
      <w:r>
        <w:rPr>
          <w:rFonts w:hint="eastAsia"/>
        </w:rPr>
        <w:t>按照总量控制的基本精神，污染物排放总量控制是针对工程分析、环保治理措施及环境影响预测和分析的结果，分析确定建设项目废水、废气、固体废物的排放总量控制方案。本环评结合建设项目的有关资料，确定了项目营运期各类污染物的排放量。通过对建设项目的工程分析和环保治理措施的评估，提出本项目污染物排放总量控制的建议，从而更好的保护环境。</w:t>
      </w:r>
    </w:p>
    <w:p>
      <w:pPr>
        <w:pStyle w:val="7"/>
        <w:ind w:firstLine="480"/>
        <w:rPr>
          <w:rFonts w:hint="eastAsia"/>
        </w:rPr>
      </w:pPr>
    </w:p>
    <w:p>
      <w:pPr>
        <w:pStyle w:val="7"/>
        <w:ind w:firstLine="480"/>
        <w:rPr>
          <w:rFonts w:hint="eastAsia"/>
        </w:rPr>
      </w:pPr>
    </w:p>
    <w:p>
      <w:pPr>
        <w:pStyle w:val="8"/>
      </w:pPr>
      <w:r>
        <w:rPr>
          <w:rFonts w:hint="eastAsia"/>
          <w:lang w:val="en-US" w:eastAsia="zh-CN"/>
        </w:rPr>
        <w:t>9</w:t>
      </w:r>
      <w:r>
        <w:rPr>
          <w:rFonts w:hint="eastAsia"/>
        </w:rPr>
        <w:t>.3.2总量控制</w:t>
      </w:r>
    </w:p>
    <w:p>
      <w:pPr>
        <w:pStyle w:val="7"/>
        <w:ind w:firstLine="482"/>
        <w:rPr>
          <w:b/>
          <w:bCs/>
        </w:rPr>
      </w:pPr>
      <w:r>
        <w:rPr>
          <w:rFonts w:hint="eastAsia"/>
          <w:b/>
          <w:bCs/>
        </w:rPr>
        <w:t>1、废气</w:t>
      </w:r>
    </w:p>
    <w:p>
      <w:pPr>
        <w:adjustRightInd w:val="0"/>
        <w:snapToGrid w:val="0"/>
        <w:spacing w:line="360" w:lineRule="auto"/>
        <w:ind w:firstLine="480" w:firstLineChars="200"/>
      </w:pPr>
      <w:r>
        <w:rPr>
          <w:rFonts w:hint="eastAsia"/>
        </w:rPr>
        <w:t>根据工程分析核算，本项目建议总量控制指标为：二氧化硫15.21t/a，氮氧化物60.34t/a，颗粒物51.96t/a。</w:t>
      </w:r>
    </w:p>
    <w:p>
      <w:pPr>
        <w:pStyle w:val="7"/>
        <w:ind w:firstLine="482"/>
        <w:rPr>
          <w:b/>
          <w:bCs/>
        </w:rPr>
      </w:pPr>
      <w:r>
        <w:rPr>
          <w:rFonts w:hint="eastAsia"/>
          <w:b/>
          <w:bCs/>
        </w:rPr>
        <w:t>2、废水</w:t>
      </w:r>
    </w:p>
    <w:p>
      <w:pPr>
        <w:pStyle w:val="7"/>
        <w:ind w:firstLine="480"/>
      </w:pPr>
      <w:r>
        <w:rPr>
          <w:rFonts w:hint="eastAsia"/>
        </w:rPr>
        <w:t>本项目初期雨水收集沉淀后作为厂区绿化用水回用，多余部分用于冷却循环系统补充水，冷却循环系统定期排水及生活污水经预处理后通过市政污水管网进入砚山县第一污水处理厂处理，不直接外排。项目废水污染物总量计入砚山县第一污水处理厂，不需要单独申请总量。</w:t>
      </w:r>
    </w:p>
    <w:p>
      <w:pPr>
        <w:pStyle w:val="7"/>
        <w:ind w:firstLine="482"/>
        <w:rPr>
          <w:b/>
          <w:bCs/>
        </w:rPr>
      </w:pPr>
      <w:r>
        <w:rPr>
          <w:rFonts w:hint="eastAsia"/>
          <w:b/>
          <w:bCs/>
        </w:rPr>
        <w:t>3、固体废物</w:t>
      </w:r>
    </w:p>
    <w:p>
      <w:pPr>
        <w:pStyle w:val="7"/>
        <w:ind w:firstLine="480"/>
      </w:pPr>
      <w:r>
        <w:rPr>
          <w:rFonts w:hint="eastAsia"/>
        </w:rPr>
        <w:t>固体废弃物处置率100%。</w:t>
      </w:r>
    </w:p>
    <w:p>
      <w:pPr>
        <w:pStyle w:val="7"/>
        <w:ind w:firstLine="480"/>
        <w:sectPr>
          <w:pgSz w:w="11906" w:h="16838"/>
          <w:pgMar w:top="1440" w:right="1417" w:bottom="1440" w:left="1417" w:header="851" w:footer="992" w:gutter="0"/>
          <w:cols w:space="425" w:num="1"/>
          <w:docGrid w:type="lines" w:linePitch="312" w:charSpace="0"/>
        </w:sectPr>
      </w:pPr>
    </w:p>
    <w:p>
      <w:pPr>
        <w:pStyle w:val="4"/>
      </w:pPr>
      <w:bookmarkStart w:id="174" w:name="_Toc12582"/>
      <w:r>
        <w:rPr>
          <w:rFonts w:hint="eastAsia"/>
          <w:lang w:val="en-US" w:eastAsia="zh-CN"/>
        </w:rPr>
        <w:t>10</w:t>
      </w:r>
      <w:r>
        <w:rPr>
          <w:rFonts w:hint="eastAsia"/>
        </w:rPr>
        <w:t xml:space="preserve"> 环境影响经济损益分析</w:t>
      </w:r>
      <w:bookmarkEnd w:id="174"/>
    </w:p>
    <w:p>
      <w:pPr>
        <w:pStyle w:val="7"/>
        <w:ind w:firstLine="480"/>
      </w:pPr>
      <w:r>
        <w:rPr>
          <w:rFonts w:hint="eastAsia"/>
        </w:rPr>
        <w:t>环境经济损益分析就是要从经济的角度分析经济发展与环境的协调性，分析建设项目环保投资及其投资所获得的环境、经济效益。</w:t>
      </w:r>
    </w:p>
    <w:p>
      <w:pPr>
        <w:pStyle w:val="7"/>
        <w:ind w:firstLine="480"/>
      </w:pPr>
      <w:r>
        <w:rPr>
          <w:rFonts w:hint="eastAsia"/>
        </w:rPr>
        <w:t>本评价的环境经济损益分析，按本项目的经济效益、社会效益和环保投资环境经济损益逐项分析。</w:t>
      </w:r>
    </w:p>
    <w:p>
      <w:pPr>
        <w:pStyle w:val="5"/>
      </w:pPr>
      <w:bookmarkStart w:id="175" w:name="_Toc29609"/>
      <w:r>
        <w:rPr>
          <w:rFonts w:hint="eastAsia"/>
          <w:lang w:val="en-US" w:eastAsia="zh-CN"/>
        </w:rPr>
        <w:t>10</w:t>
      </w:r>
      <w:r>
        <w:rPr>
          <w:rFonts w:hint="eastAsia"/>
        </w:rPr>
        <w:t>.1社会经济效益分析</w:t>
      </w:r>
      <w:bookmarkEnd w:id="175"/>
    </w:p>
    <w:p>
      <w:pPr>
        <w:pStyle w:val="7"/>
        <w:ind w:firstLine="480"/>
      </w:pPr>
      <w:r>
        <w:rPr>
          <w:rFonts w:hint="eastAsia"/>
        </w:rPr>
        <w:t>本项目具有较强的盈利能力、抗风险能力和贷款偿还能力，具有明显的投资优势，有一定的经济效益。</w:t>
      </w:r>
    </w:p>
    <w:p>
      <w:pPr>
        <w:pStyle w:val="7"/>
        <w:ind w:firstLine="480"/>
      </w:pPr>
      <w:r>
        <w:rPr>
          <w:rFonts w:hint="eastAsia"/>
        </w:rPr>
        <w:t>云南省具有丰富的水力资源，本项目的建设将水电资源优势转化为产业优势，不仅将改进地方产业结构，增加国家和地方的财政收入，为社会提供一定的就业机会，而且还将带动项目所在地区的建筑、建材、电力、机械、运输及服务等相关行业的发展，促进项目所在地区的经济发展和社会进步，增加附近居民的就业机会，增加个人收入，对提高当地人民生活质量有重大意义。可见，本项目是一项具有良好社会效益的项目。</w:t>
      </w:r>
    </w:p>
    <w:p>
      <w:pPr>
        <w:pStyle w:val="5"/>
      </w:pPr>
      <w:bookmarkStart w:id="176" w:name="_Toc19116"/>
      <w:r>
        <w:rPr>
          <w:rFonts w:hint="eastAsia"/>
          <w:lang w:val="en-US" w:eastAsia="zh-CN"/>
        </w:rPr>
        <w:t>10</w:t>
      </w:r>
      <w:r>
        <w:rPr>
          <w:rFonts w:hint="eastAsia"/>
        </w:rPr>
        <w:t>.2环保设施项目组成及投资分析</w:t>
      </w:r>
      <w:bookmarkEnd w:id="176"/>
    </w:p>
    <w:p>
      <w:pPr>
        <w:pStyle w:val="7"/>
        <w:ind w:firstLine="480"/>
      </w:pPr>
      <w:r>
        <w:rPr>
          <w:rFonts w:hint="eastAsia"/>
        </w:rPr>
        <w:t>本项目总投资118065.06万元，环保投资545.5万元，占项目总投资的0.46%。项目环保投资主要包括：废水处理、废气治理、噪声治理、固废处置等，主要费用为废气、废水治理设施的投资。具体投资明细见表</w:t>
      </w:r>
      <w:r>
        <w:rPr>
          <w:rFonts w:hint="eastAsia"/>
          <w:lang w:val="en-US" w:eastAsia="zh-CN"/>
        </w:rPr>
        <w:t>10</w:t>
      </w:r>
      <w:r>
        <w:rPr>
          <w:rFonts w:hint="eastAsia"/>
        </w:rPr>
        <w:t>.2-1。</w:t>
      </w:r>
    </w:p>
    <w:p>
      <w:pPr>
        <w:pStyle w:val="31"/>
      </w:pPr>
      <w:r>
        <w:rPr>
          <w:rFonts w:hint="eastAsia"/>
        </w:rPr>
        <w:t>表</w:t>
      </w:r>
      <w:r>
        <w:rPr>
          <w:rFonts w:hint="eastAsia"/>
          <w:lang w:val="en-US" w:eastAsia="zh-CN"/>
        </w:rPr>
        <w:t>10</w:t>
      </w:r>
      <w:r>
        <w:rPr>
          <w:rFonts w:hint="eastAsia"/>
        </w:rPr>
        <w:t>.2-1  项目环保投资明细表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
        <w:gridCol w:w="472"/>
        <w:gridCol w:w="472"/>
        <w:gridCol w:w="1934"/>
        <w:gridCol w:w="2839"/>
        <w:gridCol w:w="1014"/>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序号</w:t>
            </w:r>
          </w:p>
        </w:tc>
        <w:tc>
          <w:tcPr>
            <w:tcW w:w="1689" w:type="pct"/>
            <w:gridSpan w:val="3"/>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项目</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工程内容</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投资</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7"/>
            <w:tcBorders>
              <w:top w:val="single" w:color="auto" w:sz="4" w:space="0"/>
              <w:left w:val="single" w:color="auto" w:sz="4" w:space="0"/>
              <w:bottom w:val="single" w:color="auto" w:sz="4" w:space="0"/>
              <w:right w:val="single" w:color="auto" w:sz="4" w:space="0"/>
            </w:tcBorders>
            <w:vAlign w:val="center"/>
          </w:tcPr>
          <w:p>
            <w:pPr>
              <w:pStyle w:val="33"/>
            </w:pPr>
            <w:r>
              <w:rPr>
                <w:rFonts w:hint="eastAsia"/>
                <w:b/>
                <w:bCs/>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277" w:type="pct"/>
            <w:vMerge w:val="restar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施工期</w:t>
            </w:r>
          </w:p>
        </w:tc>
        <w:tc>
          <w:tcPr>
            <w:tcW w:w="1412" w:type="pct"/>
            <w:gridSpan w:val="2"/>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洒水降尘</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洒水降尘等</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4</w:t>
            </w:r>
            <w:r>
              <w:t>.0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t>2</w:t>
            </w:r>
          </w:p>
        </w:tc>
        <w:tc>
          <w:tcPr>
            <w:tcW w:w="277" w:type="pct"/>
            <w:vMerge w:val="continue"/>
            <w:tcBorders>
              <w:top w:val="single" w:color="auto" w:sz="4" w:space="0"/>
              <w:left w:val="single" w:color="auto" w:sz="4" w:space="0"/>
              <w:bottom w:val="single" w:color="auto" w:sz="4" w:space="0"/>
              <w:right w:val="single" w:color="auto" w:sz="4" w:space="0"/>
            </w:tcBorders>
            <w:vAlign w:val="center"/>
          </w:tcPr>
          <w:p>
            <w:pPr>
              <w:pStyle w:val="33"/>
            </w:pPr>
          </w:p>
        </w:tc>
        <w:tc>
          <w:tcPr>
            <w:tcW w:w="1412" w:type="pct"/>
            <w:gridSpan w:val="2"/>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废水治理</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2座沉淀池（每个容积</w:t>
            </w:r>
            <w:r>
              <w:t>10m</w:t>
            </w:r>
            <w:r>
              <w:rPr>
                <w:vertAlign w:val="superscript"/>
              </w:rPr>
              <w:t>3</w:t>
            </w:r>
            <w:r>
              <w:rPr>
                <w:rFonts w:hint="eastAsia"/>
              </w:rPr>
              <w:t>）</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4.0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t>3</w:t>
            </w:r>
          </w:p>
        </w:tc>
        <w:tc>
          <w:tcPr>
            <w:tcW w:w="277" w:type="pct"/>
            <w:vMerge w:val="continue"/>
            <w:tcBorders>
              <w:top w:val="single" w:color="auto" w:sz="4" w:space="0"/>
              <w:left w:val="single" w:color="auto" w:sz="4" w:space="0"/>
              <w:bottom w:val="single" w:color="auto" w:sz="4" w:space="0"/>
              <w:right w:val="single" w:color="auto" w:sz="4" w:space="0"/>
            </w:tcBorders>
            <w:vAlign w:val="center"/>
          </w:tcPr>
          <w:p>
            <w:pPr>
              <w:pStyle w:val="33"/>
            </w:pPr>
          </w:p>
        </w:tc>
        <w:tc>
          <w:tcPr>
            <w:tcW w:w="1412" w:type="pct"/>
            <w:gridSpan w:val="2"/>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噪声防治</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采用低噪设备</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t>3.</w:t>
            </w:r>
            <w:r>
              <w:rPr>
                <w:rFonts w:hint="eastAsia"/>
              </w:rPr>
              <w:t>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t>4</w:t>
            </w:r>
          </w:p>
        </w:tc>
        <w:tc>
          <w:tcPr>
            <w:tcW w:w="277" w:type="pct"/>
            <w:vMerge w:val="continue"/>
            <w:tcBorders>
              <w:top w:val="single" w:color="auto" w:sz="4" w:space="0"/>
              <w:left w:val="single" w:color="auto" w:sz="4" w:space="0"/>
              <w:bottom w:val="single" w:color="auto" w:sz="4" w:space="0"/>
              <w:right w:val="single" w:color="auto" w:sz="4" w:space="0"/>
            </w:tcBorders>
            <w:vAlign w:val="center"/>
          </w:tcPr>
          <w:p>
            <w:pPr>
              <w:pStyle w:val="33"/>
            </w:pPr>
          </w:p>
        </w:tc>
        <w:tc>
          <w:tcPr>
            <w:tcW w:w="1412" w:type="pct"/>
            <w:gridSpan w:val="2"/>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生活垃圾收集</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设置垃圾桶（4个）</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0.4</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77" w:type="pct"/>
            <w:gridSpan w:val="5"/>
            <w:tcBorders>
              <w:top w:val="single" w:color="auto" w:sz="4" w:space="0"/>
              <w:left w:val="single" w:color="auto" w:sz="4" w:space="0"/>
              <w:bottom w:val="single" w:color="auto" w:sz="4" w:space="0"/>
              <w:right w:val="single" w:color="auto" w:sz="4" w:space="0"/>
            </w:tcBorders>
            <w:vAlign w:val="center"/>
          </w:tcPr>
          <w:p>
            <w:pPr>
              <w:pStyle w:val="33"/>
            </w:pPr>
            <w:r>
              <w:rPr>
                <w:rFonts w:hint="eastAsia"/>
                <w:b/>
                <w:bCs/>
              </w:rPr>
              <w:t>小计</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b/>
                <w:bCs/>
              </w:rPr>
              <w:t>11.9</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7"/>
            <w:tcBorders>
              <w:top w:val="single" w:color="auto" w:sz="4" w:space="0"/>
              <w:left w:val="single" w:color="auto" w:sz="4" w:space="0"/>
              <w:bottom w:val="single" w:color="auto" w:sz="4" w:space="0"/>
              <w:right w:val="single" w:color="auto" w:sz="4" w:space="0"/>
            </w:tcBorders>
            <w:vAlign w:val="center"/>
          </w:tcPr>
          <w:p>
            <w:pPr>
              <w:pStyle w:val="33"/>
            </w:pPr>
            <w:r>
              <w:rPr>
                <w:rFonts w:hint="eastAsia"/>
                <w:b/>
                <w:bCs/>
              </w:rPr>
              <w:t>运行期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w:t>
            </w:r>
          </w:p>
        </w:tc>
        <w:tc>
          <w:tcPr>
            <w:tcW w:w="277" w:type="pct"/>
            <w:vMerge w:val="restart"/>
            <w:tcBorders>
              <w:top w:val="single" w:color="auto" w:sz="4" w:space="0"/>
              <w:left w:val="single" w:color="auto" w:sz="4" w:space="0"/>
              <w:right w:val="single" w:color="auto" w:sz="4" w:space="0"/>
            </w:tcBorders>
            <w:vAlign w:val="center"/>
          </w:tcPr>
          <w:p>
            <w:pPr>
              <w:pStyle w:val="33"/>
              <w:rPr>
                <w:b/>
                <w:bCs/>
              </w:rPr>
            </w:pPr>
            <w:r>
              <w:rPr>
                <w:rFonts w:hint="eastAsia"/>
                <w:b/>
                <w:bCs/>
              </w:rPr>
              <w:t>一期工程</w:t>
            </w:r>
          </w:p>
        </w:tc>
        <w:tc>
          <w:tcPr>
            <w:tcW w:w="277" w:type="pct"/>
            <w:vMerge w:val="restart"/>
            <w:tcBorders>
              <w:top w:val="single" w:color="auto" w:sz="4" w:space="0"/>
              <w:left w:val="single" w:color="auto" w:sz="4" w:space="0"/>
              <w:right w:val="single" w:color="auto" w:sz="4" w:space="0"/>
            </w:tcBorders>
            <w:vAlign w:val="center"/>
          </w:tcPr>
          <w:p>
            <w:pPr>
              <w:pStyle w:val="33"/>
              <w:rPr>
                <w:b/>
                <w:bCs/>
              </w:rPr>
            </w:pPr>
            <w:r>
              <w:rPr>
                <w:rFonts w:hint="eastAsia"/>
                <w:b/>
                <w:bCs/>
              </w:rPr>
              <w:t>废水</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化粪池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2座，每座容积15m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continue"/>
            <w:tcBorders>
              <w:left w:val="single" w:color="auto" w:sz="4" w:space="0"/>
              <w:right w:val="single" w:color="auto" w:sz="4" w:space="0"/>
            </w:tcBorders>
            <w:vAlign w:val="center"/>
          </w:tcPr>
          <w:p>
            <w:pPr>
              <w:pStyle w:val="33"/>
              <w:rPr>
                <w:b/>
                <w:bCs/>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隔油池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1座，容积3m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0.5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continue"/>
            <w:tcBorders>
              <w:left w:val="single" w:color="auto" w:sz="4" w:space="0"/>
              <w:right w:val="single" w:color="auto" w:sz="4" w:space="0"/>
            </w:tcBorders>
            <w:vAlign w:val="center"/>
          </w:tcPr>
          <w:p>
            <w:pPr>
              <w:pStyle w:val="33"/>
              <w:rPr>
                <w:b/>
                <w:bCs/>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初期雨水收集池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1座，容积640m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w:t>
            </w: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continue"/>
            <w:tcBorders>
              <w:left w:val="single" w:color="auto" w:sz="4" w:space="0"/>
              <w:right w:val="single" w:color="auto" w:sz="4" w:space="0"/>
            </w:tcBorders>
            <w:vAlign w:val="center"/>
          </w:tcPr>
          <w:p>
            <w:pPr>
              <w:pStyle w:val="33"/>
              <w:rPr>
                <w:b/>
                <w:bCs/>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圆铸锭循环水池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1座，容积3920m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continue"/>
            <w:tcBorders>
              <w:left w:val="single" w:color="auto" w:sz="4" w:space="0"/>
              <w:right w:val="single" w:color="auto" w:sz="4" w:space="0"/>
            </w:tcBorders>
            <w:vAlign w:val="center"/>
          </w:tcPr>
          <w:p>
            <w:pPr>
              <w:pStyle w:val="33"/>
              <w:rPr>
                <w:b/>
                <w:bCs/>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板锭循环水池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1座，容积3920m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4</w:t>
            </w: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continue"/>
            <w:tcBorders>
              <w:left w:val="single" w:color="auto" w:sz="4" w:space="0"/>
              <w:right w:val="single" w:color="auto" w:sz="4" w:space="0"/>
            </w:tcBorders>
            <w:vAlign w:val="center"/>
          </w:tcPr>
          <w:p>
            <w:pPr>
              <w:pStyle w:val="33"/>
              <w:rPr>
                <w:b/>
                <w:bCs/>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事故水池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1座，容积80m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6</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5</w:t>
            </w: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continue"/>
            <w:tcBorders>
              <w:left w:val="single" w:color="auto" w:sz="4" w:space="0"/>
              <w:right w:val="single" w:color="auto" w:sz="4" w:space="0"/>
            </w:tcBorders>
            <w:vAlign w:val="center"/>
          </w:tcPr>
          <w:p>
            <w:pPr>
              <w:pStyle w:val="33"/>
              <w:rPr>
                <w:b/>
                <w:bCs/>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污水处理站</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w:t>
            </w:r>
            <w:r>
              <w:t>座</w:t>
            </w:r>
            <w:r>
              <w:rPr>
                <w:rFonts w:hint="eastAsia"/>
              </w:rPr>
              <w:t>，处理规模1m</w:t>
            </w:r>
            <w:r>
              <w:rPr>
                <w:rFonts w:hint="eastAsia"/>
                <w:vertAlign w:val="superscript"/>
              </w:rPr>
              <w:t>3</w:t>
            </w:r>
            <w:r>
              <w:rPr>
                <w:rFonts w:hint="eastAsia"/>
              </w:rPr>
              <w:t>/h</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6</w:t>
            </w:r>
          </w:p>
        </w:tc>
        <w:tc>
          <w:tcPr>
            <w:tcW w:w="277" w:type="pct"/>
            <w:vMerge w:val="continue"/>
            <w:tcBorders>
              <w:left w:val="single" w:color="auto" w:sz="4" w:space="0"/>
              <w:right w:val="single" w:color="auto" w:sz="4" w:space="0"/>
            </w:tcBorders>
            <w:vAlign w:val="center"/>
          </w:tcPr>
          <w:p>
            <w:pPr>
              <w:pStyle w:val="33"/>
              <w:rPr>
                <w:b/>
                <w:bCs/>
              </w:rPr>
            </w:pPr>
          </w:p>
        </w:tc>
        <w:tc>
          <w:tcPr>
            <w:tcW w:w="277" w:type="pct"/>
            <w:vMerge w:val="restart"/>
            <w:tcBorders>
              <w:left w:val="single" w:color="auto" w:sz="4" w:space="0"/>
              <w:right w:val="single" w:color="auto" w:sz="4" w:space="0"/>
            </w:tcBorders>
            <w:vAlign w:val="center"/>
          </w:tcPr>
          <w:p>
            <w:pPr>
              <w:pStyle w:val="33"/>
              <w:rPr>
                <w:b/>
                <w:bCs/>
              </w:rPr>
            </w:pPr>
            <w:r>
              <w:rPr>
                <w:rFonts w:hint="eastAsia"/>
                <w:b/>
                <w:bCs/>
              </w:rPr>
              <w:t>废气</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熔保炉废气</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石灰粉+布袋除尘器1套；35m烟囱排放</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60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7</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rPr>
                <w:highlight w:val="yellow"/>
              </w:rPr>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铝灰分离机废气</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布袋除尘器1套；20m烟囱排放</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8</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szCs w:val="21"/>
              </w:rPr>
              <w:t>均质炉废气</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3座25m烟囱排放</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18</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rPr>
                <w:szCs w:val="21"/>
              </w:rPr>
            </w:pPr>
            <w:r>
              <w:rPr>
                <w:rFonts w:hint="eastAsia"/>
                <w:szCs w:val="21"/>
              </w:rPr>
              <w:t>油烟废气</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szCs w:val="21"/>
              </w:rPr>
            </w:pPr>
            <w:r>
              <w:rPr>
                <w:rFonts w:hint="eastAsia"/>
                <w:szCs w:val="21"/>
              </w:rPr>
              <w:t>油烟净化装置1套，排气口位于楼顶</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9</w:t>
            </w:r>
          </w:p>
        </w:tc>
        <w:tc>
          <w:tcPr>
            <w:tcW w:w="277" w:type="pct"/>
            <w:vMerge w:val="continue"/>
            <w:tcBorders>
              <w:left w:val="single" w:color="auto" w:sz="4" w:space="0"/>
              <w:right w:val="single" w:color="auto" w:sz="4" w:space="0"/>
            </w:tcBorders>
            <w:vAlign w:val="center"/>
          </w:tcPr>
          <w:p>
            <w:pPr>
              <w:pStyle w:val="33"/>
            </w:pPr>
          </w:p>
        </w:tc>
        <w:tc>
          <w:tcPr>
            <w:tcW w:w="277" w:type="pct"/>
            <w:vMerge w:val="restart"/>
            <w:tcBorders>
              <w:left w:val="single" w:color="auto" w:sz="4" w:space="0"/>
              <w:right w:val="single" w:color="auto" w:sz="4" w:space="0"/>
            </w:tcBorders>
            <w:vAlign w:val="center"/>
          </w:tcPr>
          <w:p>
            <w:pPr>
              <w:pStyle w:val="33"/>
            </w:pPr>
            <w:r>
              <w:rPr>
                <w:rFonts w:hint="eastAsia"/>
                <w:b/>
                <w:bCs/>
              </w:rPr>
              <w:t>固废</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一般固废暂存间</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1间，面积100m</w:t>
            </w:r>
            <w:r>
              <w:rPr>
                <w:rFonts w:hint="eastAsia"/>
                <w:vertAlign w:val="superscript"/>
              </w:rPr>
              <w:t>2</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10</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危废暂存间</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1间，面积200m</w:t>
            </w:r>
            <w:r>
              <w:rPr>
                <w:rFonts w:hint="eastAsia"/>
                <w:vertAlign w:val="superscript"/>
              </w:rPr>
              <w:t>2</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14</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11</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生活垃圾收集筒</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15个</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12</w:t>
            </w:r>
          </w:p>
        </w:tc>
        <w:tc>
          <w:tcPr>
            <w:tcW w:w="277" w:type="pct"/>
            <w:vMerge w:val="continue"/>
            <w:tcBorders>
              <w:left w:val="single" w:color="auto" w:sz="4" w:space="0"/>
              <w:right w:val="single" w:color="auto" w:sz="4" w:space="0"/>
            </w:tcBorders>
            <w:vAlign w:val="center"/>
          </w:tcPr>
          <w:p>
            <w:pPr>
              <w:pStyle w:val="33"/>
            </w:pPr>
          </w:p>
        </w:tc>
        <w:tc>
          <w:tcPr>
            <w:tcW w:w="277" w:type="pct"/>
            <w:vMerge w:val="restart"/>
            <w:tcBorders>
              <w:left w:val="single" w:color="auto" w:sz="4" w:space="0"/>
              <w:right w:val="single" w:color="auto" w:sz="4" w:space="0"/>
            </w:tcBorders>
            <w:vAlign w:val="center"/>
          </w:tcPr>
          <w:p>
            <w:pPr>
              <w:pStyle w:val="33"/>
            </w:pPr>
            <w:r>
              <w:rPr>
                <w:rFonts w:hint="eastAsia"/>
                <w:b/>
                <w:bCs/>
              </w:rPr>
              <w:t>分区防渗</w:t>
            </w:r>
          </w:p>
        </w:tc>
        <w:tc>
          <w:tcPr>
            <w:tcW w:w="1135" w:type="pct"/>
            <w:tcBorders>
              <w:top w:val="single" w:color="auto" w:sz="4" w:space="0"/>
              <w:left w:val="single" w:color="auto" w:sz="4" w:space="0"/>
              <w:right w:val="single" w:color="auto" w:sz="4" w:space="0"/>
            </w:tcBorders>
            <w:vAlign w:val="center"/>
          </w:tcPr>
          <w:p>
            <w:pPr>
              <w:pStyle w:val="33"/>
            </w:pPr>
            <w:r>
              <w:rPr>
                <w:rFonts w:hint="eastAsia"/>
              </w:rPr>
              <w:t>重点防渗区</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氯气站、污水处理站、循环水池、初期雨水收集池、化粪池、隔油池、铝灰分离车间、危废暂存间</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45.6</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right w:val="single" w:color="auto" w:sz="4" w:space="0"/>
            </w:tcBorders>
            <w:vAlign w:val="center"/>
          </w:tcPr>
          <w:p>
            <w:pPr>
              <w:pStyle w:val="33"/>
            </w:pPr>
            <w:r>
              <w:rPr>
                <w:rFonts w:hint="eastAsia"/>
              </w:rPr>
              <w:t>13</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right w:val="single" w:color="auto" w:sz="4" w:space="0"/>
            </w:tcBorders>
            <w:vAlign w:val="center"/>
          </w:tcPr>
          <w:p>
            <w:pPr>
              <w:pStyle w:val="33"/>
            </w:pPr>
            <w:r>
              <w:rPr>
                <w:rFonts w:hint="eastAsia"/>
              </w:rPr>
              <w:t>一般防渗区</w:t>
            </w:r>
          </w:p>
        </w:tc>
        <w:tc>
          <w:tcPr>
            <w:tcW w:w="1665" w:type="pct"/>
            <w:tcBorders>
              <w:top w:val="single" w:color="auto" w:sz="4" w:space="0"/>
              <w:left w:val="single" w:color="auto" w:sz="4" w:space="0"/>
              <w:right w:val="single" w:color="auto" w:sz="4" w:space="0"/>
            </w:tcBorders>
            <w:vAlign w:val="center"/>
          </w:tcPr>
          <w:p>
            <w:pPr>
              <w:pStyle w:val="33"/>
            </w:pPr>
            <w:r>
              <w:rPr>
                <w:rFonts w:hint="eastAsia"/>
              </w:rPr>
              <w:t>原材料库、加工车间、货场、成品仓库、综合站房、一般固废暂存间</w:t>
            </w:r>
          </w:p>
        </w:tc>
        <w:tc>
          <w:tcPr>
            <w:tcW w:w="595" w:type="pct"/>
            <w:tcBorders>
              <w:top w:val="single" w:color="auto" w:sz="4" w:space="0"/>
              <w:left w:val="single" w:color="auto" w:sz="4" w:space="0"/>
              <w:right w:val="single" w:color="auto" w:sz="4" w:space="0"/>
            </w:tcBorders>
            <w:vAlign w:val="center"/>
          </w:tcPr>
          <w:p>
            <w:pPr>
              <w:pStyle w:val="33"/>
            </w:pPr>
            <w:r>
              <w:rPr>
                <w:rFonts w:hint="eastAsia"/>
              </w:rPr>
              <w:t>34.2</w:t>
            </w:r>
          </w:p>
        </w:tc>
        <w:tc>
          <w:tcPr>
            <w:tcW w:w="727" w:type="pct"/>
            <w:tcBorders>
              <w:top w:val="single" w:color="auto" w:sz="4" w:space="0"/>
              <w:left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14</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简单防渗区</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办公室、配电室、厂区道路等区域</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22</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412" w:type="pct"/>
            <w:gridSpan w:val="2"/>
            <w:tcBorders>
              <w:left w:val="single" w:color="auto" w:sz="4" w:space="0"/>
              <w:right w:val="single" w:color="auto" w:sz="4" w:space="0"/>
            </w:tcBorders>
            <w:vAlign w:val="center"/>
          </w:tcPr>
          <w:p>
            <w:pPr>
              <w:pStyle w:val="33"/>
              <w:rPr>
                <w:b/>
                <w:bCs/>
              </w:rPr>
            </w:pPr>
            <w:r>
              <w:rPr>
                <w:rFonts w:hint="eastAsia"/>
                <w:b/>
                <w:bCs/>
              </w:rPr>
              <w:t>噪声治理</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加装减震垫，各设备定期保养维护</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412" w:type="pct"/>
            <w:gridSpan w:val="2"/>
            <w:vMerge w:val="restart"/>
            <w:tcBorders>
              <w:left w:val="single" w:color="auto" w:sz="4" w:space="0"/>
              <w:right w:val="single" w:color="auto" w:sz="4" w:space="0"/>
            </w:tcBorders>
            <w:vAlign w:val="center"/>
          </w:tcPr>
          <w:p>
            <w:pPr>
              <w:pStyle w:val="33"/>
            </w:pPr>
            <w:r>
              <w:rPr>
                <w:rFonts w:hint="eastAsia"/>
                <w:b/>
                <w:bCs/>
              </w:rPr>
              <w:t>环境风险</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氯气站内设置氯气吸收装置1套</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8.4</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412" w:type="pct"/>
            <w:gridSpan w:val="2"/>
            <w:vMerge w:val="continue"/>
            <w:tcBorders>
              <w:left w:val="single" w:color="auto" w:sz="4" w:space="0"/>
              <w:right w:val="single" w:color="auto" w:sz="4" w:space="0"/>
            </w:tcBorders>
            <w:vAlign w:val="center"/>
          </w:tcPr>
          <w:p>
            <w:pPr>
              <w:pStyle w:val="33"/>
              <w:rPr>
                <w:b/>
                <w:bCs/>
              </w:rPr>
            </w:pP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氯气站内设置50m</w:t>
            </w:r>
            <w:r>
              <w:rPr>
                <w:rFonts w:hint="eastAsia"/>
                <w:vertAlign w:val="superscript"/>
              </w:rPr>
              <w:t>3</w:t>
            </w:r>
            <w:r>
              <w:rPr>
                <w:rFonts w:hint="eastAsia"/>
              </w:rPr>
              <w:t>事故水池（碱液池）1座</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412" w:type="pct"/>
            <w:gridSpan w:val="2"/>
            <w:vMerge w:val="continue"/>
            <w:tcBorders>
              <w:left w:val="single" w:color="auto" w:sz="4" w:space="0"/>
              <w:right w:val="single" w:color="auto" w:sz="4" w:space="0"/>
            </w:tcBorders>
            <w:vAlign w:val="center"/>
          </w:tcPr>
          <w:p>
            <w:pPr>
              <w:pStyle w:val="33"/>
            </w:pP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液氯贮罐区周边设0.5m的事故围堰。</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16</w:t>
            </w:r>
          </w:p>
        </w:tc>
        <w:tc>
          <w:tcPr>
            <w:tcW w:w="277" w:type="pct"/>
            <w:vMerge w:val="continue"/>
            <w:tcBorders>
              <w:left w:val="single" w:color="auto" w:sz="4" w:space="0"/>
              <w:right w:val="single" w:color="auto" w:sz="4" w:space="0"/>
            </w:tcBorders>
            <w:vAlign w:val="center"/>
          </w:tcPr>
          <w:p>
            <w:pPr>
              <w:pStyle w:val="33"/>
            </w:pPr>
          </w:p>
        </w:tc>
        <w:tc>
          <w:tcPr>
            <w:tcW w:w="1412" w:type="pct"/>
            <w:gridSpan w:val="2"/>
            <w:tcBorders>
              <w:left w:val="single" w:color="auto" w:sz="4" w:space="0"/>
              <w:right w:val="single" w:color="auto" w:sz="4" w:space="0"/>
            </w:tcBorders>
            <w:vAlign w:val="center"/>
          </w:tcPr>
          <w:p>
            <w:pPr>
              <w:pStyle w:val="33"/>
              <w:rPr>
                <w:b/>
                <w:bCs/>
              </w:rPr>
            </w:pPr>
            <w:r>
              <w:rPr>
                <w:rFonts w:hint="eastAsia"/>
                <w:b/>
                <w:bCs/>
              </w:rPr>
              <w:t>绿化</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绿化面积4800m</w:t>
            </w:r>
            <w:r>
              <w:rPr>
                <w:rFonts w:hint="eastAsia"/>
                <w:vertAlign w:val="superscript"/>
              </w:rPr>
              <w:t>2</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60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rPr>
                <w:b/>
                <w:bCs/>
              </w:rPr>
            </w:pPr>
          </w:p>
        </w:tc>
        <w:tc>
          <w:tcPr>
            <w:tcW w:w="3354" w:type="pct"/>
            <w:gridSpan w:val="4"/>
            <w:tcBorders>
              <w:left w:val="single" w:color="auto" w:sz="4" w:space="0"/>
              <w:right w:val="single" w:color="auto" w:sz="4" w:space="0"/>
            </w:tcBorders>
            <w:vAlign w:val="center"/>
          </w:tcPr>
          <w:p>
            <w:pPr>
              <w:pStyle w:val="33"/>
              <w:rPr>
                <w:b/>
                <w:bCs/>
              </w:rPr>
            </w:pPr>
            <w:r>
              <w:rPr>
                <w:rFonts w:hint="eastAsia"/>
                <w:b/>
                <w:bCs/>
              </w:rPr>
              <w:t>小计</w:t>
            </w:r>
          </w:p>
        </w:tc>
        <w:tc>
          <w:tcPr>
            <w:tcW w:w="595" w:type="pct"/>
            <w:tcBorders>
              <w:left w:val="single" w:color="auto" w:sz="4" w:space="0"/>
              <w:right w:val="single" w:color="auto" w:sz="4" w:space="0"/>
            </w:tcBorders>
            <w:vAlign w:val="center"/>
          </w:tcPr>
          <w:p>
            <w:pPr>
              <w:pStyle w:val="33"/>
              <w:rPr>
                <w:b/>
                <w:bCs/>
              </w:rPr>
            </w:pPr>
            <w:r>
              <w:rPr>
                <w:rFonts w:hint="eastAsia"/>
                <w:b/>
                <w:bCs/>
              </w:rPr>
              <w:t>397.1</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17</w:t>
            </w:r>
          </w:p>
        </w:tc>
        <w:tc>
          <w:tcPr>
            <w:tcW w:w="277" w:type="pct"/>
            <w:vMerge w:val="restart"/>
            <w:tcBorders>
              <w:left w:val="single" w:color="auto" w:sz="4" w:space="0"/>
              <w:right w:val="single" w:color="auto" w:sz="4" w:space="0"/>
            </w:tcBorders>
            <w:vAlign w:val="center"/>
          </w:tcPr>
          <w:p>
            <w:pPr>
              <w:pStyle w:val="33"/>
            </w:pPr>
            <w:r>
              <w:rPr>
                <w:rFonts w:hint="eastAsia"/>
                <w:b/>
                <w:bCs/>
              </w:rPr>
              <w:t>二期工程</w:t>
            </w:r>
          </w:p>
        </w:tc>
        <w:tc>
          <w:tcPr>
            <w:tcW w:w="277" w:type="pct"/>
            <w:vMerge w:val="restart"/>
            <w:tcBorders>
              <w:left w:val="single" w:color="auto" w:sz="4" w:space="0"/>
              <w:right w:val="single" w:color="auto" w:sz="4" w:space="0"/>
            </w:tcBorders>
            <w:vAlign w:val="center"/>
          </w:tcPr>
          <w:p>
            <w:pPr>
              <w:pStyle w:val="33"/>
              <w:rPr>
                <w:b/>
                <w:bCs/>
              </w:rPr>
            </w:pPr>
            <w:r>
              <w:rPr>
                <w:rFonts w:hint="eastAsia"/>
                <w:b/>
                <w:bCs/>
              </w:rPr>
              <w:t>废水</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初期雨水收集池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1座，容积110m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8.5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18</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循环水池</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rPr>
              <w:t>1座，容积572m</w:t>
            </w:r>
            <w:r>
              <w:rPr>
                <w:rFonts w:hint="eastAsia"/>
                <w:vertAlign w:val="superscript"/>
              </w:rPr>
              <w:t>3</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19</w:t>
            </w:r>
          </w:p>
        </w:tc>
        <w:tc>
          <w:tcPr>
            <w:tcW w:w="277" w:type="pct"/>
            <w:vMerge w:val="continue"/>
            <w:tcBorders>
              <w:left w:val="single" w:color="auto" w:sz="4" w:space="0"/>
              <w:right w:val="single" w:color="auto" w:sz="4" w:space="0"/>
            </w:tcBorders>
            <w:vAlign w:val="center"/>
          </w:tcPr>
          <w:p>
            <w:pPr>
              <w:pStyle w:val="33"/>
            </w:pPr>
          </w:p>
        </w:tc>
        <w:tc>
          <w:tcPr>
            <w:tcW w:w="277" w:type="pct"/>
            <w:vMerge w:val="restart"/>
            <w:tcBorders>
              <w:left w:val="single" w:color="auto" w:sz="4" w:space="0"/>
              <w:right w:val="single" w:color="auto" w:sz="4" w:space="0"/>
            </w:tcBorders>
            <w:vAlign w:val="center"/>
          </w:tcPr>
          <w:p>
            <w:pPr>
              <w:pStyle w:val="33"/>
              <w:rPr>
                <w:b/>
                <w:bCs/>
              </w:rPr>
            </w:pPr>
            <w:r>
              <w:rPr>
                <w:rFonts w:hint="eastAsia"/>
                <w:b/>
                <w:bCs/>
              </w:rPr>
              <w:t>废气</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熔保炉废气</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布袋除尘器1套；30m烟囱排放</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20</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铝灰分离机废气</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布袋除尘器1套；20m烟囱排放</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21</w:t>
            </w:r>
          </w:p>
        </w:tc>
        <w:tc>
          <w:tcPr>
            <w:tcW w:w="277" w:type="pct"/>
            <w:vMerge w:val="continue"/>
            <w:tcBorders>
              <w:left w:val="single" w:color="auto" w:sz="4" w:space="0"/>
              <w:right w:val="single" w:color="auto" w:sz="4" w:space="0"/>
            </w:tcBorders>
            <w:vAlign w:val="center"/>
          </w:tcPr>
          <w:p>
            <w:pPr>
              <w:pStyle w:val="33"/>
            </w:pPr>
          </w:p>
        </w:tc>
        <w:tc>
          <w:tcPr>
            <w:tcW w:w="277" w:type="pct"/>
            <w:tcBorders>
              <w:left w:val="single" w:color="auto" w:sz="4" w:space="0"/>
              <w:right w:val="single" w:color="auto" w:sz="4" w:space="0"/>
            </w:tcBorders>
            <w:vAlign w:val="center"/>
          </w:tcPr>
          <w:p>
            <w:pPr>
              <w:pStyle w:val="33"/>
            </w:pPr>
            <w:r>
              <w:rPr>
                <w:rFonts w:hint="eastAsia"/>
                <w:b/>
                <w:bCs/>
              </w:rPr>
              <w:t>固废</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生活垃圾收集筒</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8个</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22</w:t>
            </w:r>
          </w:p>
        </w:tc>
        <w:tc>
          <w:tcPr>
            <w:tcW w:w="277" w:type="pct"/>
            <w:vMerge w:val="continue"/>
            <w:tcBorders>
              <w:left w:val="single" w:color="auto" w:sz="4" w:space="0"/>
              <w:right w:val="single" w:color="auto" w:sz="4" w:space="0"/>
            </w:tcBorders>
            <w:vAlign w:val="center"/>
          </w:tcPr>
          <w:p>
            <w:pPr>
              <w:pStyle w:val="33"/>
            </w:pPr>
          </w:p>
        </w:tc>
        <w:tc>
          <w:tcPr>
            <w:tcW w:w="277" w:type="pct"/>
            <w:vMerge w:val="restart"/>
            <w:tcBorders>
              <w:left w:val="single" w:color="auto" w:sz="4" w:space="0"/>
              <w:right w:val="single" w:color="auto" w:sz="4" w:space="0"/>
            </w:tcBorders>
            <w:vAlign w:val="center"/>
          </w:tcPr>
          <w:p>
            <w:pPr>
              <w:pStyle w:val="33"/>
            </w:pPr>
            <w:r>
              <w:rPr>
                <w:rFonts w:hint="eastAsia"/>
                <w:b/>
                <w:bCs/>
              </w:rPr>
              <w:t>分区防渗</w:t>
            </w: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重点防渗区</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循环水池、初期雨水收集池、铝灰分离车间</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23</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一般防渗区</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加工车间、货场、成品仓库</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13.5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24</w:t>
            </w:r>
          </w:p>
        </w:tc>
        <w:tc>
          <w:tcPr>
            <w:tcW w:w="277" w:type="pct"/>
            <w:vMerge w:val="continue"/>
            <w:tcBorders>
              <w:left w:val="single" w:color="auto" w:sz="4" w:space="0"/>
              <w:right w:val="single" w:color="auto" w:sz="4" w:space="0"/>
            </w:tcBorders>
            <w:vAlign w:val="center"/>
          </w:tcPr>
          <w:p>
            <w:pPr>
              <w:pStyle w:val="33"/>
            </w:pPr>
          </w:p>
        </w:tc>
        <w:tc>
          <w:tcPr>
            <w:tcW w:w="277" w:type="pct"/>
            <w:vMerge w:val="continue"/>
            <w:tcBorders>
              <w:left w:val="single" w:color="auto" w:sz="4" w:space="0"/>
              <w:right w:val="single" w:color="auto" w:sz="4" w:space="0"/>
            </w:tcBorders>
            <w:vAlign w:val="center"/>
          </w:tcPr>
          <w:p>
            <w:pPr>
              <w:pStyle w:val="33"/>
            </w:pPr>
          </w:p>
        </w:tc>
        <w:tc>
          <w:tcPr>
            <w:tcW w:w="113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简单防渗区</w:t>
            </w:r>
          </w:p>
        </w:tc>
        <w:tc>
          <w:tcPr>
            <w:tcW w:w="1665" w:type="pct"/>
            <w:tcBorders>
              <w:top w:val="single" w:color="auto" w:sz="4" w:space="0"/>
              <w:left w:val="single" w:color="auto" w:sz="4" w:space="0"/>
              <w:bottom w:val="single" w:color="auto" w:sz="4" w:space="0"/>
              <w:right w:val="single" w:color="auto" w:sz="4" w:space="0"/>
            </w:tcBorders>
            <w:vAlign w:val="center"/>
          </w:tcPr>
          <w:p>
            <w:pPr>
              <w:pStyle w:val="32"/>
            </w:pPr>
            <w:r>
              <w:rPr>
                <w:rFonts w:hint="eastAsia"/>
              </w:rPr>
              <w:t>配电室、厂区道路等区域</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6.5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25</w:t>
            </w:r>
          </w:p>
        </w:tc>
        <w:tc>
          <w:tcPr>
            <w:tcW w:w="277" w:type="pct"/>
            <w:vMerge w:val="continue"/>
            <w:tcBorders>
              <w:left w:val="single" w:color="auto" w:sz="4" w:space="0"/>
              <w:right w:val="single" w:color="auto" w:sz="4" w:space="0"/>
            </w:tcBorders>
            <w:vAlign w:val="center"/>
          </w:tcPr>
          <w:p>
            <w:pPr>
              <w:pStyle w:val="33"/>
            </w:pPr>
          </w:p>
        </w:tc>
        <w:tc>
          <w:tcPr>
            <w:tcW w:w="1412" w:type="pct"/>
            <w:gridSpan w:val="2"/>
            <w:tcBorders>
              <w:left w:val="single" w:color="auto" w:sz="4" w:space="0"/>
              <w:right w:val="single" w:color="auto" w:sz="4" w:space="0"/>
            </w:tcBorders>
            <w:vAlign w:val="center"/>
          </w:tcPr>
          <w:p>
            <w:pPr>
              <w:pStyle w:val="33"/>
              <w:rPr>
                <w:b/>
                <w:bCs/>
              </w:rPr>
            </w:pPr>
            <w:r>
              <w:rPr>
                <w:rFonts w:hint="eastAsia"/>
                <w:b/>
                <w:bCs/>
              </w:rPr>
              <w:t>噪声治理</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加装减震垫，各设备定期保养维护</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10</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26</w:t>
            </w:r>
          </w:p>
        </w:tc>
        <w:tc>
          <w:tcPr>
            <w:tcW w:w="277" w:type="pct"/>
            <w:vMerge w:val="continue"/>
            <w:tcBorders>
              <w:left w:val="single" w:color="auto" w:sz="4" w:space="0"/>
              <w:right w:val="single" w:color="auto" w:sz="4" w:space="0"/>
            </w:tcBorders>
            <w:vAlign w:val="center"/>
          </w:tcPr>
          <w:p>
            <w:pPr>
              <w:pStyle w:val="33"/>
            </w:pPr>
          </w:p>
        </w:tc>
        <w:tc>
          <w:tcPr>
            <w:tcW w:w="1412" w:type="pct"/>
            <w:gridSpan w:val="2"/>
            <w:tcBorders>
              <w:left w:val="single" w:color="auto" w:sz="4" w:space="0"/>
              <w:right w:val="single" w:color="auto" w:sz="4" w:space="0"/>
            </w:tcBorders>
            <w:vAlign w:val="center"/>
          </w:tcPr>
          <w:p>
            <w:pPr>
              <w:pStyle w:val="33"/>
              <w:rPr>
                <w:b/>
                <w:bCs/>
              </w:rPr>
            </w:pPr>
            <w:r>
              <w:rPr>
                <w:rFonts w:hint="eastAsia"/>
                <w:b/>
                <w:bCs/>
              </w:rPr>
              <w:t>绿化</w:t>
            </w:r>
          </w:p>
        </w:tc>
        <w:tc>
          <w:tcPr>
            <w:tcW w:w="166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绿化面积900m</w:t>
            </w:r>
            <w:r>
              <w:rPr>
                <w:rFonts w:hint="eastAsia"/>
                <w:vertAlign w:val="superscript"/>
              </w:rPr>
              <w:t>2</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12</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rPr>
                <w:b/>
                <w:bCs/>
              </w:rPr>
            </w:pPr>
          </w:p>
        </w:tc>
        <w:tc>
          <w:tcPr>
            <w:tcW w:w="3354" w:type="pct"/>
            <w:gridSpan w:val="4"/>
            <w:tcBorders>
              <w:left w:val="single" w:color="auto" w:sz="4" w:space="0"/>
              <w:right w:val="single" w:color="auto" w:sz="4" w:space="0"/>
            </w:tcBorders>
            <w:vAlign w:val="center"/>
          </w:tcPr>
          <w:p>
            <w:pPr>
              <w:pStyle w:val="33"/>
              <w:rPr>
                <w:b/>
                <w:bCs/>
              </w:rPr>
            </w:pPr>
            <w:r>
              <w:rPr>
                <w:rFonts w:hint="eastAsia"/>
                <w:b/>
                <w:bCs/>
              </w:rPr>
              <w:t>小计</w:t>
            </w:r>
          </w:p>
        </w:tc>
        <w:tc>
          <w:tcPr>
            <w:tcW w:w="595" w:type="pct"/>
            <w:tcBorders>
              <w:left w:val="single" w:color="auto" w:sz="4" w:space="0"/>
              <w:right w:val="single" w:color="auto" w:sz="4" w:space="0"/>
            </w:tcBorders>
            <w:vAlign w:val="center"/>
          </w:tcPr>
          <w:p>
            <w:pPr>
              <w:pStyle w:val="33"/>
              <w:rPr>
                <w:b/>
                <w:bCs/>
              </w:rPr>
            </w:pPr>
            <w:r>
              <w:rPr>
                <w:rFonts w:hint="eastAsia"/>
                <w:b/>
                <w:bCs/>
              </w:rPr>
              <w:t>136.5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322"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b/>
                <w:bCs/>
              </w:rPr>
              <w:t>27</w:t>
            </w:r>
          </w:p>
        </w:tc>
        <w:tc>
          <w:tcPr>
            <w:tcW w:w="3354" w:type="pct"/>
            <w:gridSpan w:val="4"/>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b/>
                <w:bCs/>
              </w:rPr>
              <w:t>总计</w:t>
            </w:r>
          </w:p>
        </w:tc>
        <w:tc>
          <w:tcPr>
            <w:tcW w:w="595" w:type="pct"/>
            <w:tcBorders>
              <w:top w:val="single" w:color="auto" w:sz="4" w:space="0"/>
              <w:left w:val="single" w:color="auto" w:sz="4" w:space="0"/>
              <w:bottom w:val="single" w:color="auto" w:sz="4" w:space="0"/>
              <w:right w:val="single" w:color="auto" w:sz="4" w:space="0"/>
            </w:tcBorders>
            <w:vAlign w:val="center"/>
          </w:tcPr>
          <w:p>
            <w:pPr>
              <w:pStyle w:val="33"/>
              <w:rPr>
                <w:b/>
                <w:bCs/>
              </w:rPr>
            </w:pPr>
            <w:r>
              <w:rPr>
                <w:rFonts w:hint="eastAsia"/>
                <w:b/>
                <w:bCs/>
              </w:rPr>
              <w:t>545.5</w:t>
            </w:r>
          </w:p>
        </w:tc>
        <w:tc>
          <w:tcPr>
            <w:tcW w:w="727" w:type="pct"/>
            <w:tcBorders>
              <w:top w:val="single" w:color="auto" w:sz="4" w:space="0"/>
              <w:left w:val="single" w:color="auto" w:sz="4" w:space="0"/>
              <w:bottom w:val="single" w:color="auto" w:sz="4" w:space="0"/>
              <w:right w:val="single" w:color="auto" w:sz="4" w:space="0"/>
            </w:tcBorders>
            <w:vAlign w:val="center"/>
          </w:tcPr>
          <w:p>
            <w:pPr>
              <w:pStyle w:val="33"/>
              <w:rPr>
                <w:b/>
                <w:bCs/>
              </w:rPr>
            </w:pPr>
          </w:p>
        </w:tc>
      </w:tr>
    </w:tbl>
    <w:p>
      <w:pPr>
        <w:pStyle w:val="5"/>
      </w:pPr>
      <w:bookmarkStart w:id="177" w:name="_Toc9328"/>
      <w:r>
        <w:rPr>
          <w:rFonts w:hint="eastAsia"/>
          <w:lang w:val="en-US" w:eastAsia="zh-CN"/>
        </w:rPr>
        <w:t>10</w:t>
      </w:r>
      <w:r>
        <w:rPr>
          <w:rFonts w:hint="eastAsia"/>
        </w:rPr>
        <w:t>.3环保设施投资的经济损益及环境效益分析</w:t>
      </w:r>
      <w:bookmarkEnd w:id="177"/>
    </w:p>
    <w:p>
      <w:pPr>
        <w:pStyle w:val="7"/>
        <w:ind w:firstLine="480"/>
      </w:pPr>
      <w:r>
        <w:rPr>
          <w:rFonts w:hint="eastAsia"/>
        </w:rPr>
        <w:t>根据工程分析，本项目经采取各项治理措施后，拟建工程的各污染物的排放浓度均能达到相关标准的要求，所以拟建工程的环保投资是合理的，在实现经济效益的同时，也保护了环境。</w:t>
      </w:r>
    </w:p>
    <w:p>
      <w:pPr>
        <w:pStyle w:val="7"/>
        <w:ind w:firstLine="480"/>
      </w:pPr>
      <w:r>
        <w:rPr>
          <w:rFonts w:hint="eastAsia"/>
        </w:rPr>
        <w:t>拟建项目采用一系列技术上合理、经济上可行的环境保护措施对三废进行严格的治理后，使各污染物全部达标排放或综合利用，减少纳污费的同时也减轻了项目对环境的污染。本项目污染物治理措施相关具体表现在以下几个方面：</w:t>
      </w:r>
    </w:p>
    <w:p>
      <w:pPr>
        <w:pStyle w:val="7"/>
        <w:ind w:firstLine="480"/>
      </w:pPr>
      <w:r>
        <w:rPr>
          <w:rFonts w:hint="eastAsia"/>
        </w:rPr>
        <w:t>1、项目倾动式熔保炉废气经收集后通过喷入生石灰粉+布袋除尘器处理，项目铝灰分离工序废气经收集后进入布袋除尘器处理，均能达标排放。</w:t>
      </w:r>
    </w:p>
    <w:p>
      <w:pPr>
        <w:pStyle w:val="7"/>
        <w:ind w:firstLine="480"/>
      </w:pPr>
      <w:r>
        <w:rPr>
          <w:rFonts w:hint="eastAsia"/>
        </w:rPr>
        <w:t>2、本项目生产废水，主要为循环冷却排污水，经过厂区污水处理站处理以后通过市政污水管网排入砚山县第一污水处理厂处理。</w:t>
      </w:r>
    </w:p>
    <w:p>
      <w:pPr>
        <w:pStyle w:val="7"/>
        <w:ind w:firstLine="480"/>
      </w:pPr>
      <w:r>
        <w:rPr>
          <w:rFonts w:hint="eastAsia"/>
        </w:rPr>
        <w:t>3、本项目产生的烟（粉）尘及废过滤板经收集后作外卖处理，边角料及不合格品经收集后回用处理。项目产生的危险固废委托有资质单位处理，项目各项固废全部得到了妥善处理和综合利用，实现了零排放。</w:t>
      </w:r>
    </w:p>
    <w:p>
      <w:pPr>
        <w:pStyle w:val="7"/>
        <w:ind w:firstLine="480"/>
      </w:pPr>
      <w:r>
        <w:rPr>
          <w:rFonts w:hint="eastAsia"/>
        </w:rPr>
        <w:t>4、本项目噪声设备通过基础减振、在设备基座与基础之间设橡胶隔振垫，在管道上设置橡胶减振补偿器等措施进行治理，对周围环境影响较小。</w:t>
      </w:r>
    </w:p>
    <w:p>
      <w:pPr>
        <w:pStyle w:val="7"/>
        <w:ind w:firstLine="480"/>
      </w:pPr>
      <w:r>
        <w:rPr>
          <w:rFonts w:hint="eastAsia"/>
        </w:rPr>
        <w:t>综上分析，拟建工程通过采用一系列技术上可行、经济上合理的环保措施，对其生产过程中产生的废气、废水、固废及设备噪声等进行综合治理，基本实现了废物的综合利用，既增加了经济效益，又减少了工程对环境造成的污染，达到了削减污染物排放量，保护环境的目的。</w:t>
      </w:r>
    </w:p>
    <w:p>
      <w:pPr>
        <w:pStyle w:val="7"/>
        <w:ind w:firstLine="480"/>
      </w:pPr>
      <w:r>
        <w:rPr>
          <w:rFonts w:hint="eastAsia"/>
        </w:rPr>
        <w:t>由此可见，项目环保措施实施后，相关污染物均可达标排放，环境效益明显。</w:t>
      </w:r>
    </w:p>
    <w:p>
      <w:pPr>
        <w:pStyle w:val="7"/>
        <w:ind w:firstLine="480"/>
        <w:sectPr>
          <w:pgSz w:w="11906" w:h="16838"/>
          <w:pgMar w:top="1440" w:right="1800" w:bottom="1440" w:left="1800" w:header="851" w:footer="992" w:gutter="0"/>
          <w:cols w:space="425" w:num="1"/>
          <w:docGrid w:type="lines" w:linePitch="312" w:charSpace="0"/>
        </w:sectPr>
      </w:pPr>
    </w:p>
    <w:p>
      <w:pPr>
        <w:pStyle w:val="4"/>
      </w:pPr>
      <w:bookmarkStart w:id="178" w:name="_Toc2925"/>
      <w:r>
        <w:rPr>
          <w:rFonts w:hint="eastAsia"/>
        </w:rPr>
        <w:t>1</w:t>
      </w:r>
      <w:r>
        <w:rPr>
          <w:rFonts w:hint="eastAsia"/>
          <w:lang w:val="en-US" w:eastAsia="zh-CN"/>
        </w:rPr>
        <w:t>1</w:t>
      </w:r>
      <w:r>
        <w:rPr>
          <w:rFonts w:hint="eastAsia"/>
        </w:rPr>
        <w:t xml:space="preserve"> 环境管理及监测计划</w:t>
      </w:r>
      <w:bookmarkEnd w:id="178"/>
    </w:p>
    <w:p>
      <w:pPr>
        <w:pStyle w:val="5"/>
      </w:pPr>
      <w:bookmarkStart w:id="179" w:name="_Toc1927"/>
      <w:r>
        <w:rPr>
          <w:rFonts w:hint="eastAsia"/>
        </w:rPr>
        <w:t>1</w:t>
      </w:r>
      <w:r>
        <w:rPr>
          <w:rFonts w:hint="eastAsia"/>
          <w:lang w:val="en-US" w:eastAsia="zh-CN"/>
        </w:rPr>
        <w:t>1</w:t>
      </w:r>
      <w:r>
        <w:rPr>
          <w:rFonts w:hint="eastAsia"/>
        </w:rPr>
        <w:t>.1环境管理的目的及意义</w:t>
      </w:r>
      <w:bookmarkEnd w:id="179"/>
    </w:p>
    <w:p>
      <w:pPr>
        <w:pStyle w:val="7"/>
        <w:ind w:firstLine="480"/>
      </w:pPr>
      <w:r>
        <w:rPr>
          <w:rFonts w:hint="eastAsia"/>
        </w:rPr>
        <w:t>环境管理是对损害环境质量的人为活动施加影响，以协调经济与环境的关系，达到既发展经济、满足人类的需要，又不超出地球生物容量极限的目的。实践证明，要解决企业的环境污染，除要对污染源进行有效治理外，更重要的是要加强环境管理。由于企业产品的产出与污染物的排放是同一生产过程的两个方面，因此企业环境管理实质是生产管理的主要内容，其目的在于发展经济的同时，控制污染源的排污，保证环境质量，以实现“三效益”的统一。</w:t>
      </w:r>
    </w:p>
    <w:p>
      <w:pPr>
        <w:pStyle w:val="7"/>
        <w:ind w:firstLine="480"/>
      </w:pPr>
      <w:r>
        <w:rPr>
          <w:rFonts w:hint="eastAsia"/>
        </w:rPr>
        <w:t>在当前我国加大环境保护力度，严格控制环境污染的情况下，进一步强化全厂环境管理，具有十分重要的现实意义。</w:t>
      </w:r>
    </w:p>
    <w:p>
      <w:pPr>
        <w:pStyle w:val="5"/>
      </w:pPr>
      <w:bookmarkStart w:id="180" w:name="_Toc5689"/>
      <w:r>
        <w:rPr>
          <w:rFonts w:hint="eastAsia"/>
        </w:rPr>
        <w:t>1</w:t>
      </w:r>
      <w:r>
        <w:rPr>
          <w:rFonts w:hint="eastAsia"/>
          <w:lang w:val="en-US" w:eastAsia="zh-CN"/>
        </w:rPr>
        <w:t>1</w:t>
      </w:r>
      <w:r>
        <w:rPr>
          <w:rFonts w:hint="eastAsia"/>
        </w:rPr>
        <w:t>.2环境管理基本原则</w:t>
      </w:r>
      <w:bookmarkEnd w:id="180"/>
    </w:p>
    <w:p>
      <w:pPr>
        <w:pStyle w:val="7"/>
        <w:ind w:firstLine="480"/>
      </w:pPr>
      <w:r>
        <w:rPr>
          <w:rFonts w:hint="eastAsia"/>
        </w:rPr>
        <w:t>本项目在环境管理工作中应遵循以下基本原则。</w:t>
      </w:r>
    </w:p>
    <w:p>
      <w:pPr>
        <w:pStyle w:val="7"/>
        <w:ind w:firstLine="480"/>
      </w:pPr>
      <w:r>
        <w:rPr>
          <w:rFonts w:hint="eastAsia"/>
        </w:rPr>
        <w:t>（1）按照经济规律的原则处理环保问题；</w:t>
      </w:r>
    </w:p>
    <w:p>
      <w:pPr>
        <w:pStyle w:val="7"/>
        <w:ind w:firstLine="480"/>
      </w:pPr>
      <w:r>
        <w:rPr>
          <w:rFonts w:hint="eastAsia"/>
        </w:rPr>
        <w:t>（2）发展生产与防治环境污染同步；</w:t>
      </w:r>
    </w:p>
    <w:p>
      <w:pPr>
        <w:pStyle w:val="7"/>
        <w:ind w:firstLine="480"/>
      </w:pPr>
      <w:r>
        <w:rPr>
          <w:rFonts w:hint="eastAsia"/>
        </w:rPr>
        <w:t>（3）控制污染，坚持以防为主、综合防治；</w:t>
      </w:r>
    </w:p>
    <w:p>
      <w:pPr>
        <w:pStyle w:val="7"/>
        <w:ind w:firstLine="480"/>
      </w:pPr>
      <w:r>
        <w:rPr>
          <w:rFonts w:hint="eastAsia"/>
        </w:rPr>
        <w:t>（4）促使项目生产形成物质的良好循环，保持生态平衡；</w:t>
      </w:r>
    </w:p>
    <w:p>
      <w:pPr>
        <w:pStyle w:val="7"/>
        <w:ind w:firstLine="480"/>
      </w:pPr>
      <w:r>
        <w:rPr>
          <w:rFonts w:hint="eastAsia"/>
        </w:rPr>
        <w:t>（5）环境管理与生产管理相结合，公司内环境管理与区域环境管理相结合；</w:t>
      </w:r>
    </w:p>
    <w:p>
      <w:pPr>
        <w:pStyle w:val="7"/>
        <w:ind w:firstLine="480"/>
      </w:pPr>
      <w:r>
        <w:rPr>
          <w:rFonts w:hint="eastAsia"/>
        </w:rPr>
        <w:t>（6）环保专业人员与普通职工相结合，共同做好环境管理。</w:t>
      </w:r>
    </w:p>
    <w:p>
      <w:pPr>
        <w:pStyle w:val="5"/>
      </w:pPr>
      <w:bookmarkStart w:id="181" w:name="_Toc24209"/>
      <w:r>
        <w:rPr>
          <w:rFonts w:hint="eastAsia"/>
        </w:rPr>
        <w:t>1</w:t>
      </w:r>
      <w:r>
        <w:rPr>
          <w:rFonts w:hint="eastAsia"/>
          <w:lang w:val="en-US" w:eastAsia="zh-CN"/>
        </w:rPr>
        <w:t>1</w:t>
      </w:r>
      <w:r>
        <w:rPr>
          <w:rFonts w:hint="eastAsia"/>
        </w:rPr>
        <w:t>.3环境管理机构的设置与职责</w:t>
      </w:r>
      <w:bookmarkEnd w:id="181"/>
    </w:p>
    <w:p>
      <w:pPr>
        <w:pStyle w:val="7"/>
        <w:ind w:firstLine="480"/>
      </w:pPr>
      <w:r>
        <w:rPr>
          <w:rFonts w:hint="eastAsia"/>
        </w:rPr>
        <w:t>我国实践证明，在经济发展水平较低、环境投入有限的情况下，健全管理机构、依法强化环境管理是控制环境污染和生态破坏的一项有效手段，也是环境保护工作的一条成功经验。企业内部环境管理是地区环境管理的基础，加强企业内部环境管理是保证区域环境质量的先决条件。而建立与健全环境管理的合理体制、机构和制度是进行企业环境管理的组织保证。</w:t>
      </w:r>
    </w:p>
    <w:p>
      <w:pPr>
        <w:pStyle w:val="7"/>
        <w:ind w:firstLine="480"/>
      </w:pPr>
      <w:r>
        <w:rPr>
          <w:rFonts w:hint="eastAsia"/>
        </w:rPr>
        <w:t>按照《有色金属工业环保机构设置暂行规定》（YHG8403）设置专门机构及相应的管理体系，对环境污染进行有效的控制与管理。根据规定应设立安全环保部，设部门领导1名，管理人员若干。此外各车间均设置兼职环保管理员。</w:t>
      </w:r>
    </w:p>
    <w:p>
      <w:pPr>
        <w:pStyle w:val="7"/>
        <w:ind w:firstLine="480"/>
      </w:pPr>
      <w:r>
        <w:rPr>
          <w:rFonts w:hint="eastAsia"/>
        </w:rPr>
        <w:t>安全环保部的职责如下：</w:t>
      </w:r>
    </w:p>
    <w:p>
      <w:pPr>
        <w:pStyle w:val="7"/>
        <w:ind w:firstLine="480"/>
      </w:pPr>
      <w:r>
        <w:rPr>
          <w:rFonts w:hint="eastAsia"/>
        </w:rPr>
        <w:t>1.贯彻执行国家和地方性环境保护法规及其他有关政策。</w:t>
      </w:r>
    </w:p>
    <w:p>
      <w:pPr>
        <w:pStyle w:val="7"/>
        <w:ind w:firstLine="480"/>
      </w:pPr>
      <w:r>
        <w:rPr>
          <w:rFonts w:hint="eastAsia"/>
        </w:rPr>
        <w:t>2.协调发展生产和保护环境的关系，编制企业环境保护的规划和计划。</w:t>
      </w:r>
    </w:p>
    <w:p>
      <w:pPr>
        <w:pStyle w:val="7"/>
        <w:ind w:firstLine="480"/>
      </w:pPr>
      <w:r>
        <w:rPr>
          <w:rFonts w:hint="eastAsia"/>
        </w:rPr>
        <w:t>3.制定污染物考核排放指标，环境设施运行指标、绿化指标等。</w:t>
      </w:r>
    </w:p>
    <w:p>
      <w:pPr>
        <w:pStyle w:val="7"/>
        <w:ind w:firstLine="480"/>
      </w:pPr>
      <w:r>
        <w:rPr>
          <w:rFonts w:hint="eastAsia"/>
        </w:rPr>
        <w:t>4.建立各种管理制度和污染源档案，建立健全环境保护岗位职责。</w:t>
      </w:r>
    </w:p>
    <w:p>
      <w:pPr>
        <w:pStyle w:val="7"/>
        <w:ind w:firstLine="480"/>
      </w:pPr>
      <w:r>
        <w:rPr>
          <w:rFonts w:hint="eastAsia"/>
        </w:rPr>
        <w:t>5.负责缴纳排污税，做好各种报表的上报和环境保护统计工作。</w:t>
      </w:r>
    </w:p>
    <w:p>
      <w:pPr>
        <w:pStyle w:val="7"/>
        <w:ind w:firstLine="480"/>
      </w:pPr>
      <w:r>
        <w:rPr>
          <w:rFonts w:hint="eastAsia"/>
        </w:rPr>
        <w:t>6.负责污染源的治理，开展建设“清洁工厂”活动。</w:t>
      </w:r>
    </w:p>
    <w:p>
      <w:pPr>
        <w:pStyle w:val="7"/>
        <w:ind w:firstLine="480"/>
      </w:pPr>
      <w:r>
        <w:rPr>
          <w:rFonts w:hint="eastAsia"/>
        </w:rPr>
        <w:t>7.开展环境科学研究和宣传教育工作，扩大防治污染的工艺技术，努力提高职工的环保意识。</w:t>
      </w:r>
    </w:p>
    <w:p>
      <w:pPr>
        <w:pStyle w:val="7"/>
        <w:ind w:firstLine="480"/>
      </w:pPr>
      <w:r>
        <w:rPr>
          <w:rFonts w:hint="eastAsia"/>
        </w:rPr>
        <w:t>8.协调各种污染纠纷和污染事故的处理工作。</w:t>
      </w:r>
    </w:p>
    <w:p>
      <w:pPr>
        <w:pStyle w:val="7"/>
        <w:ind w:firstLine="480"/>
      </w:pPr>
      <w:r>
        <w:rPr>
          <w:rFonts w:hint="eastAsia"/>
        </w:rPr>
        <w:t>9.负责编制环境保护年度计划和长远规划，并组织实施。</w:t>
      </w:r>
    </w:p>
    <w:p>
      <w:pPr>
        <w:pStyle w:val="7"/>
        <w:ind w:firstLine="480"/>
      </w:pPr>
      <w:r>
        <w:rPr>
          <w:rFonts w:hint="eastAsia"/>
        </w:rPr>
        <w:t>10.积极参与领导决策，防止环保工作出现失误，推动环保工作全面开展。</w:t>
      </w:r>
    </w:p>
    <w:p>
      <w:pPr>
        <w:pStyle w:val="7"/>
        <w:ind w:firstLine="480"/>
      </w:pPr>
      <w:r>
        <w:rPr>
          <w:rFonts w:hint="eastAsia"/>
        </w:rPr>
        <w:t>以上各项规章制度的贯彻执行，可保障环保工作的顺利开展，使治理设施的运行和企业污染物的达标排放得到重要的保证。</w:t>
      </w:r>
    </w:p>
    <w:p>
      <w:pPr>
        <w:pStyle w:val="7"/>
        <w:ind w:firstLine="480"/>
      </w:pPr>
      <w:r>
        <w:rPr>
          <w:rFonts w:hint="eastAsia"/>
        </w:rPr>
        <w:t>我国对建设项目的环境管理，一是系统控制，从建设项目立项到建成后的运行都贯穿环境的制约，二是分步管理，建设项目的不同阶段有相应的环境管理条例，规定不同阶段的环保内容，明确不同部门的职责。针对本项目的建设，环境管理机构在施工期和营运期的主要职责如下：</w:t>
      </w:r>
    </w:p>
    <w:p>
      <w:pPr>
        <w:pStyle w:val="7"/>
        <w:ind w:firstLine="480"/>
      </w:pPr>
      <w:r>
        <w:rPr>
          <w:rFonts w:hint="eastAsia"/>
        </w:rPr>
        <w:t>1.施工期的环境管理</w:t>
      </w:r>
    </w:p>
    <w:p>
      <w:pPr>
        <w:pStyle w:val="7"/>
        <w:ind w:firstLine="480"/>
      </w:pPr>
      <w:r>
        <w:rPr>
          <w:rFonts w:hint="eastAsia"/>
        </w:rPr>
        <w:t>施工期的环境影响主要表现为场地平整、基础开挖、新建各生产车间等将涉及大量土石方开挖、取土弃土、建筑材料及废料堆放，同时施工单位的进场将带来生活污水及生活垃圾等，施工过程产生扬尘，施工机械运行还将产生噪声影响。对上述问题若处置不当，将造成较大的生态环境影响和环境污染，因此施工期的环境管理需要加强。具体职责如下：</w:t>
      </w:r>
    </w:p>
    <w:p>
      <w:pPr>
        <w:pStyle w:val="7"/>
        <w:ind w:firstLine="480"/>
      </w:pPr>
      <w:r>
        <w:rPr>
          <w:rFonts w:hint="eastAsia"/>
        </w:rPr>
        <w:t>①施工前编制施工组织计划，做到文明施工。</w:t>
      </w:r>
    </w:p>
    <w:p>
      <w:pPr>
        <w:pStyle w:val="7"/>
        <w:ind w:firstLine="480"/>
      </w:pPr>
      <w:r>
        <w:rPr>
          <w:rFonts w:hint="eastAsia"/>
        </w:rPr>
        <w:t>②将环保主要内容体现在建设项目施工承包合同中，对施工方法、施工机械、施工速度、施工时段等，充分考虑环境保护要求，特别是施工过程中的扬尘、噪声、污水等对周围环境的影响，要有行之有效的处理措施，并建议建设单位将此内容作为工程施工招标考核的重要指标之一。</w:t>
      </w:r>
    </w:p>
    <w:p>
      <w:pPr>
        <w:pStyle w:val="7"/>
        <w:ind w:firstLine="480"/>
      </w:pPr>
      <w:r>
        <w:rPr>
          <w:rFonts w:hint="eastAsia"/>
        </w:rPr>
        <w:t>③建设单位在工程施工期间，要认真监督施工单位环保执法情况，了解施工过程中施工设备物料堆置、临时工棚、便道及施工方法对生态环境造成的影响，以保证施工对附近居民的正常生活不产生严重的干扰，若发现噪声影响周围居民正常生活时，应适当调整施工作业时间或作业程序，并采取防噪措施。若发现严重污染环境情况，建设单位有权给予经济制裁，并上报环保部门依法办理。</w:t>
      </w:r>
    </w:p>
    <w:p>
      <w:pPr>
        <w:pStyle w:val="7"/>
        <w:ind w:firstLine="480"/>
      </w:pPr>
      <w:r>
        <w:rPr>
          <w:rFonts w:hint="eastAsia"/>
        </w:rPr>
        <w:t>④工程竣工时，要全面检查施工现场环境状况，施工单位应及时清理占用的土地，拆除临时设施，清除各类垃圾，恢复被破坏的地面，覆土进行绿化；根据厂区周围地形条件确定并实施水土保持措施，预防水土流失，使项目以良好的环境投入运行。</w:t>
      </w:r>
    </w:p>
    <w:p>
      <w:pPr>
        <w:pStyle w:val="7"/>
        <w:ind w:firstLine="480"/>
      </w:pPr>
      <w:r>
        <w:rPr>
          <w:rFonts w:hint="eastAsia"/>
        </w:rPr>
        <w:t>2.营运期的环境管理</w:t>
      </w:r>
    </w:p>
    <w:p>
      <w:pPr>
        <w:pStyle w:val="7"/>
        <w:ind w:firstLine="480"/>
      </w:pPr>
      <w:r>
        <w:rPr>
          <w:rFonts w:hint="eastAsia"/>
        </w:rPr>
        <w:t>根据本项目的污染物排放特征，其产生的污染物处理均存在一定的安全事故隐患和污染隐患，一旦出现事故，影响将加重，因此，营运期的环境管理十分重要。具体职责如下：</w:t>
      </w:r>
    </w:p>
    <w:p>
      <w:pPr>
        <w:pStyle w:val="7"/>
        <w:ind w:firstLine="480"/>
      </w:pPr>
      <w:r>
        <w:rPr>
          <w:rFonts w:hint="eastAsia"/>
        </w:rPr>
        <w:t>①制定污染治理操作规程，记录污染治理设施运行及检修情况，确保治理设施常年正常运行。</w:t>
      </w:r>
    </w:p>
    <w:p>
      <w:pPr>
        <w:pStyle w:val="7"/>
        <w:ind w:firstLine="480"/>
      </w:pPr>
      <w:r>
        <w:rPr>
          <w:rFonts w:hint="eastAsia"/>
        </w:rPr>
        <w:t>②环保机构除执行各项有关环境保护工作的指令外，还应接受各级环境保护部门的检查监督，定期与不</w:t>
      </w:r>
      <w:r>
        <w:rPr>
          <w:rFonts w:hint="eastAsia"/>
          <w:lang w:eastAsia="zh-CN"/>
        </w:rPr>
        <w:t>定期的上报</w:t>
      </w:r>
      <w:r>
        <w:rPr>
          <w:rFonts w:hint="eastAsia"/>
        </w:rPr>
        <w:t>各项管理工作的执行情况以及各项有关环境参数、污染源排放指标，建立污染源及厂区周围环境质量监测数据档案，定期编写环保简报，为区域整体环境控制服务。</w:t>
      </w:r>
    </w:p>
    <w:p>
      <w:pPr>
        <w:pStyle w:val="7"/>
        <w:ind w:firstLine="480"/>
      </w:pPr>
      <w:r>
        <w:rPr>
          <w:rFonts w:hint="eastAsia"/>
        </w:rPr>
        <w:t>③确保污染治理措施执行“三同时”，使各项治理设施达到设计要求。</w:t>
      </w:r>
    </w:p>
    <w:p>
      <w:pPr>
        <w:pStyle w:val="7"/>
        <w:ind w:firstLine="480"/>
      </w:pPr>
      <w:r>
        <w:rPr>
          <w:rFonts w:hint="eastAsia"/>
        </w:rPr>
        <w:t>④加强宣传教育，提高职工环境意识。把环境意识贯彻到企业各车间班组及每个职工的日常生产、生活中。</w:t>
      </w:r>
    </w:p>
    <w:p>
      <w:pPr>
        <w:pStyle w:val="7"/>
        <w:ind w:firstLine="480"/>
      </w:pPr>
      <w:r>
        <w:rPr>
          <w:rFonts w:hint="eastAsia"/>
        </w:rPr>
        <w:t>⑤贯彻执行环境保护法规和标准，并制定并组织实施各项环境保护规划和计划。</w:t>
      </w:r>
    </w:p>
    <w:p>
      <w:pPr>
        <w:pStyle w:val="7"/>
        <w:ind w:firstLine="480"/>
      </w:pPr>
      <w:r>
        <w:rPr>
          <w:rFonts w:hint="eastAsia"/>
        </w:rPr>
        <w:t>⑥组织制定环境保护管理的规章制度并监督执行。</w:t>
      </w:r>
    </w:p>
    <w:p>
      <w:pPr>
        <w:pStyle w:val="7"/>
        <w:ind w:firstLine="480"/>
      </w:pPr>
      <w:r>
        <w:rPr>
          <w:rFonts w:hint="eastAsia"/>
        </w:rPr>
        <w:t>⑦及时推广、应用污染治理先进技术和经验。</w:t>
      </w:r>
    </w:p>
    <w:p>
      <w:pPr>
        <w:pStyle w:val="7"/>
        <w:ind w:firstLine="480"/>
      </w:pPr>
      <w:r>
        <w:rPr>
          <w:rFonts w:hint="eastAsia"/>
        </w:rPr>
        <w:t>⑧组织开展环保专业技术培训和各项环保科研的学术交流，提高各级环保人员的素质和水平。</w:t>
      </w:r>
    </w:p>
    <w:p>
      <w:pPr>
        <w:pStyle w:val="5"/>
      </w:pPr>
      <w:bookmarkStart w:id="182" w:name="_Toc28655"/>
      <w:r>
        <w:rPr>
          <w:rFonts w:hint="eastAsia"/>
        </w:rPr>
        <w:t>1</w:t>
      </w:r>
      <w:r>
        <w:rPr>
          <w:rFonts w:hint="eastAsia"/>
          <w:lang w:val="en-US" w:eastAsia="zh-CN"/>
        </w:rPr>
        <w:t>1</w:t>
      </w:r>
      <w:r>
        <w:rPr>
          <w:rFonts w:hint="eastAsia"/>
        </w:rPr>
        <w:t>.4施工期环境监理</w:t>
      </w:r>
      <w:bookmarkEnd w:id="182"/>
    </w:p>
    <w:p>
      <w:pPr>
        <w:pStyle w:val="7"/>
        <w:ind w:firstLine="480"/>
      </w:pPr>
      <w:r>
        <w:rPr>
          <w:rFonts w:hint="eastAsia"/>
        </w:rPr>
        <w:t>施工期环境监理的任务就是通过建立健全有效的环境质量监督工作体系，确保建设阶段环境质量达到预定的环境保护标准或要求。建设单位应通过委托具有工程监理资质，并经环境保护业务培训的第三方单位对建设阶段拟采取的环境保护措施的实施情况进行监理，并依据环境影响报告中的环境监理方案要求，在施工招标文件、施工合同和工程监理招标文件、监理合同中明确各自的环境保护责任，监理单位应依据建设单位的委托和监理合同中的环境保护要求，将环境保护监理工作纳入工程监理细则之中。</w:t>
      </w:r>
    </w:p>
    <w:p>
      <w:pPr>
        <w:pStyle w:val="7"/>
        <w:ind w:firstLine="480"/>
      </w:pPr>
      <w:r>
        <w:rPr>
          <w:rFonts w:hint="eastAsia"/>
        </w:rPr>
        <w:t>根据施工期污染防治措施和环境监测计划制定环境监理方案，具体内容见表1</w:t>
      </w:r>
      <w:r>
        <w:rPr>
          <w:rFonts w:hint="eastAsia"/>
          <w:lang w:val="en-US" w:eastAsia="zh-CN"/>
        </w:rPr>
        <w:t>1</w:t>
      </w:r>
      <w:r>
        <w:rPr>
          <w:rFonts w:hint="eastAsia"/>
        </w:rPr>
        <w:t>.4-1。</w:t>
      </w:r>
    </w:p>
    <w:p>
      <w:pPr>
        <w:pStyle w:val="31"/>
      </w:pPr>
      <w:r>
        <w:rPr>
          <w:rFonts w:hint="eastAsia"/>
        </w:rPr>
        <w:t>表1</w:t>
      </w:r>
      <w:r>
        <w:rPr>
          <w:rFonts w:hint="eastAsia"/>
          <w:lang w:val="en-US" w:eastAsia="zh-CN"/>
        </w:rPr>
        <w:t>1</w:t>
      </w:r>
      <w:r>
        <w:rPr>
          <w:rFonts w:hint="eastAsia"/>
        </w:rPr>
        <w:t>.4-1  施工期工程环境监理内容一览表</w:t>
      </w:r>
    </w:p>
    <w:tbl>
      <w:tblPr>
        <w:tblStyle w:val="27"/>
        <w:tblW w:w="4998" w:type="pct"/>
        <w:tblInd w:w="0"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autofit"/>
        <w:tblCellMar>
          <w:top w:w="0" w:type="dxa"/>
          <w:left w:w="108" w:type="dxa"/>
          <w:bottom w:w="0" w:type="dxa"/>
          <w:right w:w="108" w:type="dxa"/>
        </w:tblCellMar>
      </w:tblPr>
      <w:tblGrid>
        <w:gridCol w:w="596"/>
        <w:gridCol w:w="2096"/>
        <w:gridCol w:w="4454"/>
        <w:gridCol w:w="1373"/>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2" w:space="0"/>
              <w:left w:val="single" w:color="auto" w:sz="2" w:space="0"/>
              <w:bottom w:val="single" w:color="auto" w:sz="6" w:space="0"/>
              <w:right w:val="single" w:color="auto" w:sz="6" w:space="0"/>
            </w:tcBorders>
            <w:vAlign w:val="center"/>
          </w:tcPr>
          <w:p>
            <w:pPr>
              <w:pStyle w:val="32"/>
            </w:pPr>
            <w:r>
              <w:t>序号</w:t>
            </w:r>
          </w:p>
        </w:tc>
        <w:tc>
          <w:tcPr>
            <w:tcW w:w="1230" w:type="pct"/>
            <w:tcBorders>
              <w:top w:val="single" w:color="auto" w:sz="2" w:space="0"/>
              <w:left w:val="single" w:color="auto" w:sz="6" w:space="0"/>
              <w:bottom w:val="single" w:color="auto" w:sz="6" w:space="0"/>
              <w:right w:val="single" w:color="auto" w:sz="6" w:space="0"/>
            </w:tcBorders>
            <w:vAlign w:val="center"/>
          </w:tcPr>
          <w:p>
            <w:pPr>
              <w:pStyle w:val="32"/>
            </w:pPr>
            <w:r>
              <w:t>项  目</w:t>
            </w:r>
          </w:p>
        </w:tc>
        <w:tc>
          <w:tcPr>
            <w:tcW w:w="2614" w:type="pct"/>
            <w:tcBorders>
              <w:top w:val="single" w:color="auto" w:sz="2" w:space="0"/>
              <w:left w:val="single" w:color="auto" w:sz="6" w:space="0"/>
              <w:bottom w:val="single" w:color="auto" w:sz="6" w:space="0"/>
              <w:right w:val="single" w:color="auto" w:sz="6" w:space="0"/>
            </w:tcBorders>
            <w:vAlign w:val="center"/>
          </w:tcPr>
          <w:p>
            <w:pPr>
              <w:pStyle w:val="32"/>
            </w:pPr>
            <w:r>
              <w:t>监理内容</w:t>
            </w:r>
          </w:p>
        </w:tc>
        <w:tc>
          <w:tcPr>
            <w:tcW w:w="804" w:type="pct"/>
            <w:tcBorders>
              <w:top w:val="single" w:color="auto" w:sz="2" w:space="0"/>
              <w:left w:val="single" w:color="auto" w:sz="6" w:space="0"/>
              <w:bottom w:val="single" w:color="auto" w:sz="6" w:space="0"/>
              <w:right w:val="single" w:color="auto" w:sz="2" w:space="0"/>
            </w:tcBorders>
            <w:vAlign w:val="center"/>
          </w:tcPr>
          <w:p>
            <w:pPr>
              <w:pStyle w:val="32"/>
            </w:pPr>
            <w:r>
              <w:t>责任单位</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000" w:type="pct"/>
            <w:gridSpan w:val="4"/>
            <w:tcBorders>
              <w:top w:val="single" w:color="auto" w:sz="6" w:space="0"/>
              <w:left w:val="single" w:color="auto" w:sz="2" w:space="0"/>
              <w:bottom w:val="single" w:color="auto" w:sz="6" w:space="0"/>
              <w:right w:val="single" w:color="auto" w:sz="2" w:space="0"/>
            </w:tcBorders>
            <w:vAlign w:val="center"/>
          </w:tcPr>
          <w:p>
            <w:pPr>
              <w:pStyle w:val="32"/>
            </w:pPr>
            <w:r>
              <w:rPr>
                <w:b/>
                <w:bCs/>
              </w:rPr>
              <w:t>一、设计合同签订阶段</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1</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大气污染防治措施</w:t>
            </w:r>
          </w:p>
        </w:tc>
        <w:tc>
          <w:tcPr>
            <w:tcW w:w="2614" w:type="pct"/>
            <w:vMerge w:val="restart"/>
            <w:tcBorders>
              <w:top w:val="single" w:color="auto" w:sz="6" w:space="0"/>
              <w:left w:val="single" w:color="auto" w:sz="6" w:space="0"/>
              <w:bottom w:val="single" w:color="auto" w:sz="6" w:space="0"/>
              <w:right w:val="single" w:color="auto" w:sz="6" w:space="0"/>
            </w:tcBorders>
            <w:vAlign w:val="center"/>
          </w:tcPr>
          <w:p>
            <w:pPr>
              <w:pStyle w:val="32"/>
            </w:pPr>
            <w:r>
              <w:t>在本项目设计合同签订时，应将本项目各污染源治理措施相关内容纳入设计合同，确保污染治理设施顺利实施</w:t>
            </w:r>
          </w:p>
        </w:tc>
        <w:tc>
          <w:tcPr>
            <w:tcW w:w="804" w:type="pct"/>
            <w:vMerge w:val="restart"/>
            <w:tcBorders>
              <w:top w:val="single" w:color="auto" w:sz="6" w:space="0"/>
              <w:left w:val="single" w:color="auto" w:sz="6" w:space="0"/>
              <w:bottom w:val="single" w:color="auto" w:sz="6" w:space="0"/>
              <w:right w:val="single" w:color="auto" w:sz="2" w:space="0"/>
            </w:tcBorders>
            <w:vAlign w:val="center"/>
          </w:tcPr>
          <w:p>
            <w:pPr>
              <w:pStyle w:val="32"/>
            </w:pPr>
            <w:r>
              <w:t>项目建设单位</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2</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水污染防治措施</w:t>
            </w:r>
          </w:p>
        </w:tc>
        <w:tc>
          <w:tcPr>
            <w:tcW w:w="2614" w:type="pct"/>
            <w:vMerge w:val="continue"/>
            <w:tcBorders>
              <w:top w:val="single" w:color="auto" w:sz="6" w:space="0"/>
              <w:left w:val="single" w:color="auto" w:sz="6" w:space="0"/>
              <w:bottom w:val="single" w:color="auto" w:sz="6" w:space="0"/>
              <w:right w:val="single" w:color="auto" w:sz="6" w:space="0"/>
            </w:tcBorders>
            <w:vAlign w:val="center"/>
          </w:tcPr>
          <w:p>
            <w:pPr>
              <w:pStyle w:val="32"/>
            </w:pP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3</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噪声污染防治措施</w:t>
            </w:r>
          </w:p>
        </w:tc>
        <w:tc>
          <w:tcPr>
            <w:tcW w:w="2614" w:type="pct"/>
            <w:vMerge w:val="continue"/>
            <w:tcBorders>
              <w:top w:val="single" w:color="auto" w:sz="6" w:space="0"/>
              <w:left w:val="single" w:color="auto" w:sz="6" w:space="0"/>
              <w:bottom w:val="single" w:color="auto" w:sz="6" w:space="0"/>
              <w:right w:val="single" w:color="auto" w:sz="6" w:space="0"/>
            </w:tcBorders>
            <w:vAlign w:val="center"/>
          </w:tcPr>
          <w:p>
            <w:pPr>
              <w:pStyle w:val="32"/>
            </w:pP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4</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固体废物治理措施</w:t>
            </w:r>
          </w:p>
        </w:tc>
        <w:tc>
          <w:tcPr>
            <w:tcW w:w="2614" w:type="pct"/>
            <w:vMerge w:val="continue"/>
            <w:tcBorders>
              <w:top w:val="single" w:color="auto" w:sz="6" w:space="0"/>
              <w:left w:val="single" w:color="auto" w:sz="6" w:space="0"/>
              <w:bottom w:val="single" w:color="auto" w:sz="6" w:space="0"/>
              <w:right w:val="single" w:color="auto" w:sz="6" w:space="0"/>
            </w:tcBorders>
            <w:vAlign w:val="center"/>
          </w:tcPr>
          <w:p>
            <w:pPr>
              <w:pStyle w:val="32"/>
            </w:pP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000" w:type="pct"/>
            <w:gridSpan w:val="4"/>
            <w:tcBorders>
              <w:top w:val="single" w:color="auto" w:sz="6" w:space="0"/>
              <w:left w:val="single" w:color="auto" w:sz="2" w:space="0"/>
              <w:bottom w:val="single" w:color="auto" w:sz="6" w:space="0"/>
              <w:right w:val="single" w:color="auto" w:sz="2" w:space="0"/>
            </w:tcBorders>
            <w:vAlign w:val="center"/>
          </w:tcPr>
          <w:p>
            <w:pPr>
              <w:pStyle w:val="32"/>
            </w:pPr>
            <w:r>
              <w:rPr>
                <w:b/>
                <w:bCs/>
              </w:rPr>
              <w:t>二、施工阶段</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1</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合同签订</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应将施工期大气污染防治、水环境污染防治、噪声污染防治、固体废物处置等相关内容纳入施工合同，确保污染治理顺利进行</w:t>
            </w:r>
          </w:p>
        </w:tc>
        <w:tc>
          <w:tcPr>
            <w:tcW w:w="804" w:type="pct"/>
            <w:vMerge w:val="restart"/>
            <w:tcBorders>
              <w:top w:val="single" w:color="auto" w:sz="6" w:space="0"/>
              <w:left w:val="single" w:color="auto" w:sz="6" w:space="0"/>
              <w:bottom w:val="single" w:color="auto" w:sz="6" w:space="0"/>
              <w:right w:val="single" w:color="auto" w:sz="2" w:space="0"/>
            </w:tcBorders>
            <w:vAlign w:val="center"/>
          </w:tcPr>
          <w:p>
            <w:pPr>
              <w:pStyle w:val="32"/>
            </w:pPr>
            <w:r>
              <w:t>项目建设单位</w:t>
            </w:r>
          </w:p>
          <w:p>
            <w:pPr>
              <w:jc w:val="center"/>
            </w:pPr>
          </w:p>
          <w:p>
            <w:pPr>
              <w:pStyle w:val="2"/>
              <w:ind w:left="480" w:firstLine="480"/>
              <w:jc w:val="center"/>
            </w:pPr>
          </w:p>
          <w:p>
            <w:pPr>
              <w:pStyle w:val="32"/>
            </w:pPr>
            <w:r>
              <w:t>环境监理单位</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2</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水土保持</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护坡、渣土拦挡等防治水土流失的工程措施、土地整治工程，弃土、弃渣应妥善堆放</w:t>
            </w: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3</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大气污染防治措施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（1）施工期间厂区应进行围挡，减少扬尘污染。</w:t>
            </w:r>
          </w:p>
          <w:p>
            <w:pPr>
              <w:pStyle w:val="32"/>
            </w:pPr>
            <w:r>
              <w:t>（2）运输车辆加盖篷布，施工便道定期洒水。</w:t>
            </w:r>
          </w:p>
          <w:p>
            <w:pPr>
              <w:pStyle w:val="32"/>
            </w:pPr>
            <w:r>
              <w:t>（3）对排烟大的施工机械安装消烟装置。</w:t>
            </w:r>
          </w:p>
          <w:p>
            <w:pPr>
              <w:pStyle w:val="32"/>
            </w:pPr>
            <w:r>
              <w:t>（4）大气环境监测</w:t>
            </w: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4</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水污染防治措施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（1）施工营地生活污水集中处理后，达标排放。</w:t>
            </w:r>
          </w:p>
          <w:p>
            <w:pPr>
              <w:pStyle w:val="32"/>
            </w:pPr>
            <w:r>
              <w:t>（2）砂浆和石灰浆等废液要集中处理，干燥后与固体废物一起处置。</w:t>
            </w:r>
          </w:p>
          <w:p>
            <w:pPr>
              <w:pStyle w:val="32"/>
            </w:pPr>
            <w:r>
              <w:t>（3）水泥、黄沙、石灰类的建筑材料应集中堆放，并采取一定的防雨淋措施及时清扫施工运输过程中抛洒的建筑材料。</w:t>
            </w:r>
          </w:p>
          <w:p>
            <w:pPr>
              <w:pStyle w:val="32"/>
            </w:pPr>
            <w:r>
              <w:t>（4）对各个防渗分区尤其是重点防渗区等隐蔽工程进行严格监理，录制相关影像资料进行存档，以防止污染当地地下水；</w:t>
            </w:r>
          </w:p>
          <w:p>
            <w:pPr>
              <w:pStyle w:val="32"/>
            </w:pPr>
            <w:r>
              <w:t>（5）对渣场防渗设施等隐蔽工程敷设过程进行监控。</w:t>
            </w: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5</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噪声污染防治措施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噪声防治措施、环境噪声监测</w:t>
            </w: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8</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建筑施工垃圾处理措施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施工垃圾堆放与运输</w:t>
            </w: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9</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施工人员生活垃圾处理措施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生活垃圾收集、堆存与运输</w:t>
            </w:r>
          </w:p>
        </w:tc>
        <w:tc>
          <w:tcPr>
            <w:tcW w:w="804" w:type="pct"/>
            <w:vMerge w:val="continue"/>
            <w:tcBorders>
              <w:top w:val="single" w:color="auto" w:sz="6" w:space="0"/>
              <w:left w:val="single" w:color="auto" w:sz="6" w:space="0"/>
              <w:bottom w:val="single" w:color="auto" w:sz="6"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5000" w:type="pct"/>
            <w:gridSpan w:val="4"/>
            <w:tcBorders>
              <w:top w:val="single" w:color="auto" w:sz="6" w:space="0"/>
              <w:left w:val="single" w:color="auto" w:sz="2" w:space="0"/>
              <w:bottom w:val="single" w:color="auto" w:sz="6" w:space="0"/>
              <w:right w:val="single" w:color="auto" w:sz="2" w:space="0"/>
            </w:tcBorders>
            <w:vAlign w:val="center"/>
          </w:tcPr>
          <w:p>
            <w:pPr>
              <w:pStyle w:val="32"/>
            </w:pPr>
            <w:r>
              <w:rPr>
                <w:b/>
                <w:bCs/>
              </w:rPr>
              <w:t>三、运行期</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1</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大气污染防治措施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烟气净化系统、各通风收尘系统</w:t>
            </w:r>
          </w:p>
        </w:tc>
        <w:tc>
          <w:tcPr>
            <w:tcW w:w="804" w:type="pct"/>
            <w:vMerge w:val="restart"/>
            <w:tcBorders>
              <w:top w:val="single" w:color="auto" w:sz="6" w:space="0"/>
              <w:left w:val="single" w:color="auto" w:sz="6" w:space="0"/>
              <w:bottom w:val="single" w:color="auto" w:sz="2" w:space="0"/>
              <w:right w:val="single" w:color="auto" w:sz="2" w:space="0"/>
            </w:tcBorders>
            <w:vAlign w:val="center"/>
          </w:tcPr>
          <w:p>
            <w:pPr>
              <w:pStyle w:val="32"/>
            </w:pPr>
            <w:r>
              <w:t>项目建设单位</w:t>
            </w:r>
          </w:p>
          <w:p>
            <w:pPr>
              <w:pStyle w:val="32"/>
            </w:pPr>
            <w:r>
              <w:t>环境监理单位</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2</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水污染防治措施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生产废水处理设施、生活污水处理设施、事故池</w:t>
            </w:r>
          </w:p>
        </w:tc>
        <w:tc>
          <w:tcPr>
            <w:tcW w:w="804" w:type="pct"/>
            <w:vMerge w:val="continue"/>
            <w:tcBorders>
              <w:top w:val="single" w:color="auto" w:sz="6" w:space="0"/>
              <w:left w:val="single" w:color="auto" w:sz="6" w:space="0"/>
              <w:bottom w:val="single" w:color="auto" w:sz="2" w:space="0"/>
              <w:right w:val="single" w:color="auto" w:sz="2" w:space="0"/>
            </w:tcBorders>
            <w:vAlign w:val="center"/>
          </w:tcPr>
          <w:p>
            <w:pPr>
              <w:pStyle w:val="32"/>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350" w:type="pct"/>
            <w:tcBorders>
              <w:top w:val="single" w:color="auto" w:sz="6" w:space="0"/>
              <w:left w:val="single" w:color="auto" w:sz="2" w:space="0"/>
              <w:bottom w:val="single" w:color="auto" w:sz="6" w:space="0"/>
              <w:right w:val="single" w:color="auto" w:sz="6" w:space="0"/>
            </w:tcBorders>
            <w:vAlign w:val="center"/>
          </w:tcPr>
          <w:p>
            <w:pPr>
              <w:pStyle w:val="32"/>
            </w:pPr>
            <w:r>
              <w:t>3</w:t>
            </w:r>
          </w:p>
        </w:tc>
        <w:tc>
          <w:tcPr>
            <w:tcW w:w="1230" w:type="pct"/>
            <w:tcBorders>
              <w:top w:val="single" w:color="auto" w:sz="6" w:space="0"/>
              <w:left w:val="single" w:color="auto" w:sz="6" w:space="0"/>
              <w:bottom w:val="single" w:color="auto" w:sz="6" w:space="0"/>
              <w:right w:val="single" w:color="auto" w:sz="6" w:space="0"/>
            </w:tcBorders>
            <w:vAlign w:val="center"/>
          </w:tcPr>
          <w:p>
            <w:pPr>
              <w:pStyle w:val="32"/>
            </w:pPr>
            <w:r>
              <w:t>噪声污染防治措施</w:t>
            </w:r>
          </w:p>
        </w:tc>
        <w:tc>
          <w:tcPr>
            <w:tcW w:w="2614" w:type="pct"/>
            <w:tcBorders>
              <w:top w:val="single" w:color="auto" w:sz="6" w:space="0"/>
              <w:left w:val="single" w:color="auto" w:sz="6" w:space="0"/>
              <w:bottom w:val="single" w:color="auto" w:sz="6" w:space="0"/>
              <w:right w:val="single" w:color="auto" w:sz="6" w:space="0"/>
            </w:tcBorders>
            <w:vAlign w:val="center"/>
          </w:tcPr>
          <w:p>
            <w:pPr>
              <w:pStyle w:val="32"/>
            </w:pPr>
            <w:r>
              <w:t>风机安装消声器，排烟风机等设置减振装置</w:t>
            </w:r>
          </w:p>
        </w:tc>
        <w:tc>
          <w:tcPr>
            <w:tcW w:w="804" w:type="pct"/>
            <w:vMerge w:val="continue"/>
            <w:tcBorders>
              <w:top w:val="single" w:color="auto" w:sz="6" w:space="0"/>
              <w:left w:val="single" w:color="auto" w:sz="6" w:space="0"/>
              <w:bottom w:val="single" w:color="auto" w:sz="2" w:space="0"/>
              <w:right w:val="single" w:color="auto" w:sz="2" w:space="0"/>
            </w:tcBorders>
            <w:vAlign w:val="center"/>
          </w:tcPr>
          <w:p>
            <w:pPr>
              <w:pStyle w:val="32"/>
            </w:pPr>
          </w:p>
        </w:tc>
      </w:tr>
    </w:tbl>
    <w:p>
      <w:pPr>
        <w:pStyle w:val="5"/>
      </w:pPr>
      <w:bookmarkStart w:id="183" w:name="_Toc26006"/>
      <w:r>
        <w:rPr>
          <w:rFonts w:hint="eastAsia"/>
        </w:rPr>
        <w:t>1</w:t>
      </w:r>
      <w:r>
        <w:rPr>
          <w:rFonts w:hint="eastAsia"/>
          <w:lang w:val="en-US" w:eastAsia="zh-CN"/>
        </w:rPr>
        <w:t>1</w:t>
      </w:r>
      <w:r>
        <w:rPr>
          <w:rFonts w:hint="eastAsia"/>
        </w:rPr>
        <w:t>.5环境监测计划</w:t>
      </w:r>
      <w:bookmarkEnd w:id="183"/>
    </w:p>
    <w:p>
      <w:pPr>
        <w:pStyle w:val="8"/>
      </w:pPr>
      <w:r>
        <w:rPr>
          <w:rFonts w:hint="eastAsia"/>
        </w:rPr>
        <w:t>1</w:t>
      </w:r>
      <w:r>
        <w:rPr>
          <w:rFonts w:hint="eastAsia"/>
          <w:lang w:val="en-US" w:eastAsia="zh-CN"/>
        </w:rPr>
        <w:t>1</w:t>
      </w:r>
      <w:r>
        <w:rPr>
          <w:rFonts w:hint="eastAsia"/>
        </w:rPr>
        <w:t>.5.1环境监测职责</w:t>
      </w:r>
    </w:p>
    <w:p>
      <w:pPr>
        <w:pStyle w:val="7"/>
        <w:ind w:firstLine="480"/>
      </w:pPr>
      <w:r>
        <w:rPr>
          <w:rFonts w:hint="eastAsia"/>
        </w:rPr>
        <w:t>环境监测是环境保护的基础工作，是执行环保法规、判断环境质量现状、评价环保设施治理效果及环保管理的重要手段，环境监测的目的是通过对本企业污染源监测和周围环境的监测，及时准确掌握污染状况，了解污染程度和范围，为加强环境管理，实施清洁生产提供可靠的技术依据。环境监测计划不仅应用于项目的规划阶段，而且包括项目的建设施工期和建设后的运行期所必需的环境监测有关内容，环境监测计划的具体内容可根据本项目可能产生的环境影响选择合适的监测对象和环境因子，确定监测范围及监测方法，从而制定审核制度，明确实施机构。</w:t>
      </w:r>
    </w:p>
    <w:p>
      <w:pPr>
        <w:pStyle w:val="8"/>
      </w:pPr>
      <w:r>
        <w:rPr>
          <w:rFonts w:hint="eastAsia"/>
        </w:rPr>
        <w:t>1</w:t>
      </w:r>
      <w:r>
        <w:rPr>
          <w:rFonts w:hint="eastAsia"/>
          <w:lang w:val="en-US" w:eastAsia="zh-CN"/>
        </w:rPr>
        <w:t>1</w:t>
      </w:r>
      <w:r>
        <w:rPr>
          <w:rFonts w:hint="eastAsia"/>
        </w:rPr>
        <w:t>.5.2环境监测计划</w:t>
      </w:r>
    </w:p>
    <w:p>
      <w:pPr>
        <w:pStyle w:val="7"/>
        <w:ind w:firstLine="480"/>
        <w:rPr>
          <w:rFonts w:hint="eastAsia"/>
        </w:rPr>
      </w:pPr>
      <w:r>
        <w:rPr>
          <w:rFonts w:hint="eastAsia"/>
        </w:rPr>
        <w:t>本项目可根据以下的基本监测计划，委托相关资质监测机构进行监测，监测具体监测内容如下：</w:t>
      </w:r>
    </w:p>
    <w:p>
      <w:pPr>
        <w:pStyle w:val="7"/>
        <w:ind w:firstLine="480"/>
        <w:rPr>
          <w:rFonts w:hint="eastAsia"/>
        </w:rPr>
      </w:pPr>
    </w:p>
    <w:p>
      <w:pPr>
        <w:pStyle w:val="7"/>
        <w:ind w:firstLine="482"/>
        <w:rPr>
          <w:b/>
          <w:bCs/>
        </w:rPr>
      </w:pPr>
      <w:r>
        <w:rPr>
          <w:rFonts w:hint="eastAsia"/>
          <w:b/>
          <w:bCs/>
        </w:rPr>
        <w:t>1、施工期环境监测</w:t>
      </w:r>
    </w:p>
    <w:p>
      <w:pPr>
        <w:pStyle w:val="7"/>
        <w:ind w:firstLine="480"/>
      </w:pPr>
      <w:r>
        <w:rPr>
          <w:rFonts w:hint="eastAsia"/>
        </w:rPr>
        <w:t>施工期的监测主要是对施工场界噪声和大气的监测，具体监测计划为：</w:t>
      </w:r>
    </w:p>
    <w:p>
      <w:pPr>
        <w:pStyle w:val="7"/>
        <w:ind w:firstLine="480"/>
      </w:pPr>
      <w:r>
        <w:rPr>
          <w:rFonts w:hint="eastAsia"/>
        </w:rPr>
        <w:t>噪声：在施工场界（生产区）周围布设6～8个监测点，每季监测一天，昼夜各监测一次，监测因子为等效A声级。</w:t>
      </w:r>
    </w:p>
    <w:p>
      <w:pPr>
        <w:pStyle w:val="7"/>
        <w:ind w:firstLine="480"/>
      </w:pPr>
      <w:r>
        <w:rPr>
          <w:rFonts w:hint="eastAsia"/>
        </w:rPr>
        <w:t>大气：在施工区（生产区）及其周围布设2个大气监测点，每季度监测一次，每次连续三天，监测因子为TSP。</w:t>
      </w:r>
    </w:p>
    <w:p>
      <w:pPr>
        <w:pStyle w:val="7"/>
        <w:ind w:firstLine="482"/>
        <w:rPr>
          <w:b/>
          <w:bCs/>
        </w:rPr>
      </w:pPr>
      <w:r>
        <w:rPr>
          <w:rFonts w:hint="eastAsia"/>
          <w:b/>
          <w:bCs/>
        </w:rPr>
        <w:t>2、运营期环境监测</w:t>
      </w:r>
    </w:p>
    <w:p>
      <w:pPr>
        <w:pStyle w:val="7"/>
        <w:ind w:firstLine="480"/>
      </w:pPr>
      <w:r>
        <w:rPr>
          <w:rFonts w:hint="eastAsia"/>
        </w:rPr>
        <w:t>（1）环境质量监测</w:t>
      </w:r>
    </w:p>
    <w:p>
      <w:pPr>
        <w:pStyle w:val="7"/>
        <w:ind w:firstLine="480"/>
      </w:pPr>
      <w:r>
        <w:rPr>
          <w:rFonts w:hint="eastAsia"/>
        </w:rPr>
        <w:t>本项目投产后，正常生产时进行常规监测，以便及时掌握周围环境的空气环境质量状况以及设备噪声对环境的影响。发生非正常及事故排放时，应及时报主管环保部门，由地方监测站采样分析，掌握此时的环境影响范围和程度。监测方法参照国家相关技术规范和技术标准，具体监测内容列于表</w:t>
      </w:r>
      <w:r>
        <w:rPr>
          <w:rFonts w:hint="eastAsia"/>
          <w:lang w:val="en-US" w:eastAsia="zh-CN"/>
        </w:rPr>
        <w:t>11</w:t>
      </w:r>
      <w:r>
        <w:rPr>
          <w:rFonts w:hint="eastAsia"/>
        </w:rPr>
        <w:t>.5-1。</w:t>
      </w:r>
    </w:p>
    <w:p>
      <w:pPr>
        <w:pStyle w:val="31"/>
      </w:pPr>
      <w:r>
        <w:rPr>
          <w:rFonts w:hint="eastAsia"/>
        </w:rPr>
        <w:t>表1</w:t>
      </w:r>
      <w:r>
        <w:rPr>
          <w:rFonts w:hint="eastAsia"/>
          <w:lang w:val="en-US" w:eastAsia="zh-CN"/>
        </w:rPr>
        <w:t>1</w:t>
      </w:r>
      <w:r>
        <w:rPr>
          <w:rFonts w:hint="eastAsia"/>
        </w:rPr>
        <w:t>.5-1  环境质量监测计划</w:t>
      </w:r>
    </w:p>
    <w:tbl>
      <w:tblPr>
        <w:tblStyle w:val="27"/>
        <w:tblW w:w="53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Layout w:type="autofit"/>
        <w:tblCellMar>
          <w:top w:w="0" w:type="dxa"/>
          <w:left w:w="108" w:type="dxa"/>
          <w:bottom w:w="0" w:type="dxa"/>
          <w:right w:w="108" w:type="dxa"/>
        </w:tblCellMar>
      </w:tblPr>
      <w:tblGrid>
        <w:gridCol w:w="426"/>
        <w:gridCol w:w="654"/>
        <w:gridCol w:w="1803"/>
        <w:gridCol w:w="2698"/>
        <w:gridCol w:w="1072"/>
        <w:gridCol w:w="253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jc w:val="center"/>
        </w:trPr>
        <w:tc>
          <w:tcPr>
            <w:tcW w:w="587" w:type="pct"/>
            <w:gridSpan w:val="2"/>
            <w:tcBorders>
              <w:top w:val="single" w:color="auto" w:sz="2" w:space="0"/>
              <w:left w:val="single" w:color="auto" w:sz="2" w:space="0"/>
              <w:bottom w:val="single" w:color="auto" w:sz="2" w:space="0"/>
              <w:right w:val="single" w:color="auto" w:sz="4" w:space="0"/>
            </w:tcBorders>
            <w:vAlign w:val="center"/>
          </w:tcPr>
          <w:p>
            <w:pPr>
              <w:pStyle w:val="33"/>
            </w:pPr>
            <w:r>
              <w:t>环境类别</w:t>
            </w:r>
          </w:p>
        </w:tc>
        <w:tc>
          <w:tcPr>
            <w:tcW w:w="981" w:type="pct"/>
            <w:tcBorders>
              <w:top w:val="single" w:color="auto" w:sz="2" w:space="0"/>
              <w:left w:val="single" w:color="auto" w:sz="4" w:space="0"/>
              <w:bottom w:val="single" w:color="auto" w:sz="2" w:space="0"/>
              <w:right w:val="single" w:color="auto" w:sz="4" w:space="0"/>
            </w:tcBorders>
            <w:vAlign w:val="center"/>
          </w:tcPr>
          <w:p>
            <w:pPr>
              <w:pStyle w:val="33"/>
            </w:pPr>
            <w:r>
              <w:t>监测点位置</w:t>
            </w:r>
          </w:p>
        </w:tc>
        <w:tc>
          <w:tcPr>
            <w:tcW w:w="1468" w:type="pct"/>
            <w:tcBorders>
              <w:top w:val="single" w:color="auto" w:sz="2" w:space="0"/>
              <w:left w:val="single" w:color="auto" w:sz="4" w:space="0"/>
              <w:bottom w:val="single" w:color="auto" w:sz="2" w:space="0"/>
              <w:right w:val="single" w:color="auto" w:sz="4" w:space="0"/>
            </w:tcBorders>
            <w:vAlign w:val="center"/>
          </w:tcPr>
          <w:p>
            <w:pPr>
              <w:pStyle w:val="33"/>
            </w:pPr>
            <w:r>
              <w:t>监测指标</w:t>
            </w:r>
          </w:p>
        </w:tc>
        <w:tc>
          <w:tcPr>
            <w:tcW w:w="583" w:type="pct"/>
            <w:tcBorders>
              <w:top w:val="single" w:color="auto" w:sz="2" w:space="0"/>
              <w:left w:val="single" w:color="auto" w:sz="4" w:space="0"/>
              <w:bottom w:val="single" w:color="auto" w:sz="2" w:space="0"/>
              <w:right w:val="single" w:color="auto" w:sz="2" w:space="0"/>
            </w:tcBorders>
            <w:vAlign w:val="center"/>
          </w:tcPr>
          <w:p>
            <w:pPr>
              <w:pStyle w:val="33"/>
            </w:pPr>
            <w:r>
              <w:t>监测频次</w:t>
            </w:r>
          </w:p>
        </w:tc>
        <w:tc>
          <w:tcPr>
            <w:tcW w:w="1378" w:type="pct"/>
            <w:tcBorders>
              <w:top w:val="single" w:color="auto" w:sz="2" w:space="0"/>
              <w:left w:val="single" w:color="auto" w:sz="4" w:space="0"/>
              <w:bottom w:val="single" w:color="auto" w:sz="2" w:space="0"/>
              <w:right w:val="single" w:color="auto" w:sz="2" w:space="0"/>
            </w:tcBorders>
          </w:tcPr>
          <w:p>
            <w:pPr>
              <w:pStyle w:val="33"/>
            </w:pPr>
            <w:r>
              <w:t>执行环境质量标准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jc w:val="center"/>
        </w:trPr>
        <w:tc>
          <w:tcPr>
            <w:tcW w:w="587" w:type="pct"/>
            <w:gridSpan w:val="2"/>
            <w:tcBorders>
              <w:top w:val="single" w:color="auto" w:sz="2" w:space="0"/>
              <w:left w:val="single" w:color="auto" w:sz="2" w:space="0"/>
              <w:bottom w:val="single" w:color="auto" w:sz="2" w:space="0"/>
              <w:right w:val="single" w:color="auto" w:sz="4" w:space="0"/>
            </w:tcBorders>
            <w:vAlign w:val="center"/>
          </w:tcPr>
          <w:p>
            <w:pPr>
              <w:pStyle w:val="33"/>
            </w:pPr>
            <w:r>
              <w:t>空气环境</w:t>
            </w:r>
          </w:p>
        </w:tc>
        <w:tc>
          <w:tcPr>
            <w:tcW w:w="981" w:type="pct"/>
            <w:tcBorders>
              <w:top w:val="single" w:color="auto" w:sz="2" w:space="0"/>
              <w:left w:val="single" w:color="auto" w:sz="4" w:space="0"/>
              <w:bottom w:val="single" w:color="auto" w:sz="2" w:space="0"/>
              <w:right w:val="single" w:color="auto" w:sz="4" w:space="0"/>
            </w:tcBorders>
            <w:vAlign w:val="center"/>
          </w:tcPr>
          <w:p>
            <w:pPr>
              <w:pStyle w:val="33"/>
            </w:pPr>
            <w:r>
              <w:t>布标村</w:t>
            </w:r>
            <w:r>
              <w:rPr>
                <w:rFonts w:hint="eastAsia"/>
              </w:rPr>
              <w:t>、</w:t>
            </w:r>
            <w:r>
              <w:t>听湖水库</w:t>
            </w:r>
          </w:p>
        </w:tc>
        <w:tc>
          <w:tcPr>
            <w:tcW w:w="1468" w:type="pct"/>
            <w:tcBorders>
              <w:top w:val="single" w:color="auto" w:sz="2" w:space="0"/>
              <w:left w:val="single" w:color="auto" w:sz="4" w:space="0"/>
              <w:bottom w:val="single" w:color="auto" w:sz="2" w:space="0"/>
              <w:right w:val="single" w:color="auto" w:sz="4" w:space="0"/>
            </w:tcBorders>
            <w:vAlign w:val="center"/>
          </w:tcPr>
          <w:p>
            <w:pPr>
              <w:pStyle w:val="33"/>
            </w:pPr>
            <w:r>
              <w:t>SO</w:t>
            </w:r>
            <w:r>
              <w:rPr>
                <w:vertAlign w:val="subscript"/>
              </w:rPr>
              <w:t>2</w:t>
            </w:r>
            <w:r>
              <w:t>、NO</w:t>
            </w:r>
            <w:r>
              <w:rPr>
                <w:vertAlign w:val="subscript"/>
              </w:rPr>
              <w:t>2</w:t>
            </w:r>
            <w:r>
              <w:rPr>
                <w:rFonts w:hint="eastAsia"/>
              </w:rPr>
              <w:t>、</w:t>
            </w:r>
            <w:r>
              <w:t>TSP、PM</w:t>
            </w:r>
            <w:r>
              <w:rPr>
                <w:vertAlign w:val="subscript"/>
              </w:rPr>
              <w:t>10</w:t>
            </w:r>
            <w:r>
              <w:t>、PM</w:t>
            </w:r>
            <w:r>
              <w:rPr>
                <w:vertAlign w:val="subscript"/>
              </w:rPr>
              <w:t>2.5</w:t>
            </w:r>
            <w:r>
              <w:t>、氟化物</w:t>
            </w:r>
            <w:r>
              <w:rPr>
                <w:rFonts w:hint="eastAsia"/>
              </w:rPr>
              <w:t>、</w:t>
            </w:r>
            <w:r>
              <w:t>HCL</w:t>
            </w:r>
            <w:r>
              <w:rPr>
                <w:rFonts w:hint="eastAsia"/>
              </w:rPr>
              <w:t>、</w:t>
            </w:r>
            <w:r>
              <w:t>氯气</w:t>
            </w:r>
          </w:p>
        </w:tc>
        <w:tc>
          <w:tcPr>
            <w:tcW w:w="583" w:type="pct"/>
            <w:tcBorders>
              <w:top w:val="single" w:color="auto" w:sz="2" w:space="0"/>
              <w:left w:val="single" w:color="auto" w:sz="4" w:space="0"/>
              <w:bottom w:val="single" w:color="auto" w:sz="2" w:space="0"/>
              <w:right w:val="single" w:color="auto" w:sz="2" w:space="0"/>
            </w:tcBorders>
            <w:vAlign w:val="center"/>
          </w:tcPr>
          <w:p>
            <w:pPr>
              <w:pStyle w:val="33"/>
            </w:pPr>
            <w:r>
              <w:t>2次/年</w:t>
            </w:r>
            <w:r>
              <w:rPr>
                <w:lang w:val="en-GB"/>
              </w:rPr>
              <w:t>，</w:t>
            </w:r>
            <w:r>
              <w:t>7天/次</w:t>
            </w:r>
          </w:p>
        </w:tc>
        <w:tc>
          <w:tcPr>
            <w:tcW w:w="1378" w:type="pct"/>
            <w:tcBorders>
              <w:top w:val="single" w:color="auto" w:sz="2" w:space="0"/>
              <w:left w:val="single" w:color="auto" w:sz="4" w:space="0"/>
              <w:bottom w:val="single" w:color="auto" w:sz="2" w:space="0"/>
              <w:right w:val="single" w:color="auto" w:sz="2" w:space="0"/>
            </w:tcBorders>
          </w:tcPr>
          <w:p>
            <w:pPr>
              <w:pStyle w:val="33"/>
            </w:pPr>
            <w:r>
              <w:t>布标村执行</w:t>
            </w:r>
            <w:r>
              <w:rPr>
                <w:lang w:val="zh-CN"/>
              </w:rPr>
              <w:t>《环境空气质量标准》(GB3095-2012)二级标准</w:t>
            </w:r>
            <w:r>
              <w:rPr>
                <w:rFonts w:hint="eastAsia"/>
                <w:lang w:val="zh-CN"/>
              </w:rPr>
              <w:t>、</w:t>
            </w:r>
            <w:r>
              <w:t>听湖水库执行</w:t>
            </w:r>
            <w:r>
              <w:rPr>
                <w:lang w:val="zh-CN"/>
              </w:rPr>
              <w:t>《环境空气质量标准》(GB3095-2012)一级标准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jc w:val="center"/>
        </w:trPr>
        <w:tc>
          <w:tcPr>
            <w:tcW w:w="231" w:type="pct"/>
            <w:vMerge w:val="restart"/>
            <w:tcBorders>
              <w:top w:val="single" w:color="auto" w:sz="2" w:space="0"/>
              <w:left w:val="single" w:color="auto" w:sz="2" w:space="0"/>
              <w:bottom w:val="single" w:color="auto" w:sz="2" w:space="0"/>
              <w:right w:val="single" w:color="auto" w:sz="4" w:space="0"/>
            </w:tcBorders>
            <w:vAlign w:val="center"/>
          </w:tcPr>
          <w:p>
            <w:pPr>
              <w:pStyle w:val="33"/>
            </w:pPr>
            <w:r>
              <w:t>水</w:t>
            </w:r>
          </w:p>
          <w:p>
            <w:pPr>
              <w:pStyle w:val="33"/>
            </w:pPr>
            <w:r>
              <w:t>环</w:t>
            </w:r>
          </w:p>
          <w:p>
            <w:pPr>
              <w:pStyle w:val="33"/>
            </w:pPr>
            <w:r>
              <w:t>境</w:t>
            </w:r>
          </w:p>
        </w:tc>
        <w:tc>
          <w:tcPr>
            <w:tcW w:w="355" w:type="pct"/>
            <w:tcBorders>
              <w:top w:val="single" w:color="auto" w:sz="2" w:space="0"/>
              <w:left w:val="single" w:color="auto" w:sz="4" w:space="0"/>
              <w:bottom w:val="single" w:color="auto" w:sz="2" w:space="0"/>
              <w:right w:val="single" w:color="auto" w:sz="4" w:space="0"/>
            </w:tcBorders>
            <w:vAlign w:val="center"/>
          </w:tcPr>
          <w:p>
            <w:pPr>
              <w:pStyle w:val="33"/>
            </w:pPr>
            <w:r>
              <w:t>地表水</w:t>
            </w:r>
          </w:p>
        </w:tc>
        <w:tc>
          <w:tcPr>
            <w:tcW w:w="981" w:type="pct"/>
            <w:tcBorders>
              <w:top w:val="single" w:color="auto" w:sz="2" w:space="0"/>
              <w:left w:val="single" w:color="auto" w:sz="4" w:space="0"/>
              <w:bottom w:val="single" w:color="auto" w:sz="2" w:space="0"/>
              <w:right w:val="single" w:color="auto" w:sz="4" w:space="0"/>
            </w:tcBorders>
            <w:vAlign w:val="center"/>
          </w:tcPr>
          <w:p>
            <w:pPr>
              <w:pStyle w:val="33"/>
            </w:pPr>
            <w:r>
              <w:t>听湖水库可依托县监测站资料</w:t>
            </w:r>
          </w:p>
        </w:tc>
        <w:tc>
          <w:tcPr>
            <w:tcW w:w="1468" w:type="pct"/>
            <w:tcBorders>
              <w:top w:val="single" w:color="auto" w:sz="2" w:space="0"/>
              <w:left w:val="single" w:color="auto" w:sz="4" w:space="0"/>
              <w:bottom w:val="single" w:color="auto" w:sz="2" w:space="0"/>
              <w:right w:val="single" w:color="auto" w:sz="4" w:space="0"/>
            </w:tcBorders>
            <w:vAlign w:val="center"/>
          </w:tcPr>
          <w:p>
            <w:pPr>
              <w:pStyle w:val="33"/>
            </w:pPr>
            <w:r>
              <w:t xml:space="preserve">pH、SS、COD、BOD、氟化物、硫化物、石油类等 </w:t>
            </w:r>
          </w:p>
        </w:tc>
        <w:tc>
          <w:tcPr>
            <w:tcW w:w="583" w:type="pct"/>
            <w:tcBorders>
              <w:top w:val="single" w:color="auto" w:sz="2" w:space="0"/>
              <w:left w:val="single" w:color="auto" w:sz="4" w:space="0"/>
              <w:bottom w:val="single" w:color="auto" w:sz="2" w:space="0"/>
              <w:right w:val="single" w:color="auto" w:sz="2" w:space="0"/>
            </w:tcBorders>
            <w:vAlign w:val="center"/>
          </w:tcPr>
          <w:p>
            <w:pPr>
              <w:pStyle w:val="33"/>
            </w:pPr>
            <w:r>
              <w:t>1次/季、3天/次</w:t>
            </w:r>
          </w:p>
        </w:tc>
        <w:tc>
          <w:tcPr>
            <w:tcW w:w="1378" w:type="pct"/>
            <w:tcBorders>
              <w:top w:val="single" w:color="auto" w:sz="2" w:space="0"/>
              <w:left w:val="single" w:color="auto" w:sz="4" w:space="0"/>
              <w:bottom w:val="single" w:color="auto" w:sz="2" w:space="0"/>
              <w:right w:val="single" w:color="auto" w:sz="2" w:space="0"/>
            </w:tcBorders>
          </w:tcPr>
          <w:p>
            <w:pPr>
              <w:pStyle w:val="33"/>
            </w:pPr>
            <w:r>
              <w:t>《地表水环境质量标准》（GB3838-2002）</w:t>
            </w:r>
            <w:r>
              <w:rPr>
                <w:rFonts w:hint="eastAsia"/>
              </w:rPr>
              <w:t>II</w:t>
            </w:r>
            <w:r>
              <w:t>类标准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jc w:val="center"/>
        </w:trPr>
        <w:tc>
          <w:tcPr>
            <w:tcW w:w="231" w:type="pct"/>
            <w:vMerge w:val="continue"/>
            <w:tcBorders>
              <w:top w:val="single" w:color="auto" w:sz="2" w:space="0"/>
              <w:left w:val="single" w:color="auto" w:sz="2" w:space="0"/>
              <w:bottom w:val="single" w:color="auto" w:sz="2" w:space="0"/>
              <w:right w:val="single" w:color="auto" w:sz="4" w:space="0"/>
            </w:tcBorders>
            <w:vAlign w:val="center"/>
          </w:tcPr>
          <w:p>
            <w:pPr>
              <w:pStyle w:val="33"/>
            </w:pPr>
          </w:p>
        </w:tc>
        <w:tc>
          <w:tcPr>
            <w:tcW w:w="355" w:type="pct"/>
            <w:tcBorders>
              <w:top w:val="single" w:color="auto" w:sz="2" w:space="0"/>
              <w:left w:val="single" w:color="auto" w:sz="4" w:space="0"/>
              <w:bottom w:val="single" w:color="auto" w:sz="2" w:space="0"/>
              <w:right w:val="single" w:color="auto" w:sz="4" w:space="0"/>
            </w:tcBorders>
            <w:vAlign w:val="center"/>
          </w:tcPr>
          <w:p>
            <w:pPr>
              <w:pStyle w:val="33"/>
            </w:pPr>
            <w:r>
              <w:t>地下水</w:t>
            </w:r>
          </w:p>
        </w:tc>
        <w:tc>
          <w:tcPr>
            <w:tcW w:w="981" w:type="pct"/>
            <w:tcBorders>
              <w:top w:val="single" w:color="auto" w:sz="2" w:space="0"/>
              <w:left w:val="single" w:color="auto" w:sz="4" w:space="0"/>
              <w:bottom w:val="single" w:color="auto" w:sz="2" w:space="0"/>
              <w:right w:val="single" w:color="auto" w:sz="4" w:space="0"/>
            </w:tcBorders>
            <w:vAlign w:val="center"/>
          </w:tcPr>
          <w:p>
            <w:pPr>
              <w:pStyle w:val="33"/>
            </w:pPr>
            <w:r>
              <w:t>GW1(小听湖（搬迁）民井)</w:t>
            </w:r>
          </w:p>
          <w:p>
            <w:pPr>
              <w:pStyle w:val="33"/>
            </w:pPr>
            <w:r>
              <w:t>GW5(碧云村民井)</w:t>
            </w:r>
          </w:p>
          <w:p>
            <w:pPr>
              <w:pStyle w:val="33"/>
            </w:pPr>
            <w:r>
              <w:t>GW6(布标民井)</w:t>
            </w:r>
            <w:r>
              <w:rPr>
                <w:rFonts w:hint="eastAsia"/>
              </w:rPr>
              <w:t>、</w:t>
            </w:r>
            <w:r>
              <w:t>GW7(柏布榔民井)</w:t>
            </w:r>
          </w:p>
        </w:tc>
        <w:tc>
          <w:tcPr>
            <w:tcW w:w="1468" w:type="pct"/>
            <w:tcBorders>
              <w:top w:val="single" w:color="auto" w:sz="2" w:space="0"/>
              <w:left w:val="single" w:color="auto" w:sz="4" w:space="0"/>
              <w:bottom w:val="single" w:color="auto" w:sz="2" w:space="0"/>
              <w:right w:val="single" w:color="auto" w:sz="4" w:space="0"/>
            </w:tcBorders>
            <w:vAlign w:val="center"/>
          </w:tcPr>
          <w:p>
            <w:pPr>
              <w:pStyle w:val="33"/>
            </w:pPr>
            <w:r>
              <w:t>pH、总硬度、溶解性总固体、硫酸盐、氯化物、挥发性酚类、阴离子表面活性剂、耗氧量、氨氮、硫化物、亚硝酸盐、硝酸盐、氰化物、氟化物</w:t>
            </w:r>
          </w:p>
        </w:tc>
        <w:tc>
          <w:tcPr>
            <w:tcW w:w="583" w:type="pct"/>
            <w:tcBorders>
              <w:top w:val="single" w:color="auto" w:sz="2" w:space="0"/>
              <w:left w:val="single" w:color="auto" w:sz="4" w:space="0"/>
              <w:bottom w:val="single" w:color="auto" w:sz="2" w:space="0"/>
              <w:right w:val="single" w:color="auto" w:sz="2" w:space="0"/>
            </w:tcBorders>
            <w:vAlign w:val="center"/>
          </w:tcPr>
          <w:p>
            <w:pPr>
              <w:pStyle w:val="33"/>
            </w:pPr>
            <w:r>
              <w:t>丰、枯水期，1次/期</w:t>
            </w:r>
            <w:r>
              <w:rPr>
                <w:lang w:val="en-GB"/>
              </w:rPr>
              <w:t>，</w:t>
            </w:r>
            <w:r>
              <w:t>3天/次</w:t>
            </w:r>
          </w:p>
        </w:tc>
        <w:tc>
          <w:tcPr>
            <w:tcW w:w="1378" w:type="pct"/>
            <w:tcBorders>
              <w:top w:val="single" w:color="auto" w:sz="2" w:space="0"/>
              <w:left w:val="single" w:color="auto" w:sz="4" w:space="0"/>
              <w:bottom w:val="single" w:color="auto" w:sz="2" w:space="0"/>
              <w:right w:val="single" w:color="auto" w:sz="2" w:space="0"/>
            </w:tcBorders>
            <w:vAlign w:val="center"/>
          </w:tcPr>
          <w:p>
            <w:pPr>
              <w:pStyle w:val="33"/>
            </w:pPr>
            <w:r>
              <w:t>《地下水环境质量标准》（GB/T14848-2017）III类标准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jc w:val="center"/>
        </w:trPr>
        <w:tc>
          <w:tcPr>
            <w:tcW w:w="587" w:type="pct"/>
            <w:gridSpan w:val="2"/>
            <w:vMerge w:val="restart"/>
            <w:tcBorders>
              <w:top w:val="single" w:color="auto" w:sz="2" w:space="0"/>
              <w:left w:val="single" w:color="auto" w:sz="2" w:space="0"/>
              <w:right w:val="single" w:color="auto" w:sz="4" w:space="0"/>
            </w:tcBorders>
            <w:vAlign w:val="center"/>
          </w:tcPr>
          <w:p>
            <w:pPr>
              <w:pStyle w:val="33"/>
              <w:rPr>
                <w:color w:val="auto"/>
              </w:rPr>
            </w:pPr>
            <w:r>
              <w:rPr>
                <w:color w:val="auto"/>
              </w:rPr>
              <w:t>土壤</w:t>
            </w:r>
          </w:p>
        </w:tc>
        <w:tc>
          <w:tcPr>
            <w:tcW w:w="981" w:type="pct"/>
            <w:tcBorders>
              <w:top w:val="single" w:color="auto" w:sz="2" w:space="0"/>
              <w:left w:val="single" w:color="auto" w:sz="4" w:space="0"/>
              <w:bottom w:val="single" w:color="auto" w:sz="4" w:space="0"/>
              <w:right w:val="single" w:color="auto" w:sz="4" w:space="0"/>
            </w:tcBorders>
            <w:vAlign w:val="center"/>
          </w:tcPr>
          <w:p>
            <w:pPr>
              <w:pStyle w:val="33"/>
              <w:rPr>
                <w:rFonts w:hint="default" w:eastAsia="宋体"/>
                <w:color w:val="auto"/>
                <w:lang w:val="en-US" w:eastAsia="zh-CN"/>
              </w:rPr>
            </w:pPr>
            <w:r>
              <w:rPr>
                <w:rFonts w:hint="eastAsia"/>
                <w:color w:val="auto"/>
                <w:lang w:val="en-US" w:eastAsia="zh-CN"/>
              </w:rPr>
              <w:t>西南</w:t>
            </w:r>
            <w:r>
              <w:rPr>
                <w:color w:val="auto"/>
              </w:rPr>
              <w:t>侧</w:t>
            </w:r>
            <w:r>
              <w:rPr>
                <w:rFonts w:hint="eastAsia"/>
                <w:color w:val="auto"/>
                <w:lang w:val="en-US" w:eastAsia="zh-CN"/>
              </w:rPr>
              <w:t>1</w:t>
            </w:r>
            <w:r>
              <w:rPr>
                <w:color w:val="auto"/>
              </w:rPr>
              <w:t>00m处</w:t>
            </w:r>
            <w:r>
              <w:rPr>
                <w:rFonts w:hint="eastAsia"/>
                <w:color w:val="auto"/>
                <w:lang w:val="en-US" w:eastAsia="zh-CN"/>
              </w:rPr>
              <w:t>耕地</w:t>
            </w:r>
          </w:p>
        </w:tc>
        <w:tc>
          <w:tcPr>
            <w:tcW w:w="1468" w:type="pct"/>
            <w:tcBorders>
              <w:top w:val="single" w:color="auto" w:sz="2" w:space="0"/>
              <w:left w:val="single" w:color="auto" w:sz="4" w:space="0"/>
              <w:right w:val="single" w:color="auto" w:sz="4" w:space="0"/>
            </w:tcBorders>
            <w:vAlign w:val="center"/>
          </w:tcPr>
          <w:p>
            <w:pPr>
              <w:pStyle w:val="33"/>
              <w:rPr>
                <w:color w:val="auto"/>
              </w:rPr>
            </w:pPr>
            <w:r>
              <w:rPr>
                <w:rFonts w:hint="eastAsia"/>
                <w:color w:val="auto"/>
                <w:highlight w:val="none"/>
              </w:rPr>
              <w:t>pH、镉、汞、砷、铅、总铬、铜、镍、锌和氟化物</w:t>
            </w:r>
          </w:p>
        </w:tc>
        <w:tc>
          <w:tcPr>
            <w:tcW w:w="583" w:type="pct"/>
            <w:vMerge w:val="restart"/>
            <w:tcBorders>
              <w:top w:val="single" w:color="auto" w:sz="2" w:space="0"/>
              <w:left w:val="single" w:color="auto" w:sz="4" w:space="0"/>
              <w:right w:val="single" w:color="auto" w:sz="2" w:space="0"/>
            </w:tcBorders>
            <w:vAlign w:val="center"/>
          </w:tcPr>
          <w:p>
            <w:pPr>
              <w:pStyle w:val="65"/>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深层土壤每3年监测一次，表层土壤</w:t>
            </w:r>
            <w:r>
              <w:rPr>
                <w:rFonts w:hint="default" w:ascii="Times New Roman" w:hAnsi="Times New Roman" w:cs="Times New Roman"/>
                <w:color w:val="auto"/>
                <w:sz w:val="21"/>
                <w:szCs w:val="21"/>
              </w:rPr>
              <w:t>每年监测</w:t>
            </w:r>
          </w:p>
          <w:p>
            <w:pPr>
              <w:pStyle w:val="33"/>
              <w:rPr>
                <w:color w:val="auto"/>
              </w:rPr>
            </w:pPr>
            <w:r>
              <w:rPr>
                <w:rFonts w:hint="default" w:ascii="Times New Roman" w:hAnsi="Times New Roman" w:cs="Times New Roman"/>
                <w:color w:val="auto"/>
                <w:sz w:val="21"/>
                <w:szCs w:val="21"/>
              </w:rPr>
              <w:t>一次</w:t>
            </w:r>
          </w:p>
        </w:tc>
        <w:tc>
          <w:tcPr>
            <w:tcW w:w="1378" w:type="pct"/>
            <w:tcBorders>
              <w:top w:val="single" w:color="auto" w:sz="2" w:space="0"/>
              <w:left w:val="single" w:color="auto" w:sz="4" w:space="0"/>
              <w:bottom w:val="single" w:color="auto" w:sz="4" w:space="0"/>
              <w:right w:val="single" w:color="auto" w:sz="2" w:space="0"/>
            </w:tcBorders>
          </w:tcPr>
          <w:p>
            <w:pPr>
              <w:pStyle w:val="33"/>
              <w:rPr>
                <w:color w:val="auto"/>
              </w:rPr>
            </w:pPr>
            <w:r>
              <w:rPr>
                <w:color w:val="auto"/>
              </w:rPr>
              <w:t>（GB15618-2018）《土壤环境质量 农用地土壤污染风险管控标准（试行）》表1标准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jc w:val="center"/>
        </w:trPr>
        <w:tc>
          <w:tcPr>
            <w:tcW w:w="587" w:type="pct"/>
            <w:gridSpan w:val="2"/>
            <w:vMerge w:val="continue"/>
            <w:tcBorders>
              <w:left w:val="single" w:color="auto" w:sz="2" w:space="0"/>
              <w:bottom w:val="single" w:color="auto" w:sz="2" w:space="0"/>
              <w:right w:val="single" w:color="auto" w:sz="4" w:space="0"/>
            </w:tcBorders>
            <w:vAlign w:val="center"/>
          </w:tcPr>
          <w:p>
            <w:pPr>
              <w:pStyle w:val="33"/>
              <w:rPr>
                <w:color w:val="auto"/>
              </w:rPr>
            </w:pPr>
          </w:p>
        </w:tc>
        <w:tc>
          <w:tcPr>
            <w:tcW w:w="981" w:type="pct"/>
            <w:tcBorders>
              <w:top w:val="single" w:color="auto" w:sz="4" w:space="0"/>
              <w:left w:val="single" w:color="auto" w:sz="4" w:space="0"/>
              <w:bottom w:val="single" w:color="auto" w:sz="2" w:space="0"/>
              <w:right w:val="single" w:color="auto" w:sz="4" w:space="0"/>
            </w:tcBorders>
            <w:vAlign w:val="center"/>
          </w:tcPr>
          <w:p>
            <w:pPr>
              <w:pStyle w:val="33"/>
              <w:rPr>
                <w:color w:val="auto"/>
              </w:rPr>
            </w:pPr>
            <w:r>
              <w:rPr>
                <w:rFonts w:hint="eastAsia"/>
                <w:color w:val="auto"/>
              </w:rPr>
              <w:t>危废暂存间旁</w:t>
            </w:r>
            <w:r>
              <w:rPr>
                <w:rFonts w:hint="eastAsia"/>
                <w:color w:val="auto"/>
                <w:lang w:eastAsia="zh-CN"/>
              </w:rPr>
              <w:t>、</w:t>
            </w:r>
            <w:r>
              <w:rPr>
                <w:rFonts w:hint="eastAsia"/>
                <w:color w:val="auto"/>
                <w:lang w:val="en-US" w:eastAsia="zh-CN"/>
              </w:rPr>
              <w:t>冷却循环水、污水处理站区域</w:t>
            </w:r>
            <w:r>
              <w:rPr>
                <w:rFonts w:hint="eastAsia"/>
                <w:color w:val="auto"/>
              </w:rPr>
              <w:t>各设置1个深层土壤监测点，取样深度＞0.5m</w:t>
            </w:r>
          </w:p>
        </w:tc>
        <w:tc>
          <w:tcPr>
            <w:tcW w:w="1468" w:type="pct"/>
            <w:tcBorders>
              <w:left w:val="single" w:color="auto" w:sz="4" w:space="0"/>
              <w:bottom w:val="single" w:color="auto" w:sz="2" w:space="0"/>
              <w:right w:val="single" w:color="auto" w:sz="4" w:space="0"/>
            </w:tcBorders>
            <w:vAlign w:val="center"/>
          </w:tcPr>
          <w:p>
            <w:pPr>
              <w:pStyle w:val="33"/>
              <w:rPr>
                <w:color w:val="auto"/>
              </w:rPr>
            </w:pPr>
            <w:r>
              <w:rPr>
                <w:rFonts w:hint="eastAsia"/>
                <w:color w:val="auto"/>
                <w:highlight w:val="none"/>
              </w:rPr>
              <w:t>pH值、砷、镉、六价铬、铜、铅、汞、镍、锌、四氯化碳、氯仿、氯甲烷、1,1-二氯乙烷、1,2-二氯乙烷、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氟化物</w:t>
            </w:r>
          </w:p>
        </w:tc>
        <w:tc>
          <w:tcPr>
            <w:tcW w:w="583" w:type="pct"/>
            <w:vMerge w:val="continue"/>
            <w:tcBorders>
              <w:left w:val="single" w:color="auto" w:sz="4" w:space="0"/>
              <w:bottom w:val="single" w:color="auto" w:sz="2" w:space="0"/>
              <w:right w:val="single" w:color="auto" w:sz="2" w:space="0"/>
            </w:tcBorders>
            <w:vAlign w:val="center"/>
          </w:tcPr>
          <w:p>
            <w:pPr>
              <w:pStyle w:val="33"/>
              <w:rPr>
                <w:color w:val="auto"/>
              </w:rPr>
            </w:pPr>
          </w:p>
        </w:tc>
        <w:tc>
          <w:tcPr>
            <w:tcW w:w="1378" w:type="pct"/>
            <w:tcBorders>
              <w:top w:val="single" w:color="auto" w:sz="4" w:space="0"/>
              <w:left w:val="single" w:color="auto" w:sz="4" w:space="0"/>
              <w:bottom w:val="single" w:color="auto" w:sz="2" w:space="0"/>
              <w:right w:val="single" w:color="auto" w:sz="2" w:space="0"/>
            </w:tcBorders>
          </w:tcPr>
          <w:p>
            <w:pPr>
              <w:pStyle w:val="33"/>
              <w:rPr>
                <w:color w:val="auto"/>
              </w:rPr>
            </w:pPr>
            <w:r>
              <w:rPr>
                <w:color w:val="auto"/>
              </w:rPr>
              <w:t>(GB 36600-2018)《土壤环境质量 建设用地土壤污染风险管控标准（试行）》表1标准</w:t>
            </w:r>
          </w:p>
        </w:tc>
      </w:tr>
    </w:tbl>
    <w:p>
      <w:pPr>
        <w:pStyle w:val="7"/>
        <w:ind w:firstLine="480"/>
      </w:pPr>
      <w:r>
        <w:t>（2）污染源监测</w:t>
      </w:r>
    </w:p>
    <w:p>
      <w:pPr>
        <w:pStyle w:val="7"/>
        <w:ind w:firstLine="480"/>
      </w:pPr>
      <w:r>
        <w:rPr>
          <w:rFonts w:hint="eastAsia"/>
        </w:rPr>
        <w:t>环境监测过程应根据国家生态环境管理部门颁布的各项导则和标准规定的方法进行采样、保存和分析样品，各污染物监测和分析方法按照相关技术规范执行，排污单位自行监测信息公开内容及方式按照《企业事业单位环境信息公开办法》（环境保护部令第31号）执行。根据项目排污特点，参照《排污单位自行监测技术指南 总则》（HJ819-2017）、《排污许可证申请与核发技术规范 工业炉窑》（HJ1121-2020）要求，全厂监测计划见表1</w:t>
      </w:r>
      <w:r>
        <w:rPr>
          <w:rFonts w:hint="eastAsia"/>
          <w:lang w:val="en-US" w:eastAsia="zh-CN"/>
        </w:rPr>
        <w:t>1</w:t>
      </w:r>
      <w:r>
        <w:rPr>
          <w:rFonts w:hint="eastAsia"/>
        </w:rPr>
        <w:t>.5-2。</w:t>
      </w:r>
    </w:p>
    <w:p>
      <w:pPr>
        <w:pStyle w:val="41"/>
      </w:pPr>
      <w:r>
        <w:t>表</w:t>
      </w:r>
      <w:r>
        <w:rPr>
          <w:rFonts w:hint="eastAsia"/>
        </w:rPr>
        <w:t>1</w:t>
      </w:r>
      <w:r>
        <w:rPr>
          <w:rFonts w:hint="eastAsia"/>
          <w:lang w:val="en-US" w:eastAsia="zh-CN"/>
        </w:rPr>
        <w:t>1</w:t>
      </w:r>
      <w:r>
        <w:t>.5-2  污染源监测点及监测项目</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
        <w:gridCol w:w="1694"/>
        <w:gridCol w:w="655"/>
        <w:gridCol w:w="1724"/>
        <w:gridCol w:w="865"/>
        <w:gridCol w:w="1042"/>
        <w:gridCol w:w="2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3" w:type="dxa"/>
            <w:gridSpan w:val="2"/>
            <w:vAlign w:val="center"/>
          </w:tcPr>
          <w:p>
            <w:pPr>
              <w:pStyle w:val="33"/>
            </w:pPr>
            <w:r>
              <w:rPr>
                <w:rFonts w:hint="eastAsia"/>
              </w:rPr>
              <w:t>污染源名称</w:t>
            </w:r>
          </w:p>
        </w:tc>
        <w:tc>
          <w:tcPr>
            <w:tcW w:w="655" w:type="dxa"/>
            <w:vAlign w:val="center"/>
          </w:tcPr>
          <w:p>
            <w:pPr>
              <w:pStyle w:val="33"/>
            </w:pPr>
            <w:r>
              <w:rPr>
                <w:rFonts w:hint="eastAsia"/>
              </w:rPr>
              <w:t>排气筒编号</w:t>
            </w:r>
          </w:p>
        </w:tc>
        <w:tc>
          <w:tcPr>
            <w:tcW w:w="1724" w:type="dxa"/>
            <w:vAlign w:val="center"/>
          </w:tcPr>
          <w:p>
            <w:pPr>
              <w:pStyle w:val="33"/>
            </w:pPr>
            <w:r>
              <w:rPr>
                <w:rFonts w:hint="eastAsia"/>
              </w:rPr>
              <w:t>监测项目</w:t>
            </w:r>
          </w:p>
        </w:tc>
        <w:tc>
          <w:tcPr>
            <w:tcW w:w="865" w:type="dxa"/>
            <w:vAlign w:val="center"/>
          </w:tcPr>
          <w:p>
            <w:pPr>
              <w:pStyle w:val="33"/>
            </w:pPr>
            <w:r>
              <w:rPr>
                <w:rFonts w:hint="eastAsia"/>
              </w:rPr>
              <w:t>监测点位</w:t>
            </w:r>
          </w:p>
        </w:tc>
        <w:tc>
          <w:tcPr>
            <w:tcW w:w="1042" w:type="dxa"/>
            <w:vAlign w:val="center"/>
          </w:tcPr>
          <w:p>
            <w:pPr>
              <w:pStyle w:val="33"/>
            </w:pPr>
            <w:r>
              <w:rPr>
                <w:rFonts w:hint="eastAsia"/>
              </w:rPr>
              <w:t>监测频率</w:t>
            </w:r>
          </w:p>
        </w:tc>
        <w:tc>
          <w:tcPr>
            <w:tcW w:w="2153" w:type="dxa"/>
            <w:vAlign w:val="center"/>
          </w:tcPr>
          <w:p>
            <w:pPr>
              <w:pStyle w:val="33"/>
            </w:pPr>
            <w:r>
              <w:rPr>
                <w:rFonts w:hint="eastAsia"/>
              </w:rPr>
              <w:t>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restart"/>
            <w:vAlign w:val="center"/>
          </w:tcPr>
          <w:p>
            <w:pPr>
              <w:pStyle w:val="33"/>
            </w:pPr>
            <w:r>
              <w:rPr>
                <w:rFonts w:hint="eastAsia"/>
              </w:rPr>
              <w:t>废气</w:t>
            </w:r>
          </w:p>
        </w:tc>
        <w:tc>
          <w:tcPr>
            <w:tcW w:w="1694" w:type="dxa"/>
            <w:vAlign w:val="center"/>
          </w:tcPr>
          <w:p>
            <w:pPr>
              <w:pStyle w:val="33"/>
            </w:pPr>
            <w:r>
              <w:rPr>
                <w:rFonts w:hint="eastAsia"/>
              </w:rPr>
              <w:t>一期工程生产车间熔保炉排气筒</w:t>
            </w:r>
          </w:p>
        </w:tc>
        <w:tc>
          <w:tcPr>
            <w:tcW w:w="655" w:type="dxa"/>
            <w:vAlign w:val="center"/>
          </w:tcPr>
          <w:p>
            <w:pPr>
              <w:pStyle w:val="33"/>
            </w:pPr>
            <w:r>
              <w:rPr>
                <w:rFonts w:hint="eastAsia"/>
              </w:rPr>
              <w:t>P1-1</w:t>
            </w:r>
          </w:p>
        </w:tc>
        <w:tc>
          <w:tcPr>
            <w:tcW w:w="1724" w:type="dxa"/>
            <w:vAlign w:val="center"/>
          </w:tcPr>
          <w:p>
            <w:pPr>
              <w:pStyle w:val="33"/>
            </w:pPr>
            <w:r>
              <w:rPr>
                <w:szCs w:val="21"/>
              </w:rPr>
              <w:t>烟气量、颗粒物、HCl</w:t>
            </w:r>
            <w:r>
              <w:rPr>
                <w:rFonts w:hint="eastAsia"/>
                <w:szCs w:val="21"/>
              </w:rPr>
              <w:t>、Cl</w:t>
            </w:r>
            <w:r>
              <w:rPr>
                <w:rFonts w:hint="eastAsia"/>
                <w:szCs w:val="21"/>
                <w:vertAlign w:val="subscript"/>
              </w:rPr>
              <w:t>2</w:t>
            </w:r>
            <w:r>
              <w:rPr>
                <w:rFonts w:hint="eastAsia"/>
                <w:szCs w:val="21"/>
              </w:rPr>
              <w:t>、</w:t>
            </w:r>
            <w:r>
              <w:rPr>
                <w:szCs w:val="21"/>
              </w:rPr>
              <w:t>氟化物、SO</w:t>
            </w:r>
            <w:r>
              <w:rPr>
                <w:szCs w:val="21"/>
                <w:vertAlign w:val="subscript"/>
              </w:rPr>
              <w:t>2</w:t>
            </w:r>
            <w:r>
              <w:rPr>
                <w:rFonts w:hint="eastAsia"/>
                <w:szCs w:val="21"/>
              </w:rPr>
              <w:t>、N</w:t>
            </w:r>
            <w:r>
              <w:rPr>
                <w:szCs w:val="21"/>
              </w:rPr>
              <w:t>O</w:t>
            </w:r>
            <w:r>
              <w:rPr>
                <w:rFonts w:hint="eastAsia"/>
                <w:szCs w:val="21"/>
              </w:rPr>
              <w:t>x</w:t>
            </w:r>
          </w:p>
        </w:tc>
        <w:tc>
          <w:tcPr>
            <w:tcW w:w="865" w:type="dxa"/>
            <w:vAlign w:val="center"/>
          </w:tcPr>
          <w:p>
            <w:pPr>
              <w:pStyle w:val="33"/>
            </w:pPr>
            <w:r>
              <w:rPr>
                <w:rFonts w:hint="eastAsia"/>
              </w:rPr>
              <w:t>排气筒出口</w:t>
            </w:r>
          </w:p>
        </w:tc>
        <w:tc>
          <w:tcPr>
            <w:tcW w:w="1042" w:type="dxa"/>
            <w:vMerge w:val="restart"/>
            <w:vAlign w:val="center"/>
          </w:tcPr>
          <w:p>
            <w:pPr>
              <w:pStyle w:val="33"/>
            </w:pPr>
            <w:r>
              <w:rPr>
                <w:szCs w:val="21"/>
              </w:rPr>
              <w:t>1次/季度</w:t>
            </w:r>
          </w:p>
        </w:tc>
        <w:tc>
          <w:tcPr>
            <w:tcW w:w="2153" w:type="dxa"/>
            <w:vMerge w:val="restart"/>
            <w:vAlign w:val="center"/>
          </w:tcPr>
          <w:p>
            <w:pPr>
              <w:pStyle w:val="33"/>
            </w:pPr>
            <w:r>
              <w:t>执行《大气污染物综合排放标准》（GB16297-1996）</w:t>
            </w:r>
            <w:r>
              <w:rPr>
                <w:rFonts w:hint="eastAsia"/>
              </w:rPr>
              <w:t>、</w:t>
            </w:r>
            <w:r>
              <w:t>《工业炉窑大气污染物排放标准》（GB9078-1996）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pPr>
          </w:p>
        </w:tc>
        <w:tc>
          <w:tcPr>
            <w:tcW w:w="1694" w:type="dxa"/>
            <w:vAlign w:val="center"/>
          </w:tcPr>
          <w:p>
            <w:pPr>
              <w:pStyle w:val="33"/>
            </w:pPr>
            <w:r>
              <w:rPr>
                <w:rFonts w:hint="eastAsia"/>
                <w:szCs w:val="21"/>
              </w:rPr>
              <w:t>一期工程</w:t>
            </w:r>
            <w:r>
              <w:rPr>
                <w:szCs w:val="21"/>
              </w:rPr>
              <w:t>铝灰分离机</w:t>
            </w:r>
          </w:p>
        </w:tc>
        <w:tc>
          <w:tcPr>
            <w:tcW w:w="655" w:type="dxa"/>
            <w:vAlign w:val="center"/>
          </w:tcPr>
          <w:p>
            <w:pPr>
              <w:pStyle w:val="33"/>
            </w:pPr>
            <w:r>
              <w:rPr>
                <w:rFonts w:hint="eastAsia"/>
              </w:rPr>
              <w:t>P1-2</w:t>
            </w:r>
          </w:p>
        </w:tc>
        <w:tc>
          <w:tcPr>
            <w:tcW w:w="1724" w:type="dxa"/>
            <w:vAlign w:val="center"/>
          </w:tcPr>
          <w:p>
            <w:pPr>
              <w:pStyle w:val="33"/>
            </w:pPr>
            <w:r>
              <w:rPr>
                <w:szCs w:val="21"/>
              </w:rPr>
              <w:t>烟气量、颗粒物</w:t>
            </w:r>
          </w:p>
        </w:tc>
        <w:tc>
          <w:tcPr>
            <w:tcW w:w="865" w:type="dxa"/>
            <w:vAlign w:val="center"/>
          </w:tcPr>
          <w:p>
            <w:pPr>
              <w:pStyle w:val="33"/>
            </w:pPr>
            <w:r>
              <w:rPr>
                <w:rFonts w:hint="eastAsia"/>
              </w:rPr>
              <w:t>排气筒出口</w:t>
            </w:r>
          </w:p>
        </w:tc>
        <w:tc>
          <w:tcPr>
            <w:tcW w:w="1042" w:type="dxa"/>
            <w:vMerge w:val="continue"/>
            <w:vAlign w:val="center"/>
          </w:tcPr>
          <w:p>
            <w:pPr>
              <w:pStyle w:val="33"/>
            </w:pPr>
          </w:p>
        </w:tc>
        <w:tc>
          <w:tcPr>
            <w:tcW w:w="2153"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pPr>
          </w:p>
        </w:tc>
        <w:tc>
          <w:tcPr>
            <w:tcW w:w="1694" w:type="dxa"/>
            <w:vAlign w:val="center"/>
          </w:tcPr>
          <w:p>
            <w:pPr>
              <w:pStyle w:val="33"/>
            </w:pPr>
            <w:r>
              <w:rPr>
                <w:rFonts w:hint="eastAsia"/>
                <w:szCs w:val="21"/>
              </w:rPr>
              <w:t>一期工程</w:t>
            </w:r>
            <w:r>
              <w:rPr>
                <w:rFonts w:hint="eastAsia"/>
              </w:rPr>
              <w:t>圆铸锭批次式均质炉</w:t>
            </w:r>
          </w:p>
        </w:tc>
        <w:tc>
          <w:tcPr>
            <w:tcW w:w="655" w:type="dxa"/>
            <w:vAlign w:val="center"/>
          </w:tcPr>
          <w:p>
            <w:pPr>
              <w:pStyle w:val="33"/>
            </w:pPr>
            <w:r>
              <w:rPr>
                <w:rFonts w:hint="eastAsia"/>
              </w:rPr>
              <w:t>P1-3</w:t>
            </w:r>
          </w:p>
        </w:tc>
        <w:tc>
          <w:tcPr>
            <w:tcW w:w="1724" w:type="dxa"/>
            <w:vAlign w:val="center"/>
          </w:tcPr>
          <w:p>
            <w:pPr>
              <w:pStyle w:val="33"/>
            </w:pPr>
            <w:r>
              <w:rPr>
                <w:szCs w:val="21"/>
              </w:rPr>
              <w:t>烟气量、颗粒物、SO</w:t>
            </w:r>
            <w:r>
              <w:rPr>
                <w:szCs w:val="21"/>
                <w:vertAlign w:val="subscript"/>
              </w:rPr>
              <w:t>2</w:t>
            </w:r>
            <w:r>
              <w:rPr>
                <w:rFonts w:hint="eastAsia"/>
                <w:szCs w:val="21"/>
              </w:rPr>
              <w:t>、N</w:t>
            </w:r>
            <w:r>
              <w:rPr>
                <w:szCs w:val="21"/>
              </w:rPr>
              <w:t>O</w:t>
            </w:r>
            <w:r>
              <w:rPr>
                <w:rFonts w:hint="eastAsia"/>
                <w:szCs w:val="21"/>
              </w:rPr>
              <w:t>x</w:t>
            </w:r>
          </w:p>
        </w:tc>
        <w:tc>
          <w:tcPr>
            <w:tcW w:w="865" w:type="dxa"/>
            <w:vAlign w:val="center"/>
          </w:tcPr>
          <w:p>
            <w:pPr>
              <w:pStyle w:val="33"/>
            </w:pPr>
            <w:r>
              <w:rPr>
                <w:rFonts w:hint="eastAsia"/>
              </w:rPr>
              <w:t>排气筒出口</w:t>
            </w:r>
          </w:p>
        </w:tc>
        <w:tc>
          <w:tcPr>
            <w:tcW w:w="1042" w:type="dxa"/>
            <w:vMerge w:val="continue"/>
            <w:vAlign w:val="center"/>
          </w:tcPr>
          <w:p>
            <w:pPr>
              <w:pStyle w:val="33"/>
            </w:pPr>
          </w:p>
        </w:tc>
        <w:tc>
          <w:tcPr>
            <w:tcW w:w="2153"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pPr>
          </w:p>
        </w:tc>
        <w:tc>
          <w:tcPr>
            <w:tcW w:w="1694" w:type="dxa"/>
            <w:vAlign w:val="center"/>
          </w:tcPr>
          <w:p>
            <w:pPr>
              <w:pStyle w:val="33"/>
            </w:pPr>
            <w:r>
              <w:rPr>
                <w:rFonts w:hint="eastAsia"/>
                <w:szCs w:val="21"/>
              </w:rPr>
              <w:t>一期工程</w:t>
            </w:r>
            <w:r>
              <w:rPr>
                <w:rFonts w:hint="eastAsia"/>
              </w:rPr>
              <w:t>圆铸锭连续式均质炉</w:t>
            </w:r>
          </w:p>
        </w:tc>
        <w:tc>
          <w:tcPr>
            <w:tcW w:w="655" w:type="dxa"/>
            <w:vAlign w:val="center"/>
          </w:tcPr>
          <w:p>
            <w:pPr>
              <w:pStyle w:val="33"/>
            </w:pPr>
            <w:r>
              <w:rPr>
                <w:rFonts w:hint="eastAsia"/>
              </w:rPr>
              <w:t>P1-4</w:t>
            </w:r>
          </w:p>
        </w:tc>
        <w:tc>
          <w:tcPr>
            <w:tcW w:w="1724" w:type="dxa"/>
            <w:vAlign w:val="center"/>
          </w:tcPr>
          <w:p>
            <w:pPr>
              <w:pStyle w:val="33"/>
            </w:pPr>
            <w:r>
              <w:rPr>
                <w:szCs w:val="21"/>
              </w:rPr>
              <w:t>烟气量、颗粒物、SO</w:t>
            </w:r>
            <w:r>
              <w:rPr>
                <w:szCs w:val="21"/>
                <w:vertAlign w:val="subscript"/>
              </w:rPr>
              <w:t>2</w:t>
            </w:r>
            <w:r>
              <w:rPr>
                <w:rFonts w:hint="eastAsia"/>
                <w:szCs w:val="21"/>
              </w:rPr>
              <w:t>、N</w:t>
            </w:r>
            <w:r>
              <w:rPr>
                <w:szCs w:val="21"/>
              </w:rPr>
              <w:t>O</w:t>
            </w:r>
            <w:r>
              <w:rPr>
                <w:rFonts w:hint="eastAsia"/>
                <w:szCs w:val="21"/>
              </w:rPr>
              <w:t>x</w:t>
            </w:r>
          </w:p>
        </w:tc>
        <w:tc>
          <w:tcPr>
            <w:tcW w:w="865" w:type="dxa"/>
            <w:vAlign w:val="center"/>
          </w:tcPr>
          <w:p>
            <w:pPr>
              <w:pStyle w:val="33"/>
            </w:pPr>
            <w:r>
              <w:rPr>
                <w:rFonts w:hint="eastAsia"/>
              </w:rPr>
              <w:t>排气筒出口</w:t>
            </w:r>
          </w:p>
        </w:tc>
        <w:tc>
          <w:tcPr>
            <w:tcW w:w="1042" w:type="dxa"/>
            <w:vMerge w:val="continue"/>
            <w:vAlign w:val="center"/>
          </w:tcPr>
          <w:p>
            <w:pPr>
              <w:pStyle w:val="33"/>
            </w:pPr>
          </w:p>
        </w:tc>
        <w:tc>
          <w:tcPr>
            <w:tcW w:w="2153"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pPr>
          </w:p>
        </w:tc>
        <w:tc>
          <w:tcPr>
            <w:tcW w:w="1694" w:type="dxa"/>
            <w:vAlign w:val="center"/>
          </w:tcPr>
          <w:p>
            <w:pPr>
              <w:pStyle w:val="33"/>
            </w:pPr>
            <w:r>
              <w:rPr>
                <w:rFonts w:hint="eastAsia"/>
                <w:szCs w:val="21"/>
              </w:rPr>
              <w:t>一期工程</w:t>
            </w:r>
            <w:r>
              <w:rPr>
                <w:rFonts w:hint="eastAsia"/>
              </w:rPr>
              <w:t>板锭批次式均质炉</w:t>
            </w:r>
          </w:p>
        </w:tc>
        <w:tc>
          <w:tcPr>
            <w:tcW w:w="655" w:type="dxa"/>
            <w:vAlign w:val="center"/>
          </w:tcPr>
          <w:p>
            <w:pPr>
              <w:pStyle w:val="33"/>
            </w:pPr>
            <w:r>
              <w:rPr>
                <w:rFonts w:hint="eastAsia"/>
              </w:rPr>
              <w:t>P1-5</w:t>
            </w:r>
          </w:p>
        </w:tc>
        <w:tc>
          <w:tcPr>
            <w:tcW w:w="1724" w:type="dxa"/>
            <w:vAlign w:val="center"/>
          </w:tcPr>
          <w:p>
            <w:pPr>
              <w:pStyle w:val="33"/>
            </w:pPr>
            <w:r>
              <w:rPr>
                <w:szCs w:val="21"/>
              </w:rPr>
              <w:t>烟气量、颗粒物、SO</w:t>
            </w:r>
            <w:r>
              <w:rPr>
                <w:szCs w:val="21"/>
                <w:vertAlign w:val="subscript"/>
              </w:rPr>
              <w:t>2</w:t>
            </w:r>
            <w:r>
              <w:rPr>
                <w:rFonts w:hint="eastAsia"/>
                <w:szCs w:val="21"/>
              </w:rPr>
              <w:t>、N</w:t>
            </w:r>
            <w:r>
              <w:rPr>
                <w:szCs w:val="21"/>
              </w:rPr>
              <w:t>O</w:t>
            </w:r>
            <w:r>
              <w:rPr>
                <w:rFonts w:hint="eastAsia"/>
                <w:szCs w:val="21"/>
              </w:rPr>
              <w:t>x</w:t>
            </w:r>
          </w:p>
        </w:tc>
        <w:tc>
          <w:tcPr>
            <w:tcW w:w="865" w:type="dxa"/>
            <w:vAlign w:val="center"/>
          </w:tcPr>
          <w:p>
            <w:pPr>
              <w:pStyle w:val="33"/>
            </w:pPr>
            <w:r>
              <w:rPr>
                <w:rFonts w:hint="eastAsia"/>
              </w:rPr>
              <w:t>排气筒出口</w:t>
            </w:r>
          </w:p>
        </w:tc>
        <w:tc>
          <w:tcPr>
            <w:tcW w:w="1042" w:type="dxa"/>
            <w:vMerge w:val="continue"/>
            <w:vAlign w:val="center"/>
          </w:tcPr>
          <w:p>
            <w:pPr>
              <w:pStyle w:val="33"/>
            </w:pPr>
          </w:p>
        </w:tc>
        <w:tc>
          <w:tcPr>
            <w:tcW w:w="2153"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pPr>
          </w:p>
        </w:tc>
        <w:tc>
          <w:tcPr>
            <w:tcW w:w="1694" w:type="dxa"/>
            <w:vAlign w:val="center"/>
          </w:tcPr>
          <w:p>
            <w:pPr>
              <w:pStyle w:val="33"/>
              <w:rPr>
                <w:szCs w:val="21"/>
              </w:rPr>
            </w:pPr>
            <w:r>
              <w:rPr>
                <w:rFonts w:hint="eastAsia"/>
              </w:rPr>
              <w:t>二期工程生产车间熔保炉排气筒</w:t>
            </w:r>
          </w:p>
        </w:tc>
        <w:tc>
          <w:tcPr>
            <w:tcW w:w="655" w:type="dxa"/>
            <w:vAlign w:val="center"/>
          </w:tcPr>
          <w:p>
            <w:pPr>
              <w:pStyle w:val="33"/>
            </w:pPr>
            <w:r>
              <w:rPr>
                <w:rFonts w:hint="eastAsia"/>
              </w:rPr>
              <w:t>P2-1</w:t>
            </w:r>
          </w:p>
        </w:tc>
        <w:tc>
          <w:tcPr>
            <w:tcW w:w="1724" w:type="dxa"/>
            <w:vAlign w:val="center"/>
          </w:tcPr>
          <w:p>
            <w:pPr>
              <w:pStyle w:val="33"/>
            </w:pPr>
            <w:r>
              <w:rPr>
                <w:szCs w:val="21"/>
              </w:rPr>
              <w:t>烟气量、颗粒物、氟化物、SO</w:t>
            </w:r>
            <w:r>
              <w:rPr>
                <w:szCs w:val="21"/>
                <w:vertAlign w:val="subscript"/>
              </w:rPr>
              <w:t>2</w:t>
            </w:r>
            <w:r>
              <w:rPr>
                <w:rFonts w:hint="eastAsia"/>
                <w:szCs w:val="21"/>
              </w:rPr>
              <w:t>、N</w:t>
            </w:r>
            <w:r>
              <w:rPr>
                <w:szCs w:val="21"/>
              </w:rPr>
              <w:t>O</w:t>
            </w:r>
            <w:r>
              <w:rPr>
                <w:rFonts w:hint="eastAsia"/>
                <w:szCs w:val="21"/>
              </w:rPr>
              <w:t>x</w:t>
            </w:r>
          </w:p>
        </w:tc>
        <w:tc>
          <w:tcPr>
            <w:tcW w:w="865" w:type="dxa"/>
            <w:vAlign w:val="center"/>
          </w:tcPr>
          <w:p>
            <w:pPr>
              <w:pStyle w:val="33"/>
            </w:pPr>
            <w:r>
              <w:rPr>
                <w:rFonts w:hint="eastAsia"/>
              </w:rPr>
              <w:t>排气筒出口</w:t>
            </w:r>
          </w:p>
        </w:tc>
        <w:tc>
          <w:tcPr>
            <w:tcW w:w="1042" w:type="dxa"/>
            <w:vMerge w:val="continue"/>
            <w:vAlign w:val="center"/>
          </w:tcPr>
          <w:p>
            <w:pPr>
              <w:pStyle w:val="33"/>
            </w:pPr>
          </w:p>
        </w:tc>
        <w:tc>
          <w:tcPr>
            <w:tcW w:w="2153"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9" w:type="dxa"/>
            <w:vMerge w:val="continue"/>
            <w:vAlign w:val="center"/>
          </w:tcPr>
          <w:p>
            <w:pPr>
              <w:pStyle w:val="33"/>
            </w:pPr>
          </w:p>
        </w:tc>
        <w:tc>
          <w:tcPr>
            <w:tcW w:w="1694" w:type="dxa"/>
            <w:vAlign w:val="center"/>
          </w:tcPr>
          <w:p>
            <w:pPr>
              <w:pStyle w:val="33"/>
              <w:rPr>
                <w:szCs w:val="21"/>
              </w:rPr>
            </w:pPr>
            <w:r>
              <w:rPr>
                <w:rFonts w:hint="eastAsia"/>
                <w:szCs w:val="21"/>
              </w:rPr>
              <w:t>二期工程</w:t>
            </w:r>
            <w:r>
              <w:rPr>
                <w:szCs w:val="21"/>
              </w:rPr>
              <w:t>铝灰分离机</w:t>
            </w:r>
          </w:p>
        </w:tc>
        <w:tc>
          <w:tcPr>
            <w:tcW w:w="655" w:type="dxa"/>
            <w:vAlign w:val="center"/>
          </w:tcPr>
          <w:p>
            <w:pPr>
              <w:pStyle w:val="33"/>
            </w:pPr>
            <w:r>
              <w:rPr>
                <w:rFonts w:hint="eastAsia"/>
              </w:rPr>
              <w:t>P2-2</w:t>
            </w:r>
          </w:p>
        </w:tc>
        <w:tc>
          <w:tcPr>
            <w:tcW w:w="1724" w:type="dxa"/>
            <w:vAlign w:val="center"/>
          </w:tcPr>
          <w:p>
            <w:pPr>
              <w:pStyle w:val="33"/>
            </w:pPr>
            <w:r>
              <w:rPr>
                <w:szCs w:val="21"/>
              </w:rPr>
              <w:t>烟气量、颗粒物</w:t>
            </w:r>
          </w:p>
        </w:tc>
        <w:tc>
          <w:tcPr>
            <w:tcW w:w="865" w:type="dxa"/>
            <w:vAlign w:val="center"/>
          </w:tcPr>
          <w:p>
            <w:pPr>
              <w:pStyle w:val="33"/>
            </w:pPr>
            <w:r>
              <w:rPr>
                <w:rFonts w:hint="eastAsia"/>
              </w:rPr>
              <w:t>排气筒出口</w:t>
            </w:r>
          </w:p>
        </w:tc>
        <w:tc>
          <w:tcPr>
            <w:tcW w:w="1042" w:type="dxa"/>
            <w:vMerge w:val="continue"/>
            <w:vAlign w:val="center"/>
          </w:tcPr>
          <w:p>
            <w:pPr>
              <w:pStyle w:val="33"/>
            </w:pPr>
          </w:p>
        </w:tc>
        <w:tc>
          <w:tcPr>
            <w:tcW w:w="2153" w:type="dxa"/>
            <w:vMerge w:val="continue"/>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pPr>
          </w:p>
        </w:tc>
        <w:tc>
          <w:tcPr>
            <w:tcW w:w="1694" w:type="dxa"/>
            <w:vAlign w:val="center"/>
          </w:tcPr>
          <w:p>
            <w:pPr>
              <w:pStyle w:val="33"/>
              <w:rPr>
                <w:szCs w:val="21"/>
              </w:rPr>
            </w:pPr>
            <w:r>
              <w:t>厂界无组织</w:t>
            </w:r>
            <w:r>
              <w:rPr>
                <w:rFonts w:hint="eastAsia"/>
              </w:rPr>
              <w:t>废气</w:t>
            </w:r>
          </w:p>
        </w:tc>
        <w:tc>
          <w:tcPr>
            <w:tcW w:w="655" w:type="dxa"/>
            <w:vAlign w:val="center"/>
          </w:tcPr>
          <w:p>
            <w:pPr>
              <w:pStyle w:val="33"/>
            </w:pPr>
            <w:r>
              <w:rPr>
                <w:rFonts w:hint="eastAsia"/>
              </w:rPr>
              <w:t>/</w:t>
            </w:r>
          </w:p>
        </w:tc>
        <w:tc>
          <w:tcPr>
            <w:tcW w:w="1724" w:type="dxa"/>
            <w:vAlign w:val="center"/>
          </w:tcPr>
          <w:p>
            <w:pPr>
              <w:pStyle w:val="33"/>
              <w:rPr>
                <w:szCs w:val="21"/>
              </w:rPr>
            </w:pPr>
            <w:r>
              <w:rPr>
                <w:rFonts w:hint="eastAsia"/>
                <w:szCs w:val="21"/>
              </w:rPr>
              <w:t>颗粒物、氟化物、</w:t>
            </w:r>
            <w:r>
              <w:rPr>
                <w:szCs w:val="21"/>
              </w:rPr>
              <w:t>SO</w:t>
            </w:r>
            <w:r>
              <w:rPr>
                <w:szCs w:val="21"/>
                <w:vertAlign w:val="subscript"/>
              </w:rPr>
              <w:t>2</w:t>
            </w:r>
            <w:r>
              <w:rPr>
                <w:rFonts w:hint="eastAsia"/>
                <w:szCs w:val="21"/>
              </w:rPr>
              <w:t>、N</w:t>
            </w:r>
            <w:r>
              <w:rPr>
                <w:szCs w:val="21"/>
              </w:rPr>
              <w:t>O</w:t>
            </w:r>
            <w:r>
              <w:rPr>
                <w:rFonts w:hint="eastAsia"/>
                <w:szCs w:val="21"/>
              </w:rPr>
              <w:t>x</w:t>
            </w:r>
          </w:p>
        </w:tc>
        <w:tc>
          <w:tcPr>
            <w:tcW w:w="865" w:type="dxa"/>
            <w:vAlign w:val="center"/>
          </w:tcPr>
          <w:p>
            <w:pPr>
              <w:pStyle w:val="33"/>
            </w:pPr>
            <w:r>
              <w:rPr>
                <w:szCs w:val="21"/>
              </w:rPr>
              <w:t>企业边界</w:t>
            </w:r>
          </w:p>
        </w:tc>
        <w:tc>
          <w:tcPr>
            <w:tcW w:w="1042" w:type="dxa"/>
            <w:vMerge w:val="continue"/>
            <w:vAlign w:val="center"/>
          </w:tcPr>
          <w:p>
            <w:pPr>
              <w:pStyle w:val="33"/>
            </w:pPr>
          </w:p>
        </w:tc>
        <w:tc>
          <w:tcPr>
            <w:tcW w:w="2153" w:type="dxa"/>
            <w:vAlign w:val="center"/>
          </w:tcPr>
          <w:p>
            <w:pPr>
              <w:pStyle w:val="33"/>
              <w:rPr>
                <w:rFonts w:hint="eastAsia" w:eastAsia="宋体"/>
                <w:lang w:eastAsia="zh-CN"/>
              </w:rPr>
            </w:pPr>
            <w:r>
              <w:rPr>
                <w:rFonts w:hint="eastAsia"/>
              </w:rPr>
              <w:t>《大气污染物综合排放标准》</w:t>
            </w:r>
            <w:r>
              <w:rPr>
                <w:rFonts w:hint="eastAsia"/>
                <w:lang w:eastAsia="zh-CN"/>
              </w:rPr>
              <w:t>（</w:t>
            </w:r>
            <w:r>
              <w:rPr>
                <w:rFonts w:hint="eastAsia"/>
              </w:rPr>
              <w:t>GB16297-1996</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restart"/>
            <w:vAlign w:val="center"/>
          </w:tcPr>
          <w:p>
            <w:pPr>
              <w:pStyle w:val="33"/>
            </w:pPr>
            <w:r>
              <w:rPr>
                <w:rFonts w:hint="eastAsia"/>
              </w:rPr>
              <w:t>废水</w:t>
            </w:r>
          </w:p>
        </w:tc>
        <w:tc>
          <w:tcPr>
            <w:tcW w:w="1694" w:type="dxa"/>
            <w:vAlign w:val="center"/>
          </w:tcPr>
          <w:p>
            <w:pPr>
              <w:pStyle w:val="33"/>
            </w:pPr>
            <w:r>
              <w:t>生活污水</w:t>
            </w:r>
          </w:p>
        </w:tc>
        <w:tc>
          <w:tcPr>
            <w:tcW w:w="655" w:type="dxa"/>
            <w:vAlign w:val="center"/>
          </w:tcPr>
          <w:p>
            <w:pPr>
              <w:jc w:val="center"/>
              <w:rPr>
                <w:szCs w:val="21"/>
              </w:rPr>
            </w:pPr>
            <w:r>
              <w:rPr>
                <w:rFonts w:hint="eastAsia"/>
                <w:szCs w:val="21"/>
              </w:rPr>
              <w:t>/</w:t>
            </w:r>
          </w:p>
        </w:tc>
        <w:tc>
          <w:tcPr>
            <w:tcW w:w="1724" w:type="dxa"/>
            <w:vAlign w:val="center"/>
          </w:tcPr>
          <w:p>
            <w:pPr>
              <w:pStyle w:val="33"/>
              <w:rPr>
                <w:rFonts w:hint="eastAsia" w:eastAsia="宋体"/>
                <w:lang w:eastAsia="zh-CN"/>
              </w:rPr>
            </w:pPr>
            <w:r>
              <w:rPr>
                <w:rFonts w:hint="eastAsia"/>
              </w:rPr>
              <w:t>pH</w:t>
            </w:r>
            <w:r>
              <w:rPr>
                <w:rFonts w:hint="eastAsia"/>
                <w:lang w:eastAsia="zh-CN"/>
              </w:rPr>
              <w:t>、</w:t>
            </w:r>
            <w:r>
              <w:rPr>
                <w:rFonts w:hint="eastAsia"/>
              </w:rPr>
              <w:t>CODcr</w:t>
            </w:r>
            <w:r>
              <w:rPr>
                <w:rFonts w:hint="eastAsia"/>
                <w:lang w:eastAsia="zh-CN"/>
              </w:rPr>
              <w:t>、</w:t>
            </w:r>
            <w:r>
              <w:rPr>
                <w:rFonts w:hint="eastAsia"/>
              </w:rPr>
              <w:t>SS</w:t>
            </w:r>
            <w:r>
              <w:rPr>
                <w:rFonts w:hint="eastAsia"/>
                <w:lang w:eastAsia="zh-CN"/>
              </w:rPr>
              <w:t>、</w:t>
            </w:r>
            <w:r>
              <w:rPr>
                <w:rFonts w:hint="eastAsia"/>
              </w:rPr>
              <w:t>BOD</w:t>
            </w:r>
            <w:r>
              <w:rPr>
                <w:rFonts w:hint="eastAsia"/>
                <w:lang w:eastAsia="zh-CN"/>
              </w:rPr>
              <w:t>、</w:t>
            </w:r>
            <w:r>
              <w:rPr>
                <w:rFonts w:hint="eastAsia"/>
              </w:rPr>
              <w:t>氨氮</w:t>
            </w:r>
            <w:r>
              <w:rPr>
                <w:rFonts w:hint="eastAsia"/>
                <w:lang w:eastAsia="zh-CN"/>
              </w:rPr>
              <w:t>、</w:t>
            </w:r>
            <w:r>
              <w:rPr>
                <w:rFonts w:hint="eastAsia"/>
              </w:rPr>
              <w:t>动植物油</w:t>
            </w:r>
            <w:r>
              <w:rPr>
                <w:rFonts w:hint="eastAsia"/>
                <w:lang w:eastAsia="zh-CN"/>
              </w:rPr>
              <w:t>、</w:t>
            </w:r>
            <w:r>
              <w:rPr>
                <w:rFonts w:hint="eastAsia"/>
              </w:rPr>
              <w:t>总磷</w:t>
            </w:r>
            <w:r>
              <w:rPr>
                <w:rFonts w:hint="eastAsia"/>
                <w:lang w:eastAsia="zh-CN"/>
              </w:rPr>
              <w:t>、</w:t>
            </w:r>
          </w:p>
        </w:tc>
        <w:tc>
          <w:tcPr>
            <w:tcW w:w="865" w:type="dxa"/>
            <w:vAlign w:val="center"/>
          </w:tcPr>
          <w:p>
            <w:pPr>
              <w:pStyle w:val="33"/>
            </w:pPr>
            <w:r>
              <w:rPr>
                <w:szCs w:val="21"/>
              </w:rPr>
              <w:t>厂区污水排放口</w:t>
            </w:r>
          </w:p>
        </w:tc>
        <w:tc>
          <w:tcPr>
            <w:tcW w:w="1042" w:type="dxa"/>
            <w:vAlign w:val="center"/>
          </w:tcPr>
          <w:p>
            <w:pPr>
              <w:pStyle w:val="33"/>
            </w:pPr>
            <w:r>
              <w:rPr>
                <w:szCs w:val="21"/>
              </w:rPr>
              <w:t>1次/季度</w:t>
            </w:r>
          </w:p>
        </w:tc>
        <w:tc>
          <w:tcPr>
            <w:tcW w:w="2153" w:type="dxa"/>
            <w:vAlign w:val="center"/>
          </w:tcPr>
          <w:p>
            <w:pPr>
              <w:pStyle w:val="33"/>
            </w:pPr>
            <w:r>
              <w:rPr>
                <w:rFonts w:hint="eastAsia"/>
              </w:rPr>
              <w:t>《污水排入城镇下水道水质标准》（GB/T31962-2015）表1中A等级标准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Merge w:val="continue"/>
            <w:vAlign w:val="center"/>
          </w:tcPr>
          <w:p>
            <w:pPr>
              <w:pStyle w:val="33"/>
              <w:rPr>
                <w:rFonts w:hint="eastAsia"/>
              </w:rPr>
            </w:pPr>
          </w:p>
        </w:tc>
        <w:tc>
          <w:tcPr>
            <w:tcW w:w="1694" w:type="dxa"/>
            <w:vAlign w:val="center"/>
          </w:tcPr>
          <w:p>
            <w:pPr>
              <w:pStyle w:val="33"/>
            </w:pPr>
            <w:r>
              <w:t>循环冷却水排水</w:t>
            </w:r>
            <w:r>
              <w:rPr>
                <w:rFonts w:hint="eastAsia"/>
              </w:rPr>
              <w:t>、污水处理站排水</w:t>
            </w:r>
          </w:p>
        </w:tc>
        <w:tc>
          <w:tcPr>
            <w:tcW w:w="655" w:type="dxa"/>
            <w:vAlign w:val="center"/>
          </w:tcPr>
          <w:p>
            <w:pPr>
              <w:jc w:val="center"/>
              <w:rPr>
                <w:rFonts w:hint="eastAsia" w:eastAsia="宋体"/>
                <w:szCs w:val="21"/>
                <w:lang w:val="en-US" w:eastAsia="zh-CN"/>
              </w:rPr>
            </w:pPr>
            <w:r>
              <w:rPr>
                <w:rFonts w:hint="eastAsia"/>
                <w:szCs w:val="21"/>
                <w:lang w:val="en-US" w:eastAsia="zh-CN"/>
              </w:rPr>
              <w:t>/</w:t>
            </w:r>
          </w:p>
        </w:tc>
        <w:tc>
          <w:tcPr>
            <w:tcW w:w="1724" w:type="dxa"/>
            <w:vAlign w:val="center"/>
          </w:tcPr>
          <w:p>
            <w:pPr>
              <w:pStyle w:val="33"/>
              <w:rPr>
                <w:rFonts w:hint="eastAsia"/>
              </w:rPr>
            </w:pPr>
            <w:r>
              <w:rPr>
                <w:rFonts w:hint="eastAsia"/>
              </w:rPr>
              <w:t>pH</w:t>
            </w:r>
            <w:r>
              <w:rPr>
                <w:rFonts w:hint="eastAsia"/>
                <w:lang w:eastAsia="zh-CN"/>
              </w:rPr>
              <w:t>、</w:t>
            </w:r>
            <w:r>
              <w:rPr>
                <w:rFonts w:hint="eastAsia"/>
              </w:rPr>
              <w:t>悬浮物</w:t>
            </w:r>
            <w:r>
              <w:rPr>
                <w:rFonts w:hint="eastAsia"/>
                <w:lang w:eastAsia="zh-CN"/>
              </w:rPr>
              <w:t>、</w:t>
            </w:r>
            <w:r>
              <w:rPr>
                <w:rFonts w:hint="eastAsia"/>
              </w:rPr>
              <w:t>五日生化耗氧量</w:t>
            </w:r>
            <w:r>
              <w:rPr>
                <w:rFonts w:hint="eastAsia"/>
                <w:lang w:eastAsia="zh-CN"/>
              </w:rPr>
              <w:t>、</w:t>
            </w:r>
            <w:r>
              <w:rPr>
                <w:rFonts w:hint="eastAsia"/>
              </w:rPr>
              <w:t>氨氮（mg/L）≤</w:t>
            </w:r>
          </w:p>
          <w:p>
            <w:pPr>
              <w:pStyle w:val="33"/>
            </w:pPr>
            <w:r>
              <w:rPr>
                <w:rFonts w:hint="eastAsia"/>
              </w:rPr>
              <w:t>化学需氧量</w:t>
            </w:r>
            <w:r>
              <w:rPr>
                <w:rFonts w:hint="eastAsia"/>
                <w:lang w:eastAsia="zh-CN"/>
              </w:rPr>
              <w:t>、</w:t>
            </w:r>
            <w:r>
              <w:rPr>
                <w:rFonts w:hint="eastAsia"/>
              </w:rPr>
              <w:t>石油类</w:t>
            </w:r>
            <w:r>
              <w:rPr>
                <w:rFonts w:hint="eastAsia"/>
                <w:lang w:eastAsia="zh-CN"/>
              </w:rPr>
              <w:t>、</w:t>
            </w:r>
            <w:r>
              <w:rPr>
                <w:rFonts w:hint="eastAsia"/>
              </w:rPr>
              <w:t>氟化物</w:t>
            </w:r>
            <w:r>
              <w:rPr>
                <w:rFonts w:hint="eastAsia"/>
                <w:lang w:eastAsia="zh-CN"/>
              </w:rPr>
              <w:t>、</w:t>
            </w:r>
            <w:r>
              <w:rPr>
                <w:rFonts w:hint="eastAsia"/>
              </w:rPr>
              <w:t>阴离子表面活性剂</w:t>
            </w:r>
          </w:p>
        </w:tc>
        <w:tc>
          <w:tcPr>
            <w:tcW w:w="865" w:type="dxa"/>
            <w:vAlign w:val="center"/>
          </w:tcPr>
          <w:p>
            <w:pPr>
              <w:pStyle w:val="33"/>
              <w:rPr>
                <w:szCs w:val="21"/>
              </w:rPr>
            </w:pPr>
            <w:r>
              <w:rPr>
                <w:szCs w:val="21"/>
              </w:rPr>
              <w:t>厂区污水排放口</w:t>
            </w:r>
          </w:p>
        </w:tc>
        <w:tc>
          <w:tcPr>
            <w:tcW w:w="1042" w:type="dxa"/>
            <w:vAlign w:val="center"/>
          </w:tcPr>
          <w:p>
            <w:pPr>
              <w:pStyle w:val="33"/>
              <w:rPr>
                <w:szCs w:val="21"/>
              </w:rPr>
            </w:pPr>
            <w:r>
              <w:rPr>
                <w:szCs w:val="21"/>
              </w:rPr>
              <w:t>1次/季度</w:t>
            </w:r>
          </w:p>
        </w:tc>
        <w:tc>
          <w:tcPr>
            <w:tcW w:w="2153" w:type="dxa"/>
            <w:vAlign w:val="center"/>
          </w:tcPr>
          <w:p>
            <w:pPr>
              <w:pStyle w:val="33"/>
              <w:rPr>
                <w:rFonts w:hint="eastAsia"/>
              </w:rPr>
            </w:pPr>
            <w:r>
              <w:rPr>
                <w:rFonts w:hint="eastAsia"/>
              </w:rPr>
              <w:t>《污水综合排放标准》（GB8978-1996）中的一级排放标准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9" w:type="dxa"/>
            <w:vAlign w:val="center"/>
          </w:tcPr>
          <w:p>
            <w:pPr>
              <w:pStyle w:val="33"/>
            </w:pPr>
            <w:r>
              <w:rPr>
                <w:szCs w:val="21"/>
              </w:rPr>
              <w:t>噪声</w:t>
            </w:r>
          </w:p>
        </w:tc>
        <w:tc>
          <w:tcPr>
            <w:tcW w:w="1694" w:type="dxa"/>
            <w:vAlign w:val="center"/>
          </w:tcPr>
          <w:p>
            <w:pPr>
              <w:pStyle w:val="33"/>
            </w:pPr>
            <w:r>
              <w:rPr>
                <w:szCs w:val="21"/>
              </w:rPr>
              <w:t>厂界噪声</w:t>
            </w:r>
          </w:p>
        </w:tc>
        <w:tc>
          <w:tcPr>
            <w:tcW w:w="655" w:type="dxa"/>
            <w:vAlign w:val="center"/>
          </w:tcPr>
          <w:p>
            <w:pPr>
              <w:jc w:val="center"/>
              <w:rPr>
                <w:szCs w:val="21"/>
              </w:rPr>
            </w:pPr>
            <w:r>
              <w:rPr>
                <w:rFonts w:hint="eastAsia"/>
                <w:szCs w:val="21"/>
              </w:rPr>
              <w:t>/</w:t>
            </w:r>
          </w:p>
        </w:tc>
        <w:tc>
          <w:tcPr>
            <w:tcW w:w="1724" w:type="dxa"/>
            <w:vAlign w:val="center"/>
          </w:tcPr>
          <w:p>
            <w:pPr>
              <w:pStyle w:val="33"/>
            </w:pPr>
            <w:r>
              <w:rPr>
                <w:szCs w:val="21"/>
              </w:rPr>
              <w:t>昼夜等效A声级</w:t>
            </w:r>
          </w:p>
        </w:tc>
        <w:tc>
          <w:tcPr>
            <w:tcW w:w="865" w:type="dxa"/>
            <w:vAlign w:val="center"/>
          </w:tcPr>
          <w:p>
            <w:pPr>
              <w:pStyle w:val="33"/>
              <w:rPr>
                <w:szCs w:val="21"/>
              </w:rPr>
            </w:pPr>
            <w:r>
              <w:rPr>
                <w:szCs w:val="21"/>
              </w:rPr>
              <w:t>厂界四周</w:t>
            </w:r>
          </w:p>
        </w:tc>
        <w:tc>
          <w:tcPr>
            <w:tcW w:w="1042" w:type="dxa"/>
            <w:vAlign w:val="center"/>
          </w:tcPr>
          <w:p>
            <w:pPr>
              <w:pStyle w:val="33"/>
              <w:rPr>
                <w:szCs w:val="21"/>
              </w:rPr>
            </w:pPr>
            <w:r>
              <w:rPr>
                <w:szCs w:val="21"/>
              </w:rPr>
              <w:t>1次/半年</w:t>
            </w:r>
          </w:p>
        </w:tc>
        <w:tc>
          <w:tcPr>
            <w:tcW w:w="2153" w:type="dxa"/>
            <w:vAlign w:val="center"/>
          </w:tcPr>
          <w:p>
            <w:pPr>
              <w:pStyle w:val="33"/>
            </w:pPr>
            <w:r>
              <w:rPr>
                <w:szCs w:val="21"/>
              </w:rPr>
              <w:t>执行《工业企业厂界环境噪声排放标准》（GB12348-2008）3类标准</w:t>
            </w:r>
          </w:p>
        </w:tc>
      </w:tr>
    </w:tbl>
    <w:p>
      <w:pPr>
        <w:pStyle w:val="5"/>
      </w:pPr>
      <w:bookmarkStart w:id="184" w:name="_Toc3218"/>
      <w:r>
        <w:rPr>
          <w:rFonts w:hint="eastAsia"/>
        </w:rPr>
        <w:t>1</w:t>
      </w:r>
      <w:r>
        <w:rPr>
          <w:rFonts w:hint="eastAsia"/>
          <w:lang w:val="en-US" w:eastAsia="zh-CN"/>
        </w:rPr>
        <w:t>1</w:t>
      </w:r>
      <w:r>
        <w:rPr>
          <w:rFonts w:hint="eastAsia"/>
        </w:rPr>
        <w:t>.6监测技术文件管理</w:t>
      </w:r>
      <w:bookmarkEnd w:id="184"/>
    </w:p>
    <w:p>
      <w:pPr>
        <w:pStyle w:val="7"/>
        <w:ind w:firstLine="480"/>
      </w:pPr>
      <w:r>
        <w:rPr>
          <w:rFonts w:hint="eastAsia"/>
        </w:rPr>
        <w:t>在环境监测和管理中，建立如下文件档案。</w:t>
      </w:r>
    </w:p>
    <w:p>
      <w:pPr>
        <w:pStyle w:val="7"/>
        <w:ind w:firstLine="480"/>
      </w:pPr>
      <w:r>
        <w:rPr>
          <w:rFonts w:hint="eastAsia"/>
        </w:rPr>
        <w:t>1.污染源的监测记录技术文件；</w:t>
      </w:r>
    </w:p>
    <w:p>
      <w:pPr>
        <w:pStyle w:val="7"/>
        <w:ind w:firstLine="480"/>
      </w:pPr>
      <w:r>
        <w:rPr>
          <w:rFonts w:hint="eastAsia"/>
        </w:rPr>
        <w:t>2.污染控制，环境保护治理设施的设计和运行管理文件；</w:t>
      </w:r>
    </w:p>
    <w:p>
      <w:pPr>
        <w:pStyle w:val="7"/>
        <w:ind w:firstLine="480"/>
      </w:pPr>
      <w:r>
        <w:rPr>
          <w:rFonts w:hint="eastAsia"/>
        </w:rPr>
        <w:t>3.监测设备和仪器的校验文件；</w:t>
      </w:r>
    </w:p>
    <w:p>
      <w:pPr>
        <w:pStyle w:val="7"/>
        <w:ind w:firstLine="480"/>
      </w:pPr>
      <w:r>
        <w:rPr>
          <w:rFonts w:hint="eastAsia"/>
        </w:rPr>
        <w:t>4.所有导致污染问题的分析报告和监测数据资料。</w:t>
      </w:r>
    </w:p>
    <w:p>
      <w:pPr>
        <w:pStyle w:val="5"/>
      </w:pPr>
      <w:bookmarkStart w:id="185" w:name="_Toc12346"/>
      <w:r>
        <w:rPr>
          <w:rFonts w:hint="eastAsia"/>
        </w:rPr>
        <w:t>1</w:t>
      </w:r>
      <w:r>
        <w:rPr>
          <w:rFonts w:hint="eastAsia"/>
          <w:lang w:val="en-US" w:eastAsia="zh-CN"/>
        </w:rPr>
        <w:t>1</w:t>
      </w:r>
      <w:r>
        <w:rPr>
          <w:rFonts w:hint="eastAsia"/>
        </w:rPr>
        <w:t>.7排污口设置及规范管理</w:t>
      </w:r>
      <w:bookmarkEnd w:id="185"/>
    </w:p>
    <w:p>
      <w:pPr>
        <w:pStyle w:val="7"/>
        <w:ind w:firstLine="480"/>
      </w:pPr>
      <w:r>
        <w:rPr>
          <w:rFonts w:hint="eastAsia"/>
        </w:rPr>
        <w:t>排污口是企业污染物进入环境、污染环境的通道，强化排污口的管理是实施污染物总量控制的基础工作之一，也是区域环境管理逐步实现污染物排放科学化、定量化的重要手段。具体管理原则如下：</w:t>
      </w:r>
    </w:p>
    <w:p>
      <w:pPr>
        <w:pStyle w:val="7"/>
        <w:ind w:firstLine="480"/>
      </w:pPr>
      <w:r>
        <w:rPr>
          <w:rFonts w:hint="eastAsia"/>
        </w:rPr>
        <w:t>1.向环境排放污染物的排放口必须规范化。</w:t>
      </w:r>
    </w:p>
    <w:p>
      <w:pPr>
        <w:pStyle w:val="7"/>
        <w:ind w:firstLine="480"/>
      </w:pPr>
      <w:r>
        <w:rPr>
          <w:rFonts w:hint="eastAsia"/>
        </w:rPr>
        <w:t>2.如实向环保管理部门申报排污口数量、位置及所排放的主要污染物的种类、数量、浓度、排放去向等情况。列入总量控制的污染物排污口以及行业特征污染物排放口列为管理重点。</w:t>
      </w:r>
    </w:p>
    <w:p>
      <w:pPr>
        <w:pStyle w:val="7"/>
        <w:ind w:firstLine="480"/>
      </w:pPr>
      <w:r>
        <w:rPr>
          <w:rFonts w:hint="eastAsia"/>
        </w:rPr>
        <w:t>3.按照排污口规范管理及标志牌管理有关规定，在排污口附近设置环境保护图形标志牌，根据《环境保护图形标志》实施细则，填写本项目的主要污染物。</w:t>
      </w:r>
    </w:p>
    <w:p>
      <w:pPr>
        <w:pStyle w:val="7"/>
        <w:ind w:firstLine="480"/>
      </w:pPr>
      <w:r>
        <w:rPr>
          <w:rFonts w:hint="eastAsia"/>
        </w:rPr>
        <w:t>4.废气排气管应设置便于采样、监测的采样孔和采样平台。</w:t>
      </w:r>
    </w:p>
    <w:p>
      <w:pPr>
        <w:pStyle w:val="5"/>
      </w:pPr>
      <w:bookmarkStart w:id="186" w:name="_Toc10780"/>
      <w:r>
        <w:rPr>
          <w:rFonts w:hint="eastAsia"/>
        </w:rPr>
        <w:t>1</w:t>
      </w:r>
      <w:r>
        <w:rPr>
          <w:rFonts w:hint="eastAsia"/>
          <w:lang w:val="en-US" w:eastAsia="zh-CN"/>
        </w:rPr>
        <w:t>1</w:t>
      </w:r>
      <w:r>
        <w:rPr>
          <w:rFonts w:hint="eastAsia"/>
        </w:rPr>
        <w:t>.8排污口立标和建档</w:t>
      </w:r>
      <w:bookmarkEnd w:id="186"/>
    </w:p>
    <w:p>
      <w:pPr>
        <w:pStyle w:val="8"/>
      </w:pPr>
      <w:r>
        <w:rPr>
          <w:rFonts w:hint="eastAsia"/>
        </w:rPr>
        <w:t>1</w:t>
      </w:r>
      <w:r>
        <w:rPr>
          <w:rFonts w:hint="eastAsia"/>
          <w:lang w:val="en-US" w:eastAsia="zh-CN"/>
        </w:rPr>
        <w:t>1</w:t>
      </w:r>
      <w:r>
        <w:rPr>
          <w:rFonts w:hint="eastAsia"/>
        </w:rPr>
        <w:t>.8.1排污口立标</w:t>
      </w:r>
    </w:p>
    <w:p>
      <w:pPr>
        <w:pStyle w:val="7"/>
        <w:ind w:firstLine="480"/>
      </w:pPr>
      <w:r>
        <w:rPr>
          <w:rFonts w:hint="eastAsia"/>
        </w:rPr>
        <w:t>（1）污染物排放口的环保图形标志牌应设置在靠近采样点，且醒目处，标志牌设置高度为其上边缘距离地面2m；</w:t>
      </w:r>
    </w:p>
    <w:p>
      <w:pPr>
        <w:pStyle w:val="7"/>
        <w:ind w:firstLine="480"/>
      </w:pPr>
      <w:r>
        <w:rPr>
          <w:rFonts w:hint="eastAsia"/>
        </w:rPr>
        <w:t>（2）重点排污单位的污染物排放口应设置立式标志牌为主，一般排污单位的污染物排放口，可根据情况设置立式或平面固定式标志牌。</w:t>
      </w:r>
    </w:p>
    <w:p>
      <w:pPr>
        <w:pStyle w:val="7"/>
        <w:ind w:firstLine="480"/>
      </w:pPr>
      <w:r>
        <w:rPr>
          <w:rFonts w:hint="eastAsia"/>
        </w:rPr>
        <w:t>在厂区“三废”及噪声排放点设置明显标志，标志的设置应执行《环境保护图形标志排放口(源)》</w:t>
      </w:r>
      <w:r>
        <w:rPr>
          <w:rFonts w:hint="eastAsia"/>
          <w:lang w:eastAsia="zh-CN"/>
        </w:rPr>
        <w:t>（</w:t>
      </w:r>
      <w:r>
        <w:rPr>
          <w:rFonts w:hint="eastAsia"/>
        </w:rPr>
        <w:t>GBl5562.1-1995）及《环境保护图形固体废物贮存(处置)场》</w:t>
      </w:r>
      <w:r>
        <w:rPr>
          <w:rFonts w:hint="eastAsia"/>
          <w:lang w:eastAsia="zh-CN"/>
        </w:rPr>
        <w:t>（</w:t>
      </w:r>
      <w:r>
        <w:rPr>
          <w:rFonts w:hint="eastAsia"/>
        </w:rPr>
        <w:t>GBl55622--1995</w:t>
      </w:r>
      <w:r>
        <w:rPr>
          <w:rFonts w:hint="eastAsia"/>
          <w:lang w:eastAsia="zh-CN"/>
        </w:rPr>
        <w:t>）</w:t>
      </w:r>
      <w:r>
        <w:rPr>
          <w:rFonts w:hint="eastAsia"/>
        </w:rPr>
        <w:t>中有关规定。排放口图形标志见下表。</w:t>
      </w:r>
    </w:p>
    <w:p>
      <w:pPr>
        <w:pStyle w:val="31"/>
      </w:pPr>
      <w:r>
        <w:rPr>
          <w:rFonts w:hint="eastAsia"/>
        </w:rPr>
        <w:t>表1</w:t>
      </w:r>
      <w:r>
        <w:rPr>
          <w:rFonts w:hint="eastAsia"/>
          <w:lang w:val="en-US" w:eastAsia="zh-CN"/>
        </w:rPr>
        <w:t>1</w:t>
      </w:r>
      <w:r>
        <w:rPr>
          <w:rFonts w:hint="eastAsia"/>
        </w:rPr>
        <w:t>.8-1  环境保护图形标志的形状及颜色表</w:t>
      </w:r>
    </w:p>
    <w:tbl>
      <w:tblPr>
        <w:tblStyle w:val="27"/>
        <w:tblW w:w="499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255"/>
        <w:gridCol w:w="2084"/>
        <w:gridCol w:w="2097"/>
        <w:gridCol w:w="208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2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标志名称 </w:t>
            </w:r>
          </w:p>
        </w:tc>
        <w:tc>
          <w:tcPr>
            <w:tcW w:w="12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形 状 </w:t>
            </w:r>
          </w:p>
        </w:tc>
        <w:tc>
          <w:tcPr>
            <w:tcW w:w="123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背景颜色 </w:t>
            </w:r>
          </w:p>
        </w:tc>
        <w:tc>
          <w:tcPr>
            <w:tcW w:w="12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图形颜色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2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警告标志 </w:t>
            </w:r>
          </w:p>
        </w:tc>
        <w:tc>
          <w:tcPr>
            <w:tcW w:w="12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三角形边框 </w:t>
            </w:r>
          </w:p>
        </w:tc>
        <w:tc>
          <w:tcPr>
            <w:tcW w:w="123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黄色 </w:t>
            </w:r>
          </w:p>
        </w:tc>
        <w:tc>
          <w:tcPr>
            <w:tcW w:w="12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黑色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2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提示标志 </w:t>
            </w:r>
          </w:p>
        </w:tc>
        <w:tc>
          <w:tcPr>
            <w:tcW w:w="12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正方形边框 </w:t>
            </w:r>
          </w:p>
        </w:tc>
        <w:tc>
          <w:tcPr>
            <w:tcW w:w="123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绿色 </w:t>
            </w:r>
          </w:p>
        </w:tc>
        <w:tc>
          <w:tcPr>
            <w:tcW w:w="12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白色</w:t>
            </w:r>
          </w:p>
        </w:tc>
      </w:tr>
    </w:tbl>
    <w:p>
      <w:pPr>
        <w:pStyle w:val="31"/>
      </w:pPr>
      <w:r>
        <w:rPr>
          <w:rFonts w:hint="eastAsia"/>
        </w:rPr>
        <w:t>表1</w:t>
      </w:r>
      <w:r>
        <w:rPr>
          <w:rFonts w:hint="eastAsia"/>
          <w:lang w:val="en-US" w:eastAsia="zh-CN"/>
        </w:rPr>
        <w:t>1</w:t>
      </w:r>
      <w:r>
        <w:rPr>
          <w:rFonts w:hint="eastAsia"/>
        </w:rPr>
        <w:t>.8-2  环境保护图形符号一览表</w:t>
      </w:r>
    </w:p>
    <w:tbl>
      <w:tblPr>
        <w:tblStyle w:val="27"/>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61"/>
        <w:gridCol w:w="2196"/>
        <w:gridCol w:w="2226"/>
        <w:gridCol w:w="1605"/>
        <w:gridCol w:w="192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5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序号 </w:t>
            </w:r>
          </w:p>
        </w:tc>
        <w:tc>
          <w:tcPr>
            <w:tcW w:w="11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提示图形符号 </w:t>
            </w:r>
          </w:p>
        </w:tc>
        <w:tc>
          <w:tcPr>
            <w:tcW w:w="13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警告图形符号 </w:t>
            </w:r>
          </w:p>
        </w:tc>
        <w:tc>
          <w:tcPr>
            <w:tcW w:w="96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名称 </w:t>
            </w:r>
          </w:p>
        </w:tc>
        <w:tc>
          <w:tcPr>
            <w:tcW w:w="1153"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功能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5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1 </w:t>
            </w:r>
          </w:p>
        </w:tc>
        <w:tc>
          <w:tcPr>
            <w:tcW w:w="11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922655" cy="932180"/>
                  <wp:effectExtent l="0" t="0" r="10795" b="1270"/>
                  <wp:docPr id="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2"/>
                          <pic:cNvPicPr>
                            <a:picLocks noChangeAspect="1"/>
                          </pic:cNvPicPr>
                        </pic:nvPicPr>
                        <pic:blipFill>
                          <a:blip r:embed="rId96"/>
                          <a:stretch>
                            <a:fillRect/>
                          </a:stretch>
                        </pic:blipFill>
                        <pic:spPr>
                          <a:xfrm>
                            <a:off x="0" y="0"/>
                            <a:ext cx="922655" cy="932180"/>
                          </a:xfrm>
                          <a:prstGeom prst="rect">
                            <a:avLst/>
                          </a:prstGeom>
                          <a:noFill/>
                          <a:ln>
                            <a:noFill/>
                          </a:ln>
                        </pic:spPr>
                      </pic:pic>
                    </a:graphicData>
                  </a:graphic>
                </wp:inline>
              </w:drawing>
            </w:r>
          </w:p>
        </w:tc>
        <w:tc>
          <w:tcPr>
            <w:tcW w:w="13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932180" cy="932180"/>
                  <wp:effectExtent l="0" t="0" r="1270" b="127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97"/>
                          <a:stretch>
                            <a:fillRect/>
                          </a:stretch>
                        </pic:blipFill>
                        <pic:spPr>
                          <a:xfrm>
                            <a:off x="0" y="0"/>
                            <a:ext cx="932180" cy="932180"/>
                          </a:xfrm>
                          <a:prstGeom prst="rect">
                            <a:avLst/>
                          </a:prstGeom>
                          <a:noFill/>
                          <a:ln>
                            <a:noFill/>
                          </a:ln>
                        </pic:spPr>
                      </pic:pic>
                    </a:graphicData>
                  </a:graphic>
                </wp:inline>
              </w:drawing>
            </w:r>
          </w:p>
        </w:tc>
        <w:tc>
          <w:tcPr>
            <w:tcW w:w="965" w:type="pct"/>
            <w:shd w:val="clear" w:color="auto" w:fill="auto"/>
            <w:vAlign w:val="center"/>
          </w:tcPr>
          <w:p>
            <w:pPr>
              <w:pStyle w:val="32"/>
            </w:pPr>
            <w:r>
              <w:t xml:space="preserve">废气排放口 </w:t>
            </w:r>
          </w:p>
        </w:tc>
        <w:tc>
          <w:tcPr>
            <w:tcW w:w="1153" w:type="pct"/>
            <w:shd w:val="clear" w:color="auto" w:fill="auto"/>
            <w:vAlign w:val="center"/>
          </w:tcPr>
          <w:p>
            <w:pPr>
              <w:pStyle w:val="32"/>
            </w:pPr>
            <w:r>
              <w:t>表示废气向大气环境排放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5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2 </w:t>
            </w:r>
          </w:p>
        </w:tc>
        <w:tc>
          <w:tcPr>
            <w:tcW w:w="11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922655" cy="932180"/>
                  <wp:effectExtent l="0" t="0" r="10795" b="127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98"/>
                          <a:stretch>
                            <a:fillRect/>
                          </a:stretch>
                        </pic:blipFill>
                        <pic:spPr>
                          <a:xfrm>
                            <a:off x="0" y="0"/>
                            <a:ext cx="922655" cy="932180"/>
                          </a:xfrm>
                          <a:prstGeom prst="rect">
                            <a:avLst/>
                          </a:prstGeom>
                          <a:noFill/>
                          <a:ln>
                            <a:noFill/>
                          </a:ln>
                        </pic:spPr>
                      </pic:pic>
                    </a:graphicData>
                  </a:graphic>
                </wp:inline>
              </w:drawing>
            </w:r>
          </w:p>
        </w:tc>
        <w:tc>
          <w:tcPr>
            <w:tcW w:w="13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986790" cy="932180"/>
                  <wp:effectExtent l="0" t="0" r="3810" b="127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pic:cNvPicPr>
                            <a:picLocks noChangeAspect="1"/>
                          </pic:cNvPicPr>
                        </pic:nvPicPr>
                        <pic:blipFill>
                          <a:blip r:embed="rId99"/>
                          <a:stretch>
                            <a:fillRect/>
                          </a:stretch>
                        </pic:blipFill>
                        <pic:spPr>
                          <a:xfrm>
                            <a:off x="0" y="0"/>
                            <a:ext cx="986790" cy="932180"/>
                          </a:xfrm>
                          <a:prstGeom prst="rect">
                            <a:avLst/>
                          </a:prstGeom>
                          <a:noFill/>
                          <a:ln>
                            <a:noFill/>
                          </a:ln>
                        </pic:spPr>
                      </pic:pic>
                    </a:graphicData>
                  </a:graphic>
                </wp:inline>
              </w:drawing>
            </w:r>
          </w:p>
        </w:tc>
        <w:tc>
          <w:tcPr>
            <w:tcW w:w="965" w:type="pct"/>
            <w:shd w:val="clear" w:color="auto" w:fill="auto"/>
            <w:vAlign w:val="center"/>
          </w:tcPr>
          <w:p>
            <w:pPr>
              <w:pStyle w:val="32"/>
            </w:pPr>
            <w:r>
              <w:t xml:space="preserve">一般固体废物 </w:t>
            </w:r>
          </w:p>
        </w:tc>
        <w:tc>
          <w:tcPr>
            <w:tcW w:w="1153" w:type="pct"/>
            <w:shd w:val="clear" w:color="auto" w:fill="auto"/>
            <w:vAlign w:val="center"/>
          </w:tcPr>
          <w:p>
            <w:pPr>
              <w:pStyle w:val="32"/>
            </w:pPr>
            <w:r>
              <w:t>表示一般固体废物贮存、处置场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5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3 </w:t>
            </w:r>
          </w:p>
        </w:tc>
        <w:tc>
          <w:tcPr>
            <w:tcW w:w="11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933450" cy="933450"/>
                  <wp:effectExtent l="0" t="0" r="0" b="0"/>
                  <wp:docPr id="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pic:cNvPicPr>
                            <a:picLocks noChangeAspect="1"/>
                          </pic:cNvPicPr>
                        </pic:nvPicPr>
                        <pic:blipFill>
                          <a:blip r:embed="rId100"/>
                          <a:stretch>
                            <a:fillRect/>
                          </a:stretch>
                        </pic:blipFill>
                        <pic:spPr>
                          <a:xfrm>
                            <a:off x="0" y="0"/>
                            <a:ext cx="933450" cy="933450"/>
                          </a:xfrm>
                          <a:prstGeom prst="rect">
                            <a:avLst/>
                          </a:prstGeom>
                          <a:noFill/>
                          <a:ln>
                            <a:noFill/>
                          </a:ln>
                        </pic:spPr>
                      </pic:pic>
                    </a:graphicData>
                  </a:graphic>
                </wp:inline>
              </w:drawing>
            </w:r>
          </w:p>
        </w:tc>
        <w:tc>
          <w:tcPr>
            <w:tcW w:w="13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1043940" cy="932180"/>
                  <wp:effectExtent l="0" t="0" r="3810" b="1270"/>
                  <wp:docPr id="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
                          <pic:cNvPicPr>
                            <a:picLocks noChangeAspect="1"/>
                          </pic:cNvPicPr>
                        </pic:nvPicPr>
                        <pic:blipFill>
                          <a:blip r:embed="rId101"/>
                          <a:stretch>
                            <a:fillRect/>
                          </a:stretch>
                        </pic:blipFill>
                        <pic:spPr>
                          <a:xfrm>
                            <a:off x="0" y="0"/>
                            <a:ext cx="1043940" cy="932180"/>
                          </a:xfrm>
                          <a:prstGeom prst="rect">
                            <a:avLst/>
                          </a:prstGeom>
                          <a:noFill/>
                          <a:ln>
                            <a:noFill/>
                          </a:ln>
                        </pic:spPr>
                      </pic:pic>
                    </a:graphicData>
                  </a:graphic>
                </wp:inline>
              </w:drawing>
            </w:r>
          </w:p>
        </w:tc>
        <w:tc>
          <w:tcPr>
            <w:tcW w:w="965" w:type="pct"/>
            <w:shd w:val="clear" w:color="auto" w:fill="auto"/>
            <w:vAlign w:val="center"/>
          </w:tcPr>
          <w:p>
            <w:pPr>
              <w:pStyle w:val="32"/>
            </w:pPr>
            <w:r>
              <w:t xml:space="preserve">噪声排放源 </w:t>
            </w:r>
          </w:p>
        </w:tc>
        <w:tc>
          <w:tcPr>
            <w:tcW w:w="1153" w:type="pct"/>
            <w:shd w:val="clear" w:color="auto" w:fill="auto"/>
            <w:vAlign w:val="center"/>
          </w:tcPr>
          <w:p>
            <w:pPr>
              <w:pStyle w:val="32"/>
            </w:pPr>
            <w:r>
              <w:t>表示噪声向外环境排放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5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t xml:space="preserve">4 </w:t>
            </w:r>
          </w:p>
        </w:tc>
        <w:tc>
          <w:tcPr>
            <w:tcW w:w="119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1241425" cy="932180"/>
                  <wp:effectExtent l="0" t="0" r="15875" b="127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102"/>
                          <a:stretch>
                            <a:fillRect/>
                          </a:stretch>
                        </pic:blipFill>
                        <pic:spPr>
                          <a:xfrm>
                            <a:off x="0" y="0"/>
                            <a:ext cx="1241425" cy="932180"/>
                          </a:xfrm>
                          <a:prstGeom prst="rect">
                            <a:avLst/>
                          </a:prstGeom>
                          <a:noFill/>
                          <a:ln>
                            <a:noFill/>
                          </a:ln>
                        </pic:spPr>
                      </pic:pic>
                    </a:graphicData>
                  </a:graphic>
                </wp:inline>
              </w:drawing>
            </w:r>
          </w:p>
        </w:tc>
        <w:tc>
          <w:tcPr>
            <w:tcW w:w="132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32"/>
            </w:pPr>
            <w:r>
              <w:drawing>
                <wp:inline distT="0" distB="0" distL="114300" distR="114300">
                  <wp:extent cx="1117600" cy="932180"/>
                  <wp:effectExtent l="0" t="0" r="6350" b="1270"/>
                  <wp:docPr id="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
                          <pic:cNvPicPr>
                            <a:picLocks noChangeAspect="1"/>
                          </pic:cNvPicPr>
                        </pic:nvPicPr>
                        <pic:blipFill>
                          <a:blip r:embed="rId103"/>
                          <a:stretch>
                            <a:fillRect/>
                          </a:stretch>
                        </pic:blipFill>
                        <pic:spPr>
                          <a:xfrm>
                            <a:off x="0" y="0"/>
                            <a:ext cx="1117600" cy="932180"/>
                          </a:xfrm>
                          <a:prstGeom prst="rect">
                            <a:avLst/>
                          </a:prstGeom>
                          <a:noFill/>
                          <a:ln>
                            <a:noFill/>
                          </a:ln>
                        </pic:spPr>
                      </pic:pic>
                    </a:graphicData>
                  </a:graphic>
                </wp:inline>
              </w:drawing>
            </w:r>
          </w:p>
        </w:tc>
        <w:tc>
          <w:tcPr>
            <w:tcW w:w="965" w:type="pct"/>
            <w:shd w:val="clear" w:color="auto" w:fill="auto"/>
            <w:vAlign w:val="center"/>
          </w:tcPr>
          <w:p>
            <w:pPr>
              <w:pStyle w:val="32"/>
            </w:pPr>
            <w:r>
              <w:t>危险废物</w:t>
            </w:r>
          </w:p>
        </w:tc>
        <w:tc>
          <w:tcPr>
            <w:tcW w:w="1153" w:type="pct"/>
            <w:shd w:val="clear" w:color="auto" w:fill="auto"/>
            <w:vAlign w:val="center"/>
          </w:tcPr>
          <w:p>
            <w:pPr>
              <w:pStyle w:val="32"/>
            </w:pPr>
            <w:r>
              <w:t>表示危险废物贮存、处置场</w:t>
            </w:r>
          </w:p>
        </w:tc>
      </w:tr>
    </w:tbl>
    <w:p>
      <w:pPr>
        <w:pStyle w:val="7"/>
        <w:ind w:firstLine="480"/>
      </w:pPr>
      <w:r>
        <w:t>废气排放口：废气排放口必须符合规定的高度和按照《污染源监测技术规范》</w:t>
      </w:r>
      <w:r>
        <w:rPr>
          <w:rFonts w:hint="eastAsia"/>
        </w:rPr>
        <w:t>便于采样、监测的要求，设置直径不小于75mm的采样口。</w:t>
      </w:r>
    </w:p>
    <w:p>
      <w:pPr>
        <w:pStyle w:val="7"/>
        <w:ind w:firstLine="480"/>
      </w:pPr>
      <w:r>
        <w:rPr>
          <w:rFonts w:hint="eastAsia"/>
        </w:rPr>
        <w:t>固定噪声源：设置一个噪声标志牌，固定噪声污染源对边界影响最大处，须按《工业企业厂界环境噪声排放标准》（GB12348-2008）的规定，设置环境噪声监测点，并在该处附近醒目处设置环境保护图形标志牌。</w:t>
      </w:r>
    </w:p>
    <w:p>
      <w:pPr>
        <w:pStyle w:val="7"/>
        <w:ind w:firstLine="480"/>
      </w:pPr>
      <w:r>
        <w:rPr>
          <w:rFonts w:hint="eastAsia"/>
        </w:rPr>
        <w:t>固体废物储存场：工业固体废物和生活垃圾应设置专用堆放场地。危险固废暂存场严格按照《危险废物贮存污染控制标准》（GB18597-2001，2013年修订）中的防雨淋、防渗漏、防泄漏等有关规定进行设计操作。</w:t>
      </w:r>
    </w:p>
    <w:p>
      <w:pPr>
        <w:pStyle w:val="7"/>
        <w:ind w:firstLine="480"/>
      </w:pPr>
      <w:r>
        <w:rPr>
          <w:rFonts w:hint="eastAsia"/>
        </w:rPr>
        <w:t>设置标志牌：环境保护图形标志牌由国家环保部门统一定点制作，并有当地环保部门根据企业排污情况统一向国家环保部订购。排放一般污染物排放口（源），设置提示式标志牌，排放有毒有害等污染物的排污口设置警告式标志牌。标志牌设置位置在排污口（采样点）附近且醒目处，高度为标志牌上边缘离地面2m，排污口附近1m范围内有建筑物的，设平面式标志牌，无建筑物的设立式标志牌。</w:t>
      </w:r>
    </w:p>
    <w:p>
      <w:pPr>
        <w:pStyle w:val="7"/>
        <w:ind w:firstLine="480"/>
      </w:pPr>
      <w:r>
        <w:rPr>
          <w:rFonts w:hint="eastAsia"/>
        </w:rPr>
        <w:t>规范化排污口的有关设置（如图形标志牌、计量装置、监控装置等）属环保设施，排污单位必须负责日常的维护保养，任何单位和个人不得擅自拆除，如需变更的须报环保部门同意并办理变更手续。</w:t>
      </w:r>
    </w:p>
    <w:p>
      <w:pPr>
        <w:pStyle w:val="8"/>
      </w:pPr>
      <w:r>
        <w:rPr>
          <w:rFonts w:hint="eastAsia"/>
        </w:rPr>
        <w:t>10.8.2</w:t>
      </w:r>
      <w:r>
        <w:rPr>
          <w:rFonts w:hint="eastAsia"/>
          <w:bCs/>
        </w:rPr>
        <w:t>排污口管理</w:t>
      </w:r>
    </w:p>
    <w:p>
      <w:pPr>
        <w:pStyle w:val="7"/>
        <w:ind w:firstLine="480"/>
      </w:pPr>
      <w:r>
        <w:rPr>
          <w:rFonts w:hint="eastAsia"/>
        </w:rPr>
        <w:t>1、管理原则</w:t>
      </w:r>
    </w:p>
    <w:p>
      <w:pPr>
        <w:pStyle w:val="7"/>
        <w:ind w:firstLine="480"/>
      </w:pPr>
      <w:r>
        <w:rPr>
          <w:rFonts w:hint="eastAsia"/>
        </w:rPr>
        <w:t>排污口是企业污染物进入环境，污染环境的通道，强化排污口的管理是实施污染物总量控制的基础工作之一，也是区域环境管理逐步实现污染物排放科学化、定量化的重要手段。具体管理原则如下：</w:t>
      </w:r>
    </w:p>
    <w:p>
      <w:pPr>
        <w:pStyle w:val="7"/>
        <w:ind w:firstLine="480"/>
      </w:pPr>
      <w:r>
        <w:rPr>
          <w:rFonts w:hint="eastAsia"/>
        </w:rPr>
        <w:t>①向环境排放污染物的排放口必须规范化；</w:t>
      </w:r>
    </w:p>
    <w:p>
      <w:pPr>
        <w:pStyle w:val="7"/>
        <w:ind w:firstLine="480"/>
      </w:pPr>
      <w:r>
        <w:rPr>
          <w:rFonts w:hint="eastAsia"/>
        </w:rPr>
        <w:t>②列入总量控制的污染物（SO</w:t>
      </w:r>
      <w:r>
        <w:rPr>
          <w:rFonts w:hint="eastAsia"/>
          <w:vertAlign w:val="subscript"/>
        </w:rPr>
        <w:t>2</w:t>
      </w:r>
      <w:r>
        <w:rPr>
          <w:rFonts w:hint="eastAsia"/>
        </w:rPr>
        <w:t>、NO</w:t>
      </w:r>
      <w:r>
        <w:rPr>
          <w:rFonts w:hint="eastAsia"/>
          <w:vertAlign w:val="subscript"/>
        </w:rPr>
        <w:t>x</w:t>
      </w:r>
      <w:r>
        <w:rPr>
          <w:rFonts w:hint="eastAsia"/>
        </w:rPr>
        <w:t>等）排放源列为管理的重点；</w:t>
      </w:r>
    </w:p>
    <w:p>
      <w:pPr>
        <w:pStyle w:val="7"/>
        <w:ind w:firstLine="480"/>
      </w:pPr>
      <w:r>
        <w:rPr>
          <w:rFonts w:hint="eastAsia"/>
        </w:rPr>
        <w:t>③如实向环保管理部门申报排污口数量、位置及所排放的主要污染物种类、数量、浓度、排放去向等情况；</w:t>
      </w:r>
    </w:p>
    <w:p>
      <w:pPr>
        <w:pStyle w:val="7"/>
        <w:ind w:firstLine="480"/>
      </w:pPr>
      <w:r>
        <w:rPr>
          <w:rFonts w:hint="eastAsia"/>
        </w:rPr>
        <w:t>④废气排气装置应设置便于采样、监测的采样孔和采样平台，设置应符合《污染源监测技术规范》；</w:t>
      </w:r>
    </w:p>
    <w:p>
      <w:pPr>
        <w:pStyle w:val="7"/>
        <w:ind w:firstLine="480"/>
      </w:pPr>
      <w:r>
        <w:rPr>
          <w:rFonts w:hint="eastAsia"/>
        </w:rPr>
        <w:t>⑤工程固废堆存时，应设置专用堆放场地，并采取防扬散、防流失、对有毒有害固废采取防渗漏的措施。</w:t>
      </w:r>
    </w:p>
    <w:p>
      <w:pPr>
        <w:pStyle w:val="7"/>
        <w:ind w:firstLine="480"/>
      </w:pPr>
      <w:r>
        <w:rPr>
          <w:rFonts w:hint="eastAsia"/>
        </w:rPr>
        <w:t>2、排放源建档</w:t>
      </w:r>
    </w:p>
    <w:p>
      <w:pPr>
        <w:pStyle w:val="7"/>
        <w:ind w:firstLine="480"/>
      </w:pPr>
      <w:r>
        <w:rPr>
          <w:rFonts w:hint="eastAsia"/>
        </w:rPr>
        <w:t>①本项目应使用国家环保部统一印制的《中华人民共和国规范化排污口标志登记证》，并按要求填写有关内容；</w:t>
      </w:r>
    </w:p>
    <w:p>
      <w:pPr>
        <w:pStyle w:val="7"/>
        <w:ind w:firstLine="480"/>
      </w:pPr>
      <w:r>
        <w:rPr>
          <w:rFonts w:hint="eastAsia"/>
        </w:rPr>
        <w:t>②根据排污口管理内容要求，项目建成投产后，应将主要污染物种类、数量、浓度、排放去向、立标情况及设施运行情况记录于档案。</w:t>
      </w:r>
    </w:p>
    <w:p>
      <w:pPr>
        <w:pStyle w:val="5"/>
      </w:pPr>
      <w:bookmarkStart w:id="187" w:name="_Toc11845"/>
      <w:bookmarkStart w:id="188" w:name="_Toc26623"/>
      <w:bookmarkStart w:id="189" w:name="_Toc16849"/>
      <w:r>
        <w:rPr>
          <w:rFonts w:hint="eastAsia"/>
        </w:rPr>
        <w:t>1</w:t>
      </w:r>
      <w:r>
        <w:rPr>
          <w:rFonts w:hint="eastAsia"/>
          <w:lang w:val="en-US" w:eastAsia="zh-CN"/>
        </w:rPr>
        <w:t>1</w:t>
      </w:r>
      <w:r>
        <w:rPr>
          <w:rFonts w:hint="eastAsia"/>
        </w:rPr>
        <w:t>.9污染物排放清单</w:t>
      </w:r>
      <w:bookmarkEnd w:id="187"/>
      <w:bookmarkEnd w:id="188"/>
      <w:bookmarkEnd w:id="189"/>
    </w:p>
    <w:p>
      <w:pPr>
        <w:pStyle w:val="7"/>
        <w:ind w:firstLine="480"/>
      </w:pPr>
      <w:r>
        <w:rPr>
          <w:rFonts w:hint="eastAsia"/>
        </w:rPr>
        <w:t>为了全面贯彻和落实国家以及地方环境保护政策、法律、法规，保护本工程周围环境，保证企业中各环保设施正常运行，达到企业污染物达标排放，企业必须按照《排污许可证暂行管理规定》做好污染物排放管理工作。</w:t>
      </w:r>
    </w:p>
    <w:p>
      <w:pPr>
        <w:pStyle w:val="7"/>
        <w:ind w:firstLine="480"/>
        <w:sectPr>
          <w:pgSz w:w="11906" w:h="16838"/>
          <w:pgMar w:top="1440" w:right="1800" w:bottom="1440" w:left="1800" w:header="851" w:footer="992" w:gutter="0"/>
          <w:cols w:space="425" w:num="1"/>
          <w:docGrid w:type="lines" w:linePitch="312" w:charSpace="0"/>
        </w:sectPr>
      </w:pPr>
      <w:r>
        <w:rPr>
          <w:rFonts w:hint="eastAsia"/>
        </w:rPr>
        <w:t>废气污染物排放清单见表1</w:t>
      </w:r>
      <w:r>
        <w:rPr>
          <w:rFonts w:hint="eastAsia"/>
          <w:lang w:val="en-US" w:eastAsia="zh-CN"/>
        </w:rPr>
        <w:t>1</w:t>
      </w:r>
      <w:r>
        <w:rPr>
          <w:rFonts w:hint="eastAsia"/>
        </w:rPr>
        <w:t>.9-1，废水</w:t>
      </w:r>
      <w:r>
        <w:rPr>
          <w:rFonts w:hint="eastAsia"/>
          <w:lang w:eastAsia="zh-CN"/>
        </w:rPr>
        <w:t>、</w:t>
      </w:r>
      <w:r>
        <w:rPr>
          <w:rFonts w:hint="eastAsia"/>
        </w:rPr>
        <w:t>噪声、固废排放清单见表1</w:t>
      </w:r>
      <w:r>
        <w:rPr>
          <w:rFonts w:hint="eastAsia"/>
          <w:lang w:val="en-US" w:eastAsia="zh-CN"/>
        </w:rPr>
        <w:t>1</w:t>
      </w:r>
      <w:r>
        <w:rPr>
          <w:rFonts w:hint="eastAsia"/>
        </w:rPr>
        <w:t>.9-</w:t>
      </w:r>
      <w:r>
        <w:rPr>
          <w:rFonts w:hint="eastAsia"/>
          <w:lang w:val="en-US" w:eastAsia="zh-CN"/>
        </w:rPr>
        <w:t>2</w:t>
      </w:r>
      <w:r>
        <w:rPr>
          <w:rFonts w:hint="eastAsia"/>
        </w:rPr>
        <w:t>。</w:t>
      </w:r>
    </w:p>
    <w:p>
      <w:pPr>
        <w:pStyle w:val="56"/>
      </w:pPr>
      <w:r>
        <w:t>表</w:t>
      </w:r>
      <w:r>
        <w:rPr>
          <w:rFonts w:hint="eastAsia"/>
        </w:rPr>
        <w:t>11.9</w:t>
      </w:r>
      <w:r>
        <w:t>-1  大气污染物排放清单表</w:t>
      </w:r>
    </w:p>
    <w:tbl>
      <w:tblPr>
        <w:tblStyle w:val="27"/>
        <w:tblW w:w="147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1"/>
        <w:gridCol w:w="1275"/>
        <w:gridCol w:w="1025"/>
        <w:gridCol w:w="828"/>
        <w:gridCol w:w="772"/>
        <w:gridCol w:w="937"/>
        <w:gridCol w:w="1938"/>
        <w:gridCol w:w="1100"/>
        <w:gridCol w:w="1180"/>
        <w:gridCol w:w="2995"/>
        <w:gridCol w:w="862"/>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shd w:val="clear" w:color="auto" w:fill="auto"/>
            <w:vAlign w:val="center"/>
          </w:tcPr>
          <w:p>
            <w:pPr>
              <w:pStyle w:val="33"/>
              <w:rPr>
                <w:sz w:val="18"/>
                <w:szCs w:val="18"/>
              </w:rPr>
            </w:pPr>
            <w:r>
              <w:rPr>
                <w:sz w:val="18"/>
                <w:szCs w:val="18"/>
              </w:rPr>
              <w:t>装置</w:t>
            </w:r>
          </w:p>
        </w:tc>
        <w:tc>
          <w:tcPr>
            <w:tcW w:w="1275" w:type="dxa"/>
            <w:vMerge w:val="restart"/>
            <w:shd w:val="clear" w:color="auto" w:fill="auto"/>
            <w:vAlign w:val="center"/>
          </w:tcPr>
          <w:p>
            <w:pPr>
              <w:pStyle w:val="33"/>
              <w:rPr>
                <w:sz w:val="18"/>
                <w:szCs w:val="18"/>
              </w:rPr>
            </w:pPr>
            <w:r>
              <w:rPr>
                <w:sz w:val="18"/>
                <w:szCs w:val="18"/>
              </w:rPr>
              <w:t>污染源</w:t>
            </w:r>
          </w:p>
        </w:tc>
        <w:tc>
          <w:tcPr>
            <w:tcW w:w="1025" w:type="dxa"/>
            <w:vMerge w:val="restart"/>
            <w:shd w:val="clear" w:color="auto" w:fill="auto"/>
            <w:vAlign w:val="center"/>
          </w:tcPr>
          <w:p>
            <w:pPr>
              <w:pStyle w:val="33"/>
              <w:rPr>
                <w:sz w:val="18"/>
                <w:szCs w:val="18"/>
              </w:rPr>
            </w:pPr>
            <w:r>
              <w:rPr>
                <w:sz w:val="18"/>
                <w:szCs w:val="18"/>
              </w:rPr>
              <w:t>排放参数(m)</w:t>
            </w:r>
          </w:p>
        </w:tc>
        <w:tc>
          <w:tcPr>
            <w:tcW w:w="828" w:type="dxa"/>
            <w:vMerge w:val="restart"/>
            <w:shd w:val="clear" w:color="auto" w:fill="auto"/>
            <w:vAlign w:val="center"/>
          </w:tcPr>
          <w:p>
            <w:pPr>
              <w:pStyle w:val="33"/>
              <w:rPr>
                <w:sz w:val="18"/>
                <w:szCs w:val="18"/>
              </w:rPr>
            </w:pPr>
            <w:r>
              <w:rPr>
                <w:sz w:val="18"/>
                <w:szCs w:val="18"/>
              </w:rPr>
              <w:t>排气量Nm</w:t>
            </w:r>
            <w:r>
              <w:rPr>
                <w:sz w:val="18"/>
                <w:szCs w:val="18"/>
                <w:vertAlign w:val="superscript"/>
              </w:rPr>
              <w:t>3</w:t>
            </w:r>
            <w:r>
              <w:rPr>
                <w:sz w:val="18"/>
                <w:szCs w:val="18"/>
              </w:rPr>
              <w:t>/h</w:t>
            </w:r>
          </w:p>
        </w:tc>
        <w:tc>
          <w:tcPr>
            <w:tcW w:w="772" w:type="dxa"/>
            <w:vMerge w:val="restart"/>
            <w:shd w:val="clear" w:color="auto" w:fill="auto"/>
            <w:vAlign w:val="center"/>
          </w:tcPr>
          <w:p>
            <w:pPr>
              <w:pStyle w:val="33"/>
              <w:rPr>
                <w:sz w:val="18"/>
                <w:szCs w:val="18"/>
              </w:rPr>
            </w:pPr>
            <w:r>
              <w:rPr>
                <w:sz w:val="18"/>
                <w:szCs w:val="18"/>
              </w:rPr>
              <w:t>运行时间h/a</w:t>
            </w:r>
          </w:p>
        </w:tc>
        <w:tc>
          <w:tcPr>
            <w:tcW w:w="937" w:type="dxa"/>
            <w:vMerge w:val="restart"/>
            <w:shd w:val="clear" w:color="auto" w:fill="auto"/>
            <w:vAlign w:val="center"/>
          </w:tcPr>
          <w:p>
            <w:pPr>
              <w:pStyle w:val="33"/>
              <w:rPr>
                <w:sz w:val="18"/>
                <w:szCs w:val="18"/>
              </w:rPr>
            </w:pPr>
            <w:r>
              <w:rPr>
                <w:sz w:val="18"/>
                <w:szCs w:val="18"/>
              </w:rPr>
              <w:t>污染物</w:t>
            </w:r>
          </w:p>
        </w:tc>
        <w:tc>
          <w:tcPr>
            <w:tcW w:w="1938" w:type="dxa"/>
            <w:vMerge w:val="restart"/>
            <w:shd w:val="clear" w:color="auto" w:fill="auto"/>
            <w:vAlign w:val="center"/>
          </w:tcPr>
          <w:p>
            <w:pPr>
              <w:pStyle w:val="33"/>
              <w:rPr>
                <w:sz w:val="18"/>
                <w:szCs w:val="18"/>
              </w:rPr>
            </w:pPr>
            <w:r>
              <w:rPr>
                <w:sz w:val="18"/>
                <w:szCs w:val="18"/>
              </w:rPr>
              <w:t>环保设（措）施及处理效果</w:t>
            </w:r>
          </w:p>
        </w:tc>
        <w:tc>
          <w:tcPr>
            <w:tcW w:w="2280" w:type="dxa"/>
            <w:gridSpan w:val="2"/>
            <w:shd w:val="clear" w:color="auto" w:fill="auto"/>
            <w:vAlign w:val="center"/>
          </w:tcPr>
          <w:p>
            <w:pPr>
              <w:pStyle w:val="33"/>
              <w:rPr>
                <w:sz w:val="18"/>
                <w:szCs w:val="18"/>
              </w:rPr>
            </w:pPr>
            <w:r>
              <w:rPr>
                <w:sz w:val="18"/>
                <w:szCs w:val="18"/>
              </w:rPr>
              <w:t>污染物排放</w:t>
            </w:r>
          </w:p>
        </w:tc>
        <w:tc>
          <w:tcPr>
            <w:tcW w:w="2995" w:type="dxa"/>
            <w:vMerge w:val="restart"/>
            <w:shd w:val="clear" w:color="auto" w:fill="auto"/>
            <w:vAlign w:val="center"/>
          </w:tcPr>
          <w:p>
            <w:pPr>
              <w:pStyle w:val="33"/>
              <w:rPr>
                <w:sz w:val="18"/>
                <w:szCs w:val="18"/>
              </w:rPr>
            </w:pPr>
            <w:r>
              <w:rPr>
                <w:sz w:val="18"/>
                <w:szCs w:val="18"/>
              </w:rPr>
              <w:t>排放标准</w:t>
            </w:r>
          </w:p>
        </w:tc>
        <w:tc>
          <w:tcPr>
            <w:tcW w:w="1551" w:type="dxa"/>
            <w:gridSpan w:val="2"/>
            <w:shd w:val="clear" w:color="auto" w:fill="auto"/>
            <w:vAlign w:val="center"/>
          </w:tcPr>
          <w:p>
            <w:pPr>
              <w:pStyle w:val="33"/>
              <w:rPr>
                <w:sz w:val="18"/>
                <w:szCs w:val="18"/>
              </w:rPr>
            </w:pPr>
            <w:r>
              <w:rPr>
                <w:sz w:val="18"/>
                <w:szCs w:val="18"/>
              </w:rPr>
              <w:t>标准</w:t>
            </w:r>
            <w:r>
              <w:rPr>
                <w:rFonts w:hint="eastAsia"/>
                <w:sz w:val="18"/>
                <w:szCs w:val="18"/>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shd w:val="clear" w:color="auto" w:fill="auto"/>
            <w:vAlign w:val="center"/>
          </w:tcPr>
          <w:p>
            <w:pPr>
              <w:pStyle w:val="33"/>
              <w:rPr>
                <w:sz w:val="18"/>
                <w:szCs w:val="18"/>
              </w:rPr>
            </w:pPr>
          </w:p>
        </w:tc>
        <w:tc>
          <w:tcPr>
            <w:tcW w:w="828" w:type="dxa"/>
            <w:vMerge w:val="continue"/>
            <w:shd w:val="clear" w:color="auto" w:fill="auto"/>
            <w:vAlign w:val="center"/>
          </w:tcPr>
          <w:p>
            <w:pPr>
              <w:pStyle w:val="33"/>
              <w:rPr>
                <w:sz w:val="18"/>
                <w:szCs w:val="18"/>
              </w:rPr>
            </w:pPr>
          </w:p>
        </w:tc>
        <w:tc>
          <w:tcPr>
            <w:tcW w:w="772" w:type="dxa"/>
            <w:vMerge w:val="continue"/>
            <w:shd w:val="clear" w:color="auto" w:fill="auto"/>
            <w:vAlign w:val="center"/>
          </w:tcPr>
          <w:p>
            <w:pPr>
              <w:pStyle w:val="33"/>
              <w:rPr>
                <w:sz w:val="18"/>
                <w:szCs w:val="18"/>
              </w:rPr>
            </w:pPr>
          </w:p>
        </w:tc>
        <w:tc>
          <w:tcPr>
            <w:tcW w:w="937" w:type="dxa"/>
            <w:vMerge w:val="continue"/>
            <w:vAlign w:val="center"/>
          </w:tcPr>
          <w:p>
            <w:pPr>
              <w:pStyle w:val="33"/>
              <w:rPr>
                <w:sz w:val="18"/>
                <w:szCs w:val="18"/>
              </w:rPr>
            </w:pPr>
          </w:p>
        </w:tc>
        <w:tc>
          <w:tcPr>
            <w:tcW w:w="1938" w:type="dxa"/>
            <w:vMerge w:val="continue"/>
            <w:shd w:val="clear" w:color="auto" w:fill="auto"/>
            <w:vAlign w:val="center"/>
          </w:tcPr>
          <w:p>
            <w:pPr>
              <w:pStyle w:val="33"/>
              <w:rPr>
                <w:sz w:val="18"/>
                <w:szCs w:val="18"/>
              </w:rPr>
            </w:pPr>
          </w:p>
        </w:tc>
        <w:tc>
          <w:tcPr>
            <w:tcW w:w="1100" w:type="dxa"/>
            <w:shd w:val="clear" w:color="auto" w:fill="auto"/>
            <w:vAlign w:val="center"/>
          </w:tcPr>
          <w:p>
            <w:pPr>
              <w:pStyle w:val="33"/>
              <w:rPr>
                <w:sz w:val="18"/>
                <w:szCs w:val="18"/>
              </w:rPr>
            </w:pPr>
            <w:r>
              <w:rPr>
                <w:sz w:val="18"/>
                <w:szCs w:val="18"/>
              </w:rPr>
              <w:t>浓度mg/m</w:t>
            </w:r>
            <w:r>
              <w:rPr>
                <w:sz w:val="18"/>
                <w:szCs w:val="18"/>
                <w:vertAlign w:val="superscript"/>
              </w:rPr>
              <w:t>3</w:t>
            </w:r>
          </w:p>
        </w:tc>
        <w:tc>
          <w:tcPr>
            <w:tcW w:w="1180" w:type="dxa"/>
            <w:shd w:val="clear" w:color="auto" w:fill="auto"/>
            <w:vAlign w:val="center"/>
          </w:tcPr>
          <w:p>
            <w:pPr>
              <w:pStyle w:val="33"/>
              <w:rPr>
                <w:sz w:val="18"/>
                <w:szCs w:val="18"/>
              </w:rPr>
            </w:pPr>
            <w:r>
              <w:rPr>
                <w:sz w:val="18"/>
                <w:szCs w:val="18"/>
              </w:rPr>
              <w:t>排放量t/a</w:t>
            </w:r>
          </w:p>
        </w:tc>
        <w:tc>
          <w:tcPr>
            <w:tcW w:w="2995" w:type="dxa"/>
            <w:vMerge w:val="continue"/>
            <w:shd w:val="clear" w:color="auto" w:fill="auto"/>
            <w:vAlign w:val="center"/>
          </w:tcPr>
          <w:p>
            <w:pPr>
              <w:pStyle w:val="33"/>
              <w:rPr>
                <w:sz w:val="18"/>
                <w:szCs w:val="18"/>
              </w:rPr>
            </w:pPr>
          </w:p>
        </w:tc>
        <w:tc>
          <w:tcPr>
            <w:tcW w:w="862" w:type="dxa"/>
            <w:shd w:val="clear" w:color="auto" w:fill="auto"/>
            <w:vAlign w:val="center"/>
          </w:tcPr>
          <w:p>
            <w:pPr>
              <w:pStyle w:val="33"/>
              <w:rPr>
                <w:sz w:val="18"/>
                <w:szCs w:val="18"/>
              </w:rPr>
            </w:pPr>
            <w:r>
              <w:rPr>
                <w:sz w:val="18"/>
                <w:szCs w:val="18"/>
              </w:rPr>
              <w:t>mg/m</w:t>
            </w:r>
            <w:r>
              <w:rPr>
                <w:sz w:val="18"/>
                <w:szCs w:val="18"/>
                <w:vertAlign w:val="superscript"/>
              </w:rPr>
              <w:t>3</w:t>
            </w:r>
          </w:p>
        </w:tc>
        <w:tc>
          <w:tcPr>
            <w:tcW w:w="689" w:type="dxa"/>
            <w:shd w:val="clear" w:color="auto" w:fill="auto"/>
            <w:vAlign w:val="center"/>
          </w:tcPr>
          <w:p>
            <w:pPr>
              <w:pStyle w:val="33"/>
              <w:rPr>
                <w:sz w:val="18"/>
                <w:szCs w:val="18"/>
              </w:rPr>
            </w:pPr>
            <w:r>
              <w:rPr>
                <w:rFonts w:hint="eastAsia"/>
                <w:sz w:val="18"/>
                <w:szCs w:val="18"/>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shd w:val="clear" w:color="auto" w:fill="auto"/>
            <w:vAlign w:val="center"/>
          </w:tcPr>
          <w:p>
            <w:pPr>
              <w:pStyle w:val="33"/>
              <w:rPr>
                <w:sz w:val="18"/>
                <w:szCs w:val="18"/>
              </w:rPr>
            </w:pPr>
            <w:r>
              <w:rPr>
                <w:rFonts w:hint="eastAsia"/>
                <w:sz w:val="18"/>
                <w:szCs w:val="18"/>
              </w:rPr>
              <w:t>一期工程熔保炉</w:t>
            </w:r>
          </w:p>
        </w:tc>
        <w:tc>
          <w:tcPr>
            <w:tcW w:w="1275" w:type="dxa"/>
            <w:vMerge w:val="restart"/>
            <w:shd w:val="clear" w:color="auto" w:fill="auto"/>
            <w:vAlign w:val="center"/>
          </w:tcPr>
          <w:p>
            <w:pPr>
              <w:pStyle w:val="33"/>
              <w:rPr>
                <w:sz w:val="18"/>
                <w:szCs w:val="18"/>
              </w:rPr>
            </w:pPr>
            <w:r>
              <w:rPr>
                <w:rFonts w:hint="eastAsia"/>
                <w:sz w:val="18"/>
                <w:szCs w:val="18"/>
              </w:rPr>
              <w:t>燃烧废气G1-1、精炼废气G1-2、扒渣废气G1-3</w:t>
            </w:r>
          </w:p>
        </w:tc>
        <w:tc>
          <w:tcPr>
            <w:tcW w:w="1025" w:type="dxa"/>
            <w:vMerge w:val="restart"/>
            <w:shd w:val="clear" w:color="auto" w:fill="auto"/>
            <w:vAlign w:val="center"/>
          </w:tcPr>
          <w:p>
            <w:pPr>
              <w:pStyle w:val="33"/>
              <w:rPr>
                <w:sz w:val="18"/>
                <w:szCs w:val="18"/>
              </w:rPr>
            </w:pPr>
            <w:r>
              <w:rPr>
                <w:sz w:val="18"/>
                <w:szCs w:val="18"/>
              </w:rPr>
              <w:t>H</w:t>
            </w:r>
            <w:r>
              <w:rPr>
                <w:rFonts w:hint="eastAsia"/>
                <w:sz w:val="18"/>
                <w:szCs w:val="18"/>
              </w:rPr>
              <w:t>35</w:t>
            </w:r>
            <w:r>
              <w:rPr>
                <w:sz w:val="18"/>
                <w:szCs w:val="18"/>
              </w:rPr>
              <w:t>Φ2.0</w:t>
            </w:r>
          </w:p>
        </w:tc>
        <w:tc>
          <w:tcPr>
            <w:tcW w:w="828" w:type="dxa"/>
            <w:vMerge w:val="restart"/>
            <w:shd w:val="clear" w:color="auto" w:fill="auto"/>
            <w:vAlign w:val="center"/>
          </w:tcPr>
          <w:p>
            <w:pPr>
              <w:pStyle w:val="33"/>
              <w:rPr>
                <w:sz w:val="18"/>
                <w:szCs w:val="18"/>
              </w:rPr>
            </w:pPr>
            <w:r>
              <w:rPr>
                <w:rFonts w:hint="eastAsia"/>
                <w:sz w:val="18"/>
                <w:szCs w:val="18"/>
              </w:rPr>
              <w:t>130000</w:t>
            </w:r>
          </w:p>
        </w:tc>
        <w:tc>
          <w:tcPr>
            <w:tcW w:w="772" w:type="dxa"/>
            <w:vMerge w:val="restart"/>
            <w:shd w:val="clear" w:color="auto" w:fill="auto"/>
            <w:vAlign w:val="center"/>
          </w:tcPr>
          <w:p>
            <w:pPr>
              <w:pStyle w:val="33"/>
              <w:rPr>
                <w:sz w:val="18"/>
                <w:szCs w:val="18"/>
              </w:rPr>
            </w:pPr>
            <w:r>
              <w:rPr>
                <w:rFonts w:hint="eastAsia"/>
                <w:sz w:val="18"/>
                <w:szCs w:val="18"/>
              </w:rPr>
              <w:t>4950</w:t>
            </w:r>
          </w:p>
        </w:tc>
        <w:tc>
          <w:tcPr>
            <w:tcW w:w="937" w:type="dxa"/>
            <w:shd w:val="clear" w:color="auto" w:fill="auto"/>
            <w:vAlign w:val="center"/>
          </w:tcPr>
          <w:p>
            <w:pPr>
              <w:widowControl/>
              <w:jc w:val="center"/>
              <w:rPr>
                <w:sz w:val="18"/>
                <w:szCs w:val="18"/>
              </w:rPr>
            </w:pPr>
            <w:r>
              <w:rPr>
                <w:rFonts w:hint="eastAsia"/>
                <w:sz w:val="18"/>
                <w:szCs w:val="18"/>
              </w:rPr>
              <w:t>颗粒物</w:t>
            </w:r>
          </w:p>
        </w:tc>
        <w:tc>
          <w:tcPr>
            <w:tcW w:w="1938" w:type="dxa"/>
            <w:vMerge w:val="restart"/>
            <w:shd w:val="clear" w:color="auto" w:fill="auto"/>
            <w:vAlign w:val="center"/>
          </w:tcPr>
          <w:p>
            <w:pPr>
              <w:pStyle w:val="33"/>
              <w:rPr>
                <w:sz w:val="18"/>
                <w:szCs w:val="18"/>
              </w:rPr>
            </w:pPr>
            <w:r>
              <w:rPr>
                <w:rFonts w:hint="eastAsia"/>
                <w:sz w:val="18"/>
                <w:szCs w:val="18"/>
              </w:rPr>
              <w:t>石灰粉+布袋除尘器，颗粒物去除效率98%、氟化物去除效率99%，S</w:t>
            </w:r>
            <w:r>
              <w:rPr>
                <w:sz w:val="18"/>
                <w:szCs w:val="18"/>
              </w:rPr>
              <w:t>O</w:t>
            </w:r>
            <w:r>
              <w:rPr>
                <w:rFonts w:hint="eastAsia"/>
                <w:sz w:val="18"/>
                <w:szCs w:val="18"/>
                <w:vertAlign w:val="subscript"/>
              </w:rPr>
              <w:t>2</w:t>
            </w:r>
            <w:r>
              <w:rPr>
                <w:rFonts w:hint="eastAsia"/>
                <w:sz w:val="18"/>
                <w:szCs w:val="18"/>
              </w:rPr>
              <w:t>、NO</w:t>
            </w:r>
            <w:r>
              <w:rPr>
                <w:rFonts w:hint="eastAsia"/>
                <w:sz w:val="18"/>
                <w:szCs w:val="18"/>
                <w:vertAlign w:val="subscript"/>
              </w:rPr>
              <w:t>x</w:t>
            </w:r>
            <w:r>
              <w:rPr>
                <w:rFonts w:hint="eastAsia"/>
                <w:sz w:val="18"/>
                <w:szCs w:val="18"/>
              </w:rPr>
              <w:t>无去除效率</w:t>
            </w:r>
          </w:p>
        </w:tc>
        <w:tc>
          <w:tcPr>
            <w:tcW w:w="1100" w:type="dxa"/>
            <w:shd w:val="clear" w:color="auto" w:fill="auto"/>
            <w:vAlign w:val="center"/>
          </w:tcPr>
          <w:p>
            <w:pPr>
              <w:pStyle w:val="33"/>
              <w:rPr>
                <w:sz w:val="18"/>
                <w:szCs w:val="18"/>
              </w:rPr>
            </w:pPr>
            <w:r>
              <w:rPr>
                <w:rFonts w:hint="eastAsia"/>
                <w:sz w:val="18"/>
                <w:szCs w:val="18"/>
              </w:rPr>
              <w:t>92.33</w:t>
            </w:r>
          </w:p>
        </w:tc>
        <w:tc>
          <w:tcPr>
            <w:tcW w:w="1180" w:type="dxa"/>
            <w:shd w:val="clear" w:color="auto" w:fill="auto"/>
            <w:vAlign w:val="center"/>
          </w:tcPr>
          <w:p>
            <w:pPr>
              <w:pStyle w:val="32"/>
              <w:spacing w:before="0" w:after="0"/>
              <w:rPr>
                <w:sz w:val="18"/>
                <w:szCs w:val="18"/>
              </w:rPr>
            </w:pPr>
            <w:r>
              <w:rPr>
                <w:rFonts w:hint="eastAsia"/>
                <w:sz w:val="18"/>
                <w:szCs w:val="18"/>
              </w:rPr>
              <w:t>42.73</w:t>
            </w:r>
          </w:p>
        </w:tc>
        <w:tc>
          <w:tcPr>
            <w:tcW w:w="2995" w:type="dxa"/>
            <w:vMerge w:val="restart"/>
            <w:shd w:val="clear" w:color="auto" w:fill="auto"/>
            <w:vAlign w:val="center"/>
          </w:tcPr>
          <w:p>
            <w:pPr>
              <w:pStyle w:val="33"/>
              <w:rPr>
                <w:sz w:val="18"/>
                <w:szCs w:val="18"/>
              </w:rPr>
            </w:pPr>
            <w:r>
              <w:rPr>
                <w:rFonts w:hint="eastAsia"/>
                <w:sz w:val="18"/>
                <w:szCs w:val="18"/>
              </w:rPr>
              <w:t>颗粒物、SO</w:t>
            </w:r>
            <w:r>
              <w:rPr>
                <w:rFonts w:hint="eastAsia"/>
                <w:sz w:val="18"/>
                <w:szCs w:val="18"/>
                <w:vertAlign w:val="subscript"/>
              </w:rPr>
              <w:t>2</w:t>
            </w:r>
            <w:r>
              <w:rPr>
                <w:rFonts w:hint="eastAsia"/>
                <w:sz w:val="18"/>
                <w:szCs w:val="18"/>
              </w:rPr>
              <w:t>执行《工业炉窑大气污染物排放标准》（GB9078-1996），</w:t>
            </w:r>
            <w:r>
              <w:rPr>
                <w:bCs/>
                <w:sz w:val="18"/>
                <w:szCs w:val="18"/>
              </w:rPr>
              <w:t>NO</w:t>
            </w:r>
            <w:r>
              <w:rPr>
                <w:rFonts w:hint="eastAsia"/>
                <w:bCs/>
                <w:sz w:val="18"/>
                <w:szCs w:val="18"/>
                <w:vertAlign w:val="subscript"/>
              </w:rPr>
              <w:t>x</w:t>
            </w:r>
            <w:r>
              <w:rPr>
                <w:bCs/>
                <w:sz w:val="18"/>
                <w:szCs w:val="18"/>
              </w:rPr>
              <w:t>、HCl、氟化物、Cl</w:t>
            </w:r>
            <w:r>
              <w:rPr>
                <w:bCs/>
                <w:sz w:val="18"/>
                <w:szCs w:val="18"/>
                <w:vertAlign w:val="subscript"/>
              </w:rPr>
              <w:t>2</w:t>
            </w:r>
            <w:r>
              <w:rPr>
                <w:rFonts w:hint="eastAsia"/>
                <w:sz w:val="18"/>
                <w:szCs w:val="18"/>
              </w:rPr>
              <w:t>执行《大气污染物综合排放标准》（GB16297-1996）表2二级标准的要求。</w:t>
            </w:r>
          </w:p>
        </w:tc>
        <w:tc>
          <w:tcPr>
            <w:tcW w:w="862" w:type="dxa"/>
            <w:shd w:val="clear" w:color="auto" w:fill="auto"/>
            <w:vAlign w:val="center"/>
          </w:tcPr>
          <w:p>
            <w:pPr>
              <w:widowControl/>
              <w:jc w:val="center"/>
              <w:rPr>
                <w:sz w:val="18"/>
                <w:szCs w:val="18"/>
              </w:rPr>
            </w:pPr>
            <w:r>
              <w:rPr>
                <w:rFonts w:hint="eastAsia"/>
                <w:sz w:val="18"/>
                <w:szCs w:val="18"/>
              </w:rPr>
              <w:t>100</w:t>
            </w:r>
          </w:p>
        </w:tc>
        <w:tc>
          <w:tcPr>
            <w:tcW w:w="689" w:type="dxa"/>
            <w:shd w:val="clear" w:color="auto" w:fill="auto"/>
            <w:vAlign w:val="center"/>
          </w:tcPr>
          <w:p>
            <w:pPr>
              <w:widowControl/>
              <w:jc w:val="center"/>
              <w:rPr>
                <w:sz w:val="18"/>
                <w:szCs w:val="18"/>
              </w:rPr>
            </w:pPr>
            <w:r>
              <w:rPr>
                <w:rFonts w:hint="eastAsia"/>
                <w:sz w:val="18"/>
                <w:szCs w:val="18"/>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141" w:type="dxa"/>
            <w:vMerge w:val="continue"/>
            <w:shd w:val="clear" w:color="auto" w:fill="auto"/>
            <w:vAlign w:val="center"/>
          </w:tcPr>
          <w:p>
            <w:pPr>
              <w:pStyle w:val="33"/>
              <w:rPr>
                <w:sz w:val="18"/>
                <w:szCs w:val="18"/>
              </w:rPr>
            </w:pPr>
          </w:p>
        </w:tc>
        <w:tc>
          <w:tcPr>
            <w:tcW w:w="1275" w:type="dxa"/>
            <w:vMerge w:val="continue"/>
            <w:shd w:val="clear" w:color="auto" w:fill="auto"/>
            <w:vAlign w:val="center"/>
          </w:tcPr>
          <w:p>
            <w:pPr>
              <w:pStyle w:val="33"/>
              <w:rPr>
                <w:sz w:val="18"/>
                <w:szCs w:val="18"/>
              </w:rPr>
            </w:pPr>
          </w:p>
        </w:tc>
        <w:tc>
          <w:tcPr>
            <w:tcW w:w="1025" w:type="dxa"/>
            <w:vMerge w:val="continue"/>
            <w:shd w:val="clear" w:color="auto" w:fill="auto"/>
            <w:vAlign w:val="center"/>
          </w:tcPr>
          <w:p>
            <w:pPr>
              <w:pStyle w:val="33"/>
              <w:rPr>
                <w:sz w:val="18"/>
                <w:szCs w:val="18"/>
              </w:rPr>
            </w:pPr>
          </w:p>
        </w:tc>
        <w:tc>
          <w:tcPr>
            <w:tcW w:w="828" w:type="dxa"/>
            <w:vMerge w:val="continue"/>
            <w:shd w:val="clear" w:color="auto" w:fill="auto"/>
            <w:vAlign w:val="center"/>
          </w:tcPr>
          <w:p>
            <w:pPr>
              <w:pStyle w:val="33"/>
              <w:rPr>
                <w:sz w:val="18"/>
                <w:szCs w:val="18"/>
              </w:rPr>
            </w:pPr>
          </w:p>
        </w:tc>
        <w:tc>
          <w:tcPr>
            <w:tcW w:w="772" w:type="dxa"/>
            <w:vMerge w:val="continue"/>
            <w:shd w:val="clear" w:color="auto" w:fill="auto"/>
            <w:vAlign w:val="center"/>
          </w:tcPr>
          <w:p>
            <w:pPr>
              <w:pStyle w:val="33"/>
              <w:rPr>
                <w:sz w:val="18"/>
                <w:szCs w:val="18"/>
              </w:rPr>
            </w:pPr>
          </w:p>
        </w:tc>
        <w:tc>
          <w:tcPr>
            <w:tcW w:w="937" w:type="dxa"/>
            <w:shd w:val="clear" w:color="auto" w:fill="auto"/>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1938" w:type="dxa"/>
            <w:vMerge w:val="continue"/>
            <w:shd w:val="clear" w:color="auto" w:fill="auto"/>
            <w:vAlign w:val="center"/>
          </w:tcPr>
          <w:p>
            <w:pPr>
              <w:pStyle w:val="33"/>
              <w:rPr>
                <w:sz w:val="18"/>
                <w:szCs w:val="18"/>
              </w:rPr>
            </w:pPr>
          </w:p>
        </w:tc>
        <w:tc>
          <w:tcPr>
            <w:tcW w:w="1100" w:type="dxa"/>
            <w:shd w:val="clear" w:color="auto" w:fill="auto"/>
            <w:vAlign w:val="center"/>
          </w:tcPr>
          <w:p>
            <w:pPr>
              <w:pStyle w:val="33"/>
              <w:rPr>
                <w:sz w:val="18"/>
                <w:szCs w:val="18"/>
              </w:rPr>
            </w:pPr>
            <w:r>
              <w:rPr>
                <w:rFonts w:hint="eastAsia"/>
                <w:sz w:val="18"/>
                <w:szCs w:val="18"/>
              </w:rPr>
              <w:t>9.85</w:t>
            </w:r>
          </w:p>
        </w:tc>
        <w:tc>
          <w:tcPr>
            <w:tcW w:w="1180" w:type="dxa"/>
            <w:shd w:val="clear" w:color="auto" w:fill="auto"/>
            <w:vAlign w:val="center"/>
          </w:tcPr>
          <w:p>
            <w:pPr>
              <w:pStyle w:val="32"/>
              <w:spacing w:before="0" w:after="0"/>
              <w:rPr>
                <w:sz w:val="18"/>
                <w:szCs w:val="18"/>
              </w:rPr>
            </w:pPr>
            <w:r>
              <w:rPr>
                <w:rFonts w:hint="eastAsia"/>
                <w:sz w:val="18"/>
                <w:szCs w:val="18"/>
              </w:rPr>
              <w:t>10.24</w:t>
            </w:r>
          </w:p>
        </w:tc>
        <w:tc>
          <w:tcPr>
            <w:tcW w:w="2995" w:type="dxa"/>
            <w:vMerge w:val="continue"/>
            <w:shd w:val="clear" w:color="auto" w:fill="auto"/>
            <w:vAlign w:val="center"/>
          </w:tcPr>
          <w:p>
            <w:pPr>
              <w:pStyle w:val="33"/>
              <w:rPr>
                <w:sz w:val="18"/>
                <w:szCs w:val="18"/>
              </w:rPr>
            </w:pPr>
          </w:p>
        </w:tc>
        <w:tc>
          <w:tcPr>
            <w:tcW w:w="862" w:type="dxa"/>
            <w:shd w:val="clear" w:color="auto" w:fill="auto"/>
            <w:vAlign w:val="center"/>
          </w:tcPr>
          <w:p>
            <w:pPr>
              <w:jc w:val="center"/>
              <w:rPr>
                <w:sz w:val="18"/>
                <w:szCs w:val="18"/>
              </w:rPr>
            </w:pPr>
            <w:r>
              <w:rPr>
                <w:rFonts w:hint="eastAsia"/>
                <w:sz w:val="18"/>
                <w:szCs w:val="18"/>
              </w:rPr>
              <w:t>550</w:t>
            </w:r>
          </w:p>
        </w:tc>
        <w:tc>
          <w:tcPr>
            <w:tcW w:w="689" w:type="dxa"/>
            <w:shd w:val="clear" w:color="auto" w:fill="auto"/>
            <w:vAlign w:val="center"/>
          </w:tcPr>
          <w:p>
            <w:pPr>
              <w:jc w:val="center"/>
              <w:rPr>
                <w:sz w:val="18"/>
                <w:szCs w:val="18"/>
              </w:rPr>
            </w:pPr>
            <w:r>
              <w:rPr>
                <w:rFonts w:hint="eastAsia"/>
                <w:sz w:val="18"/>
                <w:szCs w:val="1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shd w:val="clear" w:color="auto" w:fill="auto"/>
            <w:vAlign w:val="center"/>
          </w:tcPr>
          <w:p>
            <w:pPr>
              <w:pStyle w:val="33"/>
              <w:rPr>
                <w:sz w:val="18"/>
                <w:szCs w:val="18"/>
              </w:rPr>
            </w:pPr>
          </w:p>
        </w:tc>
        <w:tc>
          <w:tcPr>
            <w:tcW w:w="1275" w:type="dxa"/>
            <w:vMerge w:val="continue"/>
            <w:shd w:val="clear" w:color="auto" w:fill="auto"/>
            <w:vAlign w:val="center"/>
          </w:tcPr>
          <w:p>
            <w:pPr>
              <w:pStyle w:val="33"/>
              <w:rPr>
                <w:sz w:val="18"/>
                <w:szCs w:val="18"/>
              </w:rPr>
            </w:pPr>
          </w:p>
        </w:tc>
        <w:tc>
          <w:tcPr>
            <w:tcW w:w="1025" w:type="dxa"/>
            <w:vMerge w:val="continue"/>
            <w:shd w:val="clear" w:color="auto" w:fill="auto"/>
            <w:vAlign w:val="center"/>
          </w:tcPr>
          <w:p>
            <w:pPr>
              <w:pStyle w:val="33"/>
              <w:rPr>
                <w:sz w:val="18"/>
                <w:szCs w:val="18"/>
              </w:rPr>
            </w:pPr>
          </w:p>
        </w:tc>
        <w:tc>
          <w:tcPr>
            <w:tcW w:w="828" w:type="dxa"/>
            <w:vMerge w:val="continue"/>
            <w:shd w:val="clear" w:color="auto" w:fill="auto"/>
            <w:vAlign w:val="center"/>
          </w:tcPr>
          <w:p>
            <w:pPr>
              <w:pStyle w:val="33"/>
              <w:rPr>
                <w:sz w:val="18"/>
                <w:szCs w:val="18"/>
              </w:rPr>
            </w:pPr>
          </w:p>
        </w:tc>
        <w:tc>
          <w:tcPr>
            <w:tcW w:w="772" w:type="dxa"/>
            <w:vMerge w:val="continue"/>
            <w:shd w:val="clear" w:color="auto" w:fill="auto"/>
            <w:vAlign w:val="center"/>
          </w:tcPr>
          <w:p>
            <w:pPr>
              <w:pStyle w:val="33"/>
              <w:rPr>
                <w:sz w:val="18"/>
                <w:szCs w:val="18"/>
              </w:rPr>
            </w:pPr>
          </w:p>
        </w:tc>
        <w:tc>
          <w:tcPr>
            <w:tcW w:w="937" w:type="dxa"/>
            <w:shd w:val="clear" w:color="auto" w:fill="auto"/>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1938" w:type="dxa"/>
            <w:vMerge w:val="continue"/>
            <w:shd w:val="clear" w:color="auto" w:fill="auto"/>
            <w:vAlign w:val="center"/>
          </w:tcPr>
          <w:p>
            <w:pPr>
              <w:pStyle w:val="33"/>
              <w:rPr>
                <w:sz w:val="18"/>
                <w:szCs w:val="18"/>
              </w:rPr>
            </w:pPr>
          </w:p>
        </w:tc>
        <w:tc>
          <w:tcPr>
            <w:tcW w:w="1100" w:type="dxa"/>
            <w:shd w:val="clear" w:color="auto" w:fill="auto"/>
            <w:vAlign w:val="center"/>
          </w:tcPr>
          <w:p>
            <w:pPr>
              <w:pStyle w:val="33"/>
              <w:rPr>
                <w:sz w:val="18"/>
                <w:szCs w:val="18"/>
              </w:rPr>
            </w:pPr>
            <w:r>
              <w:rPr>
                <w:rFonts w:hint="eastAsia"/>
                <w:sz w:val="18"/>
                <w:szCs w:val="18"/>
              </w:rPr>
              <w:t>39.06</w:t>
            </w:r>
          </w:p>
        </w:tc>
        <w:tc>
          <w:tcPr>
            <w:tcW w:w="1180" w:type="dxa"/>
            <w:shd w:val="clear" w:color="auto" w:fill="auto"/>
            <w:vAlign w:val="center"/>
          </w:tcPr>
          <w:p>
            <w:pPr>
              <w:pStyle w:val="32"/>
              <w:spacing w:before="0" w:after="0"/>
              <w:rPr>
                <w:sz w:val="18"/>
                <w:szCs w:val="18"/>
              </w:rPr>
            </w:pPr>
            <w:r>
              <w:rPr>
                <w:rFonts w:hint="eastAsia"/>
                <w:sz w:val="18"/>
                <w:szCs w:val="18"/>
              </w:rPr>
              <w:t>40.63</w:t>
            </w:r>
          </w:p>
        </w:tc>
        <w:tc>
          <w:tcPr>
            <w:tcW w:w="2995" w:type="dxa"/>
            <w:vMerge w:val="continue"/>
            <w:shd w:val="clear" w:color="auto" w:fill="auto"/>
            <w:vAlign w:val="center"/>
          </w:tcPr>
          <w:p>
            <w:pPr>
              <w:pStyle w:val="33"/>
              <w:rPr>
                <w:sz w:val="18"/>
                <w:szCs w:val="18"/>
              </w:rPr>
            </w:pPr>
          </w:p>
        </w:tc>
        <w:tc>
          <w:tcPr>
            <w:tcW w:w="862" w:type="dxa"/>
            <w:shd w:val="clear" w:color="auto" w:fill="auto"/>
            <w:vAlign w:val="center"/>
          </w:tcPr>
          <w:p>
            <w:pPr>
              <w:jc w:val="center"/>
              <w:rPr>
                <w:sz w:val="18"/>
                <w:szCs w:val="18"/>
              </w:rPr>
            </w:pPr>
            <w:r>
              <w:rPr>
                <w:rFonts w:hint="eastAsia"/>
                <w:sz w:val="18"/>
                <w:szCs w:val="18"/>
              </w:rPr>
              <w:t>240</w:t>
            </w:r>
          </w:p>
        </w:tc>
        <w:tc>
          <w:tcPr>
            <w:tcW w:w="689" w:type="dxa"/>
            <w:shd w:val="clear" w:color="auto" w:fill="auto"/>
            <w:vAlign w:val="center"/>
          </w:tcPr>
          <w:p>
            <w:pPr>
              <w:jc w:val="center"/>
              <w:rPr>
                <w:sz w:val="18"/>
                <w:szCs w:val="18"/>
              </w:rPr>
            </w:pPr>
            <w:r>
              <w:rPr>
                <w:rFonts w:hint="eastAsia"/>
                <w:sz w:val="18"/>
                <w:szCs w:val="18"/>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shd w:val="clear" w:color="auto" w:fill="auto"/>
            <w:vAlign w:val="center"/>
          </w:tcPr>
          <w:p>
            <w:pPr>
              <w:pStyle w:val="33"/>
              <w:rPr>
                <w:sz w:val="18"/>
                <w:szCs w:val="18"/>
              </w:rPr>
            </w:pPr>
          </w:p>
        </w:tc>
        <w:tc>
          <w:tcPr>
            <w:tcW w:w="1275" w:type="dxa"/>
            <w:vMerge w:val="continue"/>
            <w:shd w:val="clear" w:color="auto" w:fill="auto"/>
            <w:vAlign w:val="center"/>
          </w:tcPr>
          <w:p>
            <w:pPr>
              <w:pStyle w:val="33"/>
              <w:rPr>
                <w:sz w:val="18"/>
                <w:szCs w:val="18"/>
              </w:rPr>
            </w:pPr>
          </w:p>
        </w:tc>
        <w:tc>
          <w:tcPr>
            <w:tcW w:w="1025" w:type="dxa"/>
            <w:vMerge w:val="continue"/>
            <w:shd w:val="clear" w:color="auto" w:fill="auto"/>
            <w:vAlign w:val="center"/>
          </w:tcPr>
          <w:p>
            <w:pPr>
              <w:pStyle w:val="33"/>
              <w:rPr>
                <w:sz w:val="18"/>
                <w:szCs w:val="18"/>
              </w:rPr>
            </w:pPr>
          </w:p>
        </w:tc>
        <w:tc>
          <w:tcPr>
            <w:tcW w:w="828" w:type="dxa"/>
            <w:vMerge w:val="continue"/>
            <w:shd w:val="clear" w:color="auto" w:fill="auto"/>
            <w:vAlign w:val="center"/>
          </w:tcPr>
          <w:p>
            <w:pPr>
              <w:pStyle w:val="33"/>
              <w:rPr>
                <w:sz w:val="18"/>
                <w:szCs w:val="18"/>
              </w:rPr>
            </w:pPr>
          </w:p>
        </w:tc>
        <w:tc>
          <w:tcPr>
            <w:tcW w:w="772" w:type="dxa"/>
            <w:vMerge w:val="continue"/>
            <w:shd w:val="clear" w:color="auto" w:fill="auto"/>
            <w:vAlign w:val="center"/>
          </w:tcPr>
          <w:p>
            <w:pPr>
              <w:pStyle w:val="33"/>
              <w:rPr>
                <w:sz w:val="18"/>
                <w:szCs w:val="18"/>
              </w:rPr>
            </w:pPr>
          </w:p>
        </w:tc>
        <w:tc>
          <w:tcPr>
            <w:tcW w:w="937" w:type="dxa"/>
            <w:shd w:val="clear" w:color="auto" w:fill="auto"/>
            <w:vAlign w:val="center"/>
          </w:tcPr>
          <w:p>
            <w:pPr>
              <w:widowControl/>
              <w:jc w:val="center"/>
              <w:rPr>
                <w:sz w:val="18"/>
                <w:szCs w:val="18"/>
              </w:rPr>
            </w:pPr>
            <w:r>
              <w:rPr>
                <w:rFonts w:hint="eastAsia"/>
                <w:sz w:val="18"/>
                <w:szCs w:val="18"/>
              </w:rPr>
              <w:t>氟化物</w:t>
            </w:r>
          </w:p>
        </w:tc>
        <w:tc>
          <w:tcPr>
            <w:tcW w:w="1938" w:type="dxa"/>
            <w:vMerge w:val="continue"/>
            <w:shd w:val="clear" w:color="auto" w:fill="auto"/>
            <w:vAlign w:val="center"/>
          </w:tcPr>
          <w:p>
            <w:pPr>
              <w:pStyle w:val="33"/>
              <w:rPr>
                <w:sz w:val="18"/>
                <w:szCs w:val="18"/>
              </w:rPr>
            </w:pPr>
          </w:p>
        </w:tc>
        <w:tc>
          <w:tcPr>
            <w:tcW w:w="1100" w:type="dxa"/>
            <w:shd w:val="clear" w:color="auto" w:fill="auto"/>
            <w:vAlign w:val="center"/>
          </w:tcPr>
          <w:p>
            <w:pPr>
              <w:pStyle w:val="33"/>
              <w:rPr>
                <w:sz w:val="18"/>
                <w:szCs w:val="18"/>
              </w:rPr>
            </w:pPr>
            <w:r>
              <w:rPr>
                <w:rFonts w:hint="eastAsia"/>
                <w:sz w:val="18"/>
                <w:szCs w:val="18"/>
              </w:rPr>
              <w:t>0.033</w:t>
            </w:r>
          </w:p>
        </w:tc>
        <w:tc>
          <w:tcPr>
            <w:tcW w:w="1180" w:type="dxa"/>
            <w:shd w:val="clear" w:color="auto" w:fill="auto"/>
            <w:vAlign w:val="center"/>
          </w:tcPr>
          <w:p>
            <w:pPr>
              <w:pStyle w:val="32"/>
              <w:spacing w:before="0" w:after="0"/>
              <w:rPr>
                <w:sz w:val="18"/>
                <w:szCs w:val="18"/>
              </w:rPr>
            </w:pPr>
            <w:r>
              <w:rPr>
                <w:rFonts w:hint="eastAsia"/>
                <w:sz w:val="18"/>
                <w:szCs w:val="18"/>
              </w:rPr>
              <w:t>0.021</w:t>
            </w:r>
          </w:p>
        </w:tc>
        <w:tc>
          <w:tcPr>
            <w:tcW w:w="2995" w:type="dxa"/>
            <w:vMerge w:val="continue"/>
            <w:shd w:val="clear" w:color="auto" w:fill="auto"/>
            <w:vAlign w:val="center"/>
          </w:tcPr>
          <w:p>
            <w:pPr>
              <w:pStyle w:val="33"/>
              <w:rPr>
                <w:sz w:val="18"/>
                <w:szCs w:val="18"/>
              </w:rPr>
            </w:pPr>
          </w:p>
        </w:tc>
        <w:tc>
          <w:tcPr>
            <w:tcW w:w="862" w:type="dxa"/>
            <w:shd w:val="clear" w:color="auto" w:fill="auto"/>
            <w:vAlign w:val="center"/>
          </w:tcPr>
          <w:p>
            <w:pPr>
              <w:jc w:val="center"/>
              <w:rPr>
                <w:sz w:val="18"/>
                <w:szCs w:val="18"/>
              </w:rPr>
            </w:pPr>
            <w:r>
              <w:rPr>
                <w:rFonts w:hint="eastAsia"/>
                <w:sz w:val="18"/>
                <w:szCs w:val="18"/>
              </w:rPr>
              <w:t>6</w:t>
            </w:r>
          </w:p>
        </w:tc>
        <w:tc>
          <w:tcPr>
            <w:tcW w:w="689" w:type="dxa"/>
            <w:shd w:val="clear" w:color="auto" w:fill="auto"/>
            <w:vAlign w:val="center"/>
          </w:tcPr>
          <w:p>
            <w:pPr>
              <w:jc w:val="center"/>
              <w:rPr>
                <w:sz w:val="18"/>
                <w:szCs w:val="18"/>
              </w:rPr>
            </w:pPr>
            <w:r>
              <w:rPr>
                <w:rFonts w:hint="eastAsia"/>
                <w:sz w:val="18"/>
                <w:szCs w:val="18"/>
              </w:rPr>
              <w:t>0.795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H</w:t>
            </w:r>
            <w:r>
              <w:rPr>
                <w:sz w:val="18"/>
                <w:szCs w:val="18"/>
              </w:rPr>
              <w:t>C</w:t>
            </w:r>
            <w:r>
              <w:rPr>
                <w:rFonts w:hint="eastAsia"/>
                <w:sz w:val="18"/>
                <w:szCs w:val="18"/>
              </w:rPr>
              <w:t>l</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1.64</w:t>
            </w:r>
          </w:p>
        </w:tc>
        <w:tc>
          <w:tcPr>
            <w:tcW w:w="1180" w:type="dxa"/>
            <w:vAlign w:val="center"/>
          </w:tcPr>
          <w:p>
            <w:pPr>
              <w:pStyle w:val="32"/>
              <w:spacing w:before="0" w:after="0"/>
              <w:rPr>
                <w:sz w:val="18"/>
                <w:szCs w:val="18"/>
              </w:rPr>
            </w:pPr>
            <w:r>
              <w:rPr>
                <w:rFonts w:hint="eastAsia"/>
                <w:sz w:val="18"/>
                <w:szCs w:val="18"/>
              </w:rPr>
              <w:t>1.06</w:t>
            </w:r>
          </w:p>
        </w:tc>
        <w:tc>
          <w:tcPr>
            <w:tcW w:w="2995" w:type="dxa"/>
            <w:vMerge w:val="continue"/>
            <w:vAlign w:val="center"/>
          </w:tcPr>
          <w:p>
            <w:pPr>
              <w:pStyle w:val="33"/>
              <w:rPr>
                <w:sz w:val="18"/>
                <w:szCs w:val="18"/>
              </w:rPr>
            </w:pPr>
          </w:p>
        </w:tc>
        <w:tc>
          <w:tcPr>
            <w:tcW w:w="862" w:type="dxa"/>
            <w:vAlign w:val="center"/>
          </w:tcPr>
          <w:p>
            <w:pPr>
              <w:jc w:val="center"/>
              <w:rPr>
                <w:sz w:val="18"/>
                <w:szCs w:val="18"/>
              </w:rPr>
            </w:pPr>
            <w:r>
              <w:rPr>
                <w:rFonts w:hint="eastAsia"/>
                <w:sz w:val="18"/>
                <w:szCs w:val="18"/>
              </w:rPr>
              <w:t>100</w:t>
            </w:r>
          </w:p>
        </w:tc>
        <w:tc>
          <w:tcPr>
            <w:tcW w:w="689" w:type="dxa"/>
            <w:vAlign w:val="center"/>
          </w:tcPr>
          <w:p>
            <w:pPr>
              <w:jc w:val="center"/>
              <w:rPr>
                <w:sz w:val="18"/>
                <w:szCs w:val="18"/>
              </w:rPr>
            </w:pPr>
            <w:r>
              <w:rPr>
                <w:rFonts w:hint="eastAsia"/>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sz w:val="18"/>
                <w:szCs w:val="18"/>
              </w:rPr>
              <w:t>C</w:t>
            </w:r>
            <w:r>
              <w:rPr>
                <w:rFonts w:hint="eastAsia"/>
                <w:sz w:val="18"/>
                <w:szCs w:val="18"/>
              </w:rPr>
              <w:t>l</w:t>
            </w:r>
            <w:r>
              <w:rPr>
                <w:rFonts w:hint="eastAsia"/>
                <w:sz w:val="18"/>
                <w:szCs w:val="18"/>
                <w:vertAlign w:val="subscript"/>
              </w:rPr>
              <w:t>2</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0.89</w:t>
            </w:r>
          </w:p>
        </w:tc>
        <w:tc>
          <w:tcPr>
            <w:tcW w:w="1180" w:type="dxa"/>
            <w:vAlign w:val="center"/>
          </w:tcPr>
          <w:p>
            <w:pPr>
              <w:pStyle w:val="32"/>
              <w:spacing w:before="0" w:after="0"/>
              <w:rPr>
                <w:sz w:val="18"/>
                <w:szCs w:val="18"/>
              </w:rPr>
            </w:pPr>
            <w:r>
              <w:rPr>
                <w:rFonts w:hint="eastAsia"/>
                <w:sz w:val="18"/>
                <w:szCs w:val="18"/>
              </w:rPr>
              <w:t>0.57</w:t>
            </w:r>
          </w:p>
        </w:tc>
        <w:tc>
          <w:tcPr>
            <w:tcW w:w="2995" w:type="dxa"/>
            <w:vMerge w:val="continue"/>
            <w:vAlign w:val="center"/>
          </w:tcPr>
          <w:p>
            <w:pPr>
              <w:pStyle w:val="33"/>
              <w:rPr>
                <w:sz w:val="18"/>
                <w:szCs w:val="18"/>
              </w:rPr>
            </w:pPr>
          </w:p>
        </w:tc>
        <w:tc>
          <w:tcPr>
            <w:tcW w:w="862" w:type="dxa"/>
            <w:vAlign w:val="center"/>
          </w:tcPr>
          <w:p>
            <w:pPr>
              <w:jc w:val="center"/>
              <w:rPr>
                <w:sz w:val="18"/>
                <w:szCs w:val="18"/>
              </w:rPr>
            </w:pPr>
            <w:r>
              <w:rPr>
                <w:rFonts w:hint="eastAsia"/>
                <w:sz w:val="18"/>
                <w:szCs w:val="18"/>
              </w:rPr>
              <w:t>65</w:t>
            </w:r>
          </w:p>
        </w:tc>
        <w:tc>
          <w:tcPr>
            <w:tcW w:w="689" w:type="dxa"/>
            <w:vAlign w:val="center"/>
          </w:tcPr>
          <w:p>
            <w:pPr>
              <w:jc w:val="center"/>
              <w:rPr>
                <w:sz w:val="18"/>
                <w:szCs w:val="18"/>
              </w:rPr>
            </w:pPr>
            <w:r>
              <w:rPr>
                <w:rFonts w:hint="eastAsia"/>
                <w:sz w:val="18"/>
                <w:szCs w:val="18"/>
              </w:rPr>
              <w:t>1.885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Align w:val="center"/>
          </w:tcPr>
          <w:p>
            <w:pPr>
              <w:pStyle w:val="33"/>
              <w:rPr>
                <w:sz w:val="18"/>
                <w:szCs w:val="18"/>
              </w:rPr>
            </w:pPr>
            <w:r>
              <w:rPr>
                <w:rFonts w:hint="eastAsia"/>
                <w:sz w:val="18"/>
                <w:szCs w:val="18"/>
              </w:rPr>
              <w:t>一期工程铝灰分离机</w:t>
            </w:r>
          </w:p>
        </w:tc>
        <w:tc>
          <w:tcPr>
            <w:tcW w:w="1275" w:type="dxa"/>
            <w:vAlign w:val="center"/>
          </w:tcPr>
          <w:p>
            <w:pPr>
              <w:pStyle w:val="33"/>
              <w:rPr>
                <w:sz w:val="18"/>
                <w:szCs w:val="18"/>
              </w:rPr>
            </w:pPr>
            <w:r>
              <w:rPr>
                <w:rFonts w:hint="eastAsia"/>
                <w:sz w:val="18"/>
                <w:szCs w:val="18"/>
              </w:rPr>
              <w:t>铝灰分离废气G1-4</w:t>
            </w:r>
          </w:p>
        </w:tc>
        <w:tc>
          <w:tcPr>
            <w:tcW w:w="1025" w:type="dxa"/>
            <w:vAlign w:val="center"/>
          </w:tcPr>
          <w:p>
            <w:pPr>
              <w:pStyle w:val="33"/>
              <w:rPr>
                <w:sz w:val="18"/>
                <w:szCs w:val="18"/>
              </w:rPr>
            </w:pPr>
            <w:r>
              <w:rPr>
                <w:sz w:val="18"/>
                <w:szCs w:val="18"/>
              </w:rPr>
              <w:t>H</w:t>
            </w:r>
            <w:r>
              <w:rPr>
                <w:rFonts w:hint="eastAsia"/>
                <w:sz w:val="18"/>
                <w:szCs w:val="18"/>
              </w:rPr>
              <w:t>20</w:t>
            </w:r>
            <w:r>
              <w:rPr>
                <w:sz w:val="18"/>
                <w:szCs w:val="18"/>
              </w:rPr>
              <w:t>Φ</w:t>
            </w:r>
            <w:r>
              <w:rPr>
                <w:rFonts w:hint="eastAsia"/>
                <w:sz w:val="18"/>
                <w:szCs w:val="18"/>
              </w:rPr>
              <w:t>1.6</w:t>
            </w:r>
          </w:p>
        </w:tc>
        <w:tc>
          <w:tcPr>
            <w:tcW w:w="828" w:type="dxa"/>
            <w:vAlign w:val="center"/>
          </w:tcPr>
          <w:p>
            <w:pPr>
              <w:pStyle w:val="33"/>
              <w:rPr>
                <w:sz w:val="18"/>
                <w:szCs w:val="18"/>
              </w:rPr>
            </w:pPr>
            <w:r>
              <w:rPr>
                <w:sz w:val="18"/>
                <w:szCs w:val="18"/>
              </w:rPr>
              <w:t>1</w:t>
            </w:r>
            <w:r>
              <w:rPr>
                <w:rFonts w:hint="eastAsia"/>
                <w:sz w:val="18"/>
                <w:szCs w:val="18"/>
              </w:rPr>
              <w:t>0000</w:t>
            </w:r>
          </w:p>
        </w:tc>
        <w:tc>
          <w:tcPr>
            <w:tcW w:w="772" w:type="dxa"/>
            <w:vAlign w:val="center"/>
          </w:tcPr>
          <w:p>
            <w:pPr>
              <w:pStyle w:val="33"/>
              <w:rPr>
                <w:sz w:val="18"/>
                <w:szCs w:val="18"/>
              </w:rPr>
            </w:pPr>
            <w:r>
              <w:rPr>
                <w:rFonts w:hint="eastAsia"/>
                <w:sz w:val="18"/>
                <w:szCs w:val="18"/>
              </w:rPr>
              <w:t>2640</w:t>
            </w:r>
          </w:p>
        </w:tc>
        <w:tc>
          <w:tcPr>
            <w:tcW w:w="937" w:type="dxa"/>
            <w:vAlign w:val="center"/>
          </w:tcPr>
          <w:p>
            <w:pPr>
              <w:widowControl/>
              <w:jc w:val="center"/>
              <w:rPr>
                <w:sz w:val="18"/>
                <w:szCs w:val="18"/>
              </w:rPr>
            </w:pPr>
            <w:r>
              <w:rPr>
                <w:rFonts w:hint="eastAsia"/>
                <w:sz w:val="18"/>
                <w:szCs w:val="18"/>
              </w:rPr>
              <w:t>颗粒物</w:t>
            </w:r>
          </w:p>
        </w:tc>
        <w:tc>
          <w:tcPr>
            <w:tcW w:w="1938" w:type="dxa"/>
            <w:vAlign w:val="center"/>
          </w:tcPr>
          <w:p>
            <w:pPr>
              <w:pStyle w:val="32"/>
              <w:spacing w:before="0" w:after="0"/>
              <w:rPr>
                <w:sz w:val="18"/>
                <w:szCs w:val="18"/>
              </w:rPr>
            </w:pPr>
            <w:r>
              <w:rPr>
                <w:rFonts w:hint="eastAsia"/>
                <w:sz w:val="18"/>
                <w:szCs w:val="18"/>
              </w:rPr>
              <w:t>布袋除尘器</w:t>
            </w:r>
          </w:p>
          <w:p>
            <w:pPr>
              <w:pStyle w:val="33"/>
              <w:rPr>
                <w:sz w:val="18"/>
                <w:szCs w:val="18"/>
              </w:rPr>
            </w:pPr>
            <w:r>
              <w:rPr>
                <w:rFonts w:hint="eastAsia"/>
                <w:sz w:val="18"/>
                <w:szCs w:val="18"/>
              </w:rPr>
              <w:t>颗粒物去除效率98%</w:t>
            </w:r>
          </w:p>
        </w:tc>
        <w:tc>
          <w:tcPr>
            <w:tcW w:w="1100" w:type="dxa"/>
            <w:vAlign w:val="center"/>
          </w:tcPr>
          <w:p>
            <w:pPr>
              <w:pStyle w:val="32"/>
              <w:spacing w:before="0" w:after="0"/>
              <w:rPr>
                <w:sz w:val="18"/>
                <w:szCs w:val="18"/>
              </w:rPr>
            </w:pPr>
            <w:r>
              <w:rPr>
                <w:rFonts w:hint="eastAsia"/>
                <w:sz w:val="18"/>
                <w:szCs w:val="18"/>
              </w:rPr>
              <w:t>21.36</w:t>
            </w:r>
          </w:p>
        </w:tc>
        <w:tc>
          <w:tcPr>
            <w:tcW w:w="1180" w:type="dxa"/>
            <w:vAlign w:val="center"/>
          </w:tcPr>
          <w:p>
            <w:pPr>
              <w:pStyle w:val="32"/>
              <w:spacing w:before="0" w:after="0"/>
              <w:rPr>
                <w:sz w:val="18"/>
                <w:szCs w:val="18"/>
              </w:rPr>
            </w:pPr>
            <w:r>
              <w:rPr>
                <w:rFonts w:hint="eastAsia"/>
                <w:sz w:val="18"/>
                <w:szCs w:val="18"/>
              </w:rPr>
              <w:t>0.56</w:t>
            </w:r>
          </w:p>
        </w:tc>
        <w:tc>
          <w:tcPr>
            <w:tcW w:w="2995" w:type="dxa"/>
            <w:vAlign w:val="center"/>
          </w:tcPr>
          <w:p>
            <w:pPr>
              <w:pStyle w:val="33"/>
              <w:rPr>
                <w:sz w:val="18"/>
                <w:szCs w:val="18"/>
              </w:rPr>
            </w:pPr>
            <w:r>
              <w:rPr>
                <w:rFonts w:hint="eastAsia"/>
                <w:sz w:val="18"/>
                <w:szCs w:val="18"/>
              </w:rPr>
              <w:t>颗粒物排放执行</w:t>
            </w:r>
            <w:r>
              <w:rPr>
                <w:sz w:val="18"/>
                <w:szCs w:val="18"/>
              </w:rPr>
              <w:t>《大气污染物综合排放标准》（GB16297-1996）表2二级标准</w:t>
            </w:r>
          </w:p>
        </w:tc>
        <w:tc>
          <w:tcPr>
            <w:tcW w:w="862" w:type="dxa"/>
            <w:vAlign w:val="center"/>
          </w:tcPr>
          <w:p>
            <w:pPr>
              <w:pStyle w:val="32"/>
              <w:spacing w:before="0" w:after="0"/>
              <w:rPr>
                <w:sz w:val="18"/>
                <w:szCs w:val="18"/>
              </w:rPr>
            </w:pPr>
            <w:r>
              <w:rPr>
                <w:rFonts w:hint="eastAsia"/>
                <w:sz w:val="18"/>
                <w:szCs w:val="18"/>
              </w:rPr>
              <w:t>120</w:t>
            </w:r>
          </w:p>
        </w:tc>
        <w:tc>
          <w:tcPr>
            <w:tcW w:w="689" w:type="dxa"/>
            <w:vAlign w:val="center"/>
          </w:tcPr>
          <w:p>
            <w:pPr>
              <w:pStyle w:val="32"/>
              <w:spacing w:before="0" w:after="0"/>
              <w:rPr>
                <w:sz w:val="18"/>
                <w:szCs w:val="18"/>
              </w:rPr>
            </w:pPr>
            <w:r>
              <w:rPr>
                <w:rFonts w:hint="eastAsia"/>
                <w:sz w:val="18"/>
                <w:szCs w:val="18"/>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vAlign w:val="center"/>
          </w:tcPr>
          <w:p>
            <w:pPr>
              <w:pStyle w:val="33"/>
              <w:rPr>
                <w:sz w:val="18"/>
                <w:szCs w:val="18"/>
              </w:rPr>
            </w:pPr>
            <w:r>
              <w:rPr>
                <w:rFonts w:hint="eastAsia"/>
                <w:sz w:val="18"/>
                <w:szCs w:val="18"/>
              </w:rPr>
              <w:t>一期工程圆铸锭批次式均质炉</w:t>
            </w:r>
          </w:p>
        </w:tc>
        <w:tc>
          <w:tcPr>
            <w:tcW w:w="1275" w:type="dxa"/>
            <w:vMerge w:val="restart"/>
            <w:vAlign w:val="center"/>
          </w:tcPr>
          <w:p>
            <w:pPr>
              <w:widowControl/>
              <w:jc w:val="center"/>
              <w:rPr>
                <w:sz w:val="18"/>
                <w:szCs w:val="18"/>
              </w:rPr>
            </w:pPr>
            <w:r>
              <w:rPr>
                <w:rFonts w:hint="eastAsia"/>
                <w:sz w:val="18"/>
                <w:szCs w:val="18"/>
              </w:rPr>
              <w:t>圆铸锭批次式均质炉燃烧废气G1-5</w:t>
            </w:r>
          </w:p>
        </w:tc>
        <w:tc>
          <w:tcPr>
            <w:tcW w:w="1025" w:type="dxa"/>
            <w:vMerge w:val="restart"/>
            <w:vAlign w:val="center"/>
          </w:tcPr>
          <w:p>
            <w:pPr>
              <w:pStyle w:val="33"/>
              <w:rPr>
                <w:sz w:val="18"/>
                <w:szCs w:val="18"/>
              </w:rPr>
            </w:pPr>
            <w:r>
              <w:rPr>
                <w:sz w:val="18"/>
                <w:szCs w:val="18"/>
              </w:rPr>
              <w:t>H</w:t>
            </w:r>
            <w:r>
              <w:rPr>
                <w:rFonts w:hint="eastAsia"/>
                <w:sz w:val="18"/>
                <w:szCs w:val="18"/>
              </w:rPr>
              <w:t>25</w:t>
            </w:r>
            <w:r>
              <w:rPr>
                <w:sz w:val="18"/>
                <w:szCs w:val="18"/>
              </w:rPr>
              <w:t>Φ</w:t>
            </w:r>
            <w:r>
              <w:rPr>
                <w:rFonts w:hint="eastAsia"/>
                <w:sz w:val="18"/>
                <w:szCs w:val="18"/>
              </w:rPr>
              <w:t>0.9</w:t>
            </w:r>
          </w:p>
        </w:tc>
        <w:tc>
          <w:tcPr>
            <w:tcW w:w="828" w:type="dxa"/>
            <w:vMerge w:val="restart"/>
            <w:vAlign w:val="center"/>
          </w:tcPr>
          <w:p>
            <w:pPr>
              <w:pStyle w:val="32"/>
              <w:spacing w:before="0" w:after="0"/>
              <w:rPr>
                <w:sz w:val="18"/>
                <w:szCs w:val="18"/>
              </w:rPr>
            </w:pPr>
            <w:r>
              <w:rPr>
                <w:rFonts w:hint="eastAsia"/>
                <w:sz w:val="18"/>
                <w:szCs w:val="18"/>
              </w:rPr>
              <w:t>3809.45</w:t>
            </w:r>
          </w:p>
        </w:tc>
        <w:tc>
          <w:tcPr>
            <w:tcW w:w="772" w:type="dxa"/>
            <w:vMerge w:val="restart"/>
            <w:vAlign w:val="center"/>
          </w:tcPr>
          <w:p>
            <w:pPr>
              <w:pStyle w:val="33"/>
              <w:rPr>
                <w:sz w:val="18"/>
                <w:szCs w:val="18"/>
              </w:rPr>
            </w:pPr>
            <w:r>
              <w:rPr>
                <w:rFonts w:hint="eastAsia"/>
                <w:sz w:val="18"/>
                <w:szCs w:val="18"/>
              </w:rPr>
              <w:t>3960</w:t>
            </w:r>
          </w:p>
        </w:tc>
        <w:tc>
          <w:tcPr>
            <w:tcW w:w="937" w:type="dxa"/>
            <w:vAlign w:val="center"/>
          </w:tcPr>
          <w:p>
            <w:pPr>
              <w:widowControl/>
              <w:jc w:val="center"/>
              <w:rPr>
                <w:sz w:val="18"/>
                <w:szCs w:val="18"/>
              </w:rPr>
            </w:pPr>
            <w:r>
              <w:rPr>
                <w:rFonts w:hint="eastAsia"/>
                <w:sz w:val="18"/>
                <w:szCs w:val="18"/>
              </w:rPr>
              <w:t>颗粒物</w:t>
            </w:r>
          </w:p>
        </w:tc>
        <w:tc>
          <w:tcPr>
            <w:tcW w:w="1938" w:type="dxa"/>
            <w:vMerge w:val="restart"/>
            <w:vAlign w:val="center"/>
          </w:tcPr>
          <w:p>
            <w:pPr>
              <w:pStyle w:val="33"/>
              <w:rPr>
                <w:sz w:val="18"/>
                <w:szCs w:val="18"/>
              </w:rPr>
            </w:pPr>
            <w:r>
              <w:rPr>
                <w:rFonts w:hint="eastAsia"/>
                <w:sz w:val="18"/>
                <w:szCs w:val="18"/>
              </w:rPr>
              <w:t>/</w:t>
            </w:r>
          </w:p>
        </w:tc>
        <w:tc>
          <w:tcPr>
            <w:tcW w:w="1100" w:type="dxa"/>
            <w:vAlign w:val="center"/>
          </w:tcPr>
          <w:p>
            <w:pPr>
              <w:pStyle w:val="32"/>
              <w:spacing w:before="0" w:after="0"/>
              <w:rPr>
                <w:sz w:val="18"/>
                <w:szCs w:val="18"/>
              </w:rPr>
            </w:pPr>
            <w:r>
              <w:rPr>
                <w:rFonts w:hint="eastAsia"/>
                <w:sz w:val="18"/>
                <w:szCs w:val="18"/>
              </w:rPr>
              <w:t>22.27</w:t>
            </w:r>
          </w:p>
        </w:tc>
        <w:tc>
          <w:tcPr>
            <w:tcW w:w="1180" w:type="dxa"/>
            <w:vAlign w:val="center"/>
          </w:tcPr>
          <w:p>
            <w:pPr>
              <w:pStyle w:val="32"/>
              <w:spacing w:before="0" w:after="0"/>
              <w:rPr>
                <w:sz w:val="18"/>
                <w:szCs w:val="18"/>
              </w:rPr>
            </w:pPr>
            <w:r>
              <w:rPr>
                <w:rFonts w:hint="eastAsia"/>
                <w:sz w:val="18"/>
                <w:szCs w:val="18"/>
              </w:rPr>
              <w:t>0.54</w:t>
            </w:r>
          </w:p>
        </w:tc>
        <w:tc>
          <w:tcPr>
            <w:tcW w:w="2995" w:type="dxa"/>
            <w:vMerge w:val="restart"/>
            <w:vAlign w:val="center"/>
          </w:tcPr>
          <w:p>
            <w:pPr>
              <w:pStyle w:val="33"/>
              <w:rPr>
                <w:sz w:val="18"/>
                <w:szCs w:val="18"/>
              </w:rPr>
            </w:pPr>
            <w:r>
              <w:rPr>
                <w:rFonts w:hint="eastAsia"/>
                <w:sz w:val="18"/>
                <w:szCs w:val="18"/>
              </w:rPr>
              <w:t>颗粒物、SO</w:t>
            </w:r>
            <w:r>
              <w:rPr>
                <w:rFonts w:hint="eastAsia"/>
                <w:sz w:val="18"/>
                <w:szCs w:val="18"/>
                <w:vertAlign w:val="subscript"/>
              </w:rPr>
              <w:t>2</w:t>
            </w:r>
            <w:r>
              <w:rPr>
                <w:rFonts w:hint="eastAsia"/>
                <w:sz w:val="18"/>
                <w:szCs w:val="18"/>
              </w:rPr>
              <w:t>执行《工业炉窑大气污染物排放标准》（GB9078-1996），NOx执行《大气污染物综合排放标准》（GB16297-1996）表2二级标准的要求。</w:t>
            </w:r>
          </w:p>
        </w:tc>
        <w:tc>
          <w:tcPr>
            <w:tcW w:w="862" w:type="dxa"/>
          </w:tcPr>
          <w:p>
            <w:pPr>
              <w:pStyle w:val="32"/>
              <w:spacing w:before="0" w:after="0"/>
              <w:rPr>
                <w:sz w:val="18"/>
                <w:szCs w:val="18"/>
              </w:rPr>
            </w:pPr>
            <w:r>
              <w:rPr>
                <w:rFonts w:hint="eastAsia"/>
                <w:sz w:val="18"/>
                <w:szCs w:val="18"/>
              </w:rPr>
              <w:t>100</w:t>
            </w:r>
          </w:p>
        </w:tc>
        <w:tc>
          <w:tcPr>
            <w:tcW w:w="689" w:type="dxa"/>
          </w:tcPr>
          <w:p>
            <w:pPr>
              <w:pStyle w:val="32"/>
              <w:spacing w:before="0" w:after="0"/>
              <w:rPr>
                <w:sz w:val="18"/>
                <w:szCs w:val="18"/>
              </w:rPr>
            </w:pPr>
            <w:r>
              <w:rPr>
                <w:rFonts w:hint="eastAsia"/>
                <w:sz w:val="18"/>
                <w:szCs w:val="18"/>
              </w:rPr>
              <w:t>14.45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37.12</w:t>
            </w:r>
          </w:p>
        </w:tc>
        <w:tc>
          <w:tcPr>
            <w:tcW w:w="1180" w:type="dxa"/>
            <w:vAlign w:val="center"/>
          </w:tcPr>
          <w:p>
            <w:pPr>
              <w:pStyle w:val="32"/>
              <w:spacing w:before="0" w:after="0"/>
              <w:rPr>
                <w:sz w:val="18"/>
                <w:szCs w:val="18"/>
              </w:rPr>
            </w:pPr>
            <w:r>
              <w:rPr>
                <w:rFonts w:hint="eastAsia"/>
                <w:sz w:val="18"/>
                <w:szCs w:val="18"/>
              </w:rPr>
              <w:t>0.90</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550</w:t>
            </w:r>
          </w:p>
        </w:tc>
        <w:tc>
          <w:tcPr>
            <w:tcW w:w="689" w:type="dxa"/>
          </w:tcPr>
          <w:p>
            <w:pPr>
              <w:pStyle w:val="32"/>
              <w:spacing w:before="0" w:after="0"/>
              <w:rPr>
                <w:sz w:val="18"/>
                <w:szCs w:val="18"/>
              </w:rPr>
            </w:pPr>
            <w:r>
              <w:rPr>
                <w:rFonts w:hint="eastAsia"/>
                <w:sz w:val="18"/>
                <w:szCs w:val="18"/>
              </w:rPr>
              <w:t>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147.28</w:t>
            </w:r>
          </w:p>
        </w:tc>
        <w:tc>
          <w:tcPr>
            <w:tcW w:w="1180" w:type="dxa"/>
            <w:vAlign w:val="center"/>
          </w:tcPr>
          <w:p>
            <w:pPr>
              <w:pStyle w:val="32"/>
              <w:spacing w:before="0" w:after="0"/>
              <w:rPr>
                <w:sz w:val="18"/>
                <w:szCs w:val="18"/>
              </w:rPr>
            </w:pPr>
            <w:r>
              <w:rPr>
                <w:rFonts w:hint="eastAsia"/>
                <w:sz w:val="18"/>
                <w:szCs w:val="18"/>
              </w:rPr>
              <w:t>3.55</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240</w:t>
            </w:r>
          </w:p>
        </w:tc>
        <w:tc>
          <w:tcPr>
            <w:tcW w:w="689" w:type="dxa"/>
          </w:tcPr>
          <w:p>
            <w:pPr>
              <w:pStyle w:val="32"/>
              <w:spacing w:before="0" w:after="0"/>
              <w:rPr>
                <w:sz w:val="18"/>
                <w:szCs w:val="18"/>
              </w:rPr>
            </w:pPr>
            <w:r>
              <w:rPr>
                <w:rFonts w:hint="eastAsia"/>
                <w:sz w:val="18"/>
                <w:szCs w:val="18"/>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vAlign w:val="center"/>
          </w:tcPr>
          <w:p>
            <w:pPr>
              <w:pStyle w:val="33"/>
              <w:rPr>
                <w:sz w:val="18"/>
                <w:szCs w:val="18"/>
              </w:rPr>
            </w:pPr>
            <w:r>
              <w:rPr>
                <w:rFonts w:hint="eastAsia"/>
                <w:sz w:val="18"/>
                <w:szCs w:val="18"/>
              </w:rPr>
              <w:t>一期工程圆铸锭连续式均质炉</w:t>
            </w:r>
          </w:p>
        </w:tc>
        <w:tc>
          <w:tcPr>
            <w:tcW w:w="1275" w:type="dxa"/>
            <w:vMerge w:val="restart"/>
            <w:vAlign w:val="center"/>
          </w:tcPr>
          <w:p>
            <w:pPr>
              <w:widowControl/>
              <w:jc w:val="center"/>
              <w:rPr>
                <w:sz w:val="18"/>
                <w:szCs w:val="18"/>
              </w:rPr>
            </w:pPr>
            <w:r>
              <w:rPr>
                <w:rFonts w:hint="eastAsia"/>
                <w:sz w:val="18"/>
                <w:szCs w:val="18"/>
              </w:rPr>
              <w:t>圆铸锭连续式均质炉燃烧废气G1-5</w:t>
            </w:r>
          </w:p>
        </w:tc>
        <w:tc>
          <w:tcPr>
            <w:tcW w:w="1025" w:type="dxa"/>
            <w:vMerge w:val="restart"/>
            <w:vAlign w:val="center"/>
          </w:tcPr>
          <w:p>
            <w:pPr>
              <w:pStyle w:val="33"/>
              <w:rPr>
                <w:sz w:val="18"/>
                <w:szCs w:val="18"/>
              </w:rPr>
            </w:pPr>
            <w:r>
              <w:rPr>
                <w:sz w:val="18"/>
                <w:szCs w:val="18"/>
              </w:rPr>
              <w:t>H</w:t>
            </w:r>
            <w:r>
              <w:rPr>
                <w:rFonts w:hint="eastAsia"/>
                <w:sz w:val="18"/>
                <w:szCs w:val="18"/>
              </w:rPr>
              <w:t>25</w:t>
            </w:r>
            <w:r>
              <w:rPr>
                <w:sz w:val="18"/>
                <w:szCs w:val="18"/>
              </w:rPr>
              <w:t>Φ</w:t>
            </w:r>
            <w:r>
              <w:rPr>
                <w:rFonts w:hint="eastAsia"/>
                <w:sz w:val="18"/>
                <w:szCs w:val="18"/>
              </w:rPr>
              <w:t>0.9</w:t>
            </w:r>
          </w:p>
        </w:tc>
        <w:tc>
          <w:tcPr>
            <w:tcW w:w="828" w:type="dxa"/>
            <w:vMerge w:val="restart"/>
            <w:vAlign w:val="center"/>
          </w:tcPr>
          <w:p>
            <w:pPr>
              <w:widowControl/>
              <w:jc w:val="center"/>
              <w:rPr>
                <w:sz w:val="18"/>
                <w:szCs w:val="18"/>
              </w:rPr>
            </w:pPr>
            <w:r>
              <w:rPr>
                <w:rFonts w:hint="eastAsia"/>
                <w:sz w:val="18"/>
                <w:szCs w:val="18"/>
              </w:rPr>
              <w:t>1088.41</w:t>
            </w:r>
          </w:p>
        </w:tc>
        <w:tc>
          <w:tcPr>
            <w:tcW w:w="772" w:type="dxa"/>
            <w:vMerge w:val="restart"/>
            <w:vAlign w:val="center"/>
          </w:tcPr>
          <w:p>
            <w:pPr>
              <w:pStyle w:val="33"/>
              <w:rPr>
                <w:sz w:val="18"/>
                <w:szCs w:val="18"/>
              </w:rPr>
            </w:pPr>
            <w:r>
              <w:rPr>
                <w:rFonts w:hint="eastAsia"/>
                <w:sz w:val="18"/>
                <w:szCs w:val="18"/>
              </w:rPr>
              <w:t>3960</w:t>
            </w:r>
          </w:p>
        </w:tc>
        <w:tc>
          <w:tcPr>
            <w:tcW w:w="937" w:type="dxa"/>
            <w:vAlign w:val="center"/>
          </w:tcPr>
          <w:p>
            <w:pPr>
              <w:widowControl/>
              <w:jc w:val="center"/>
              <w:rPr>
                <w:sz w:val="18"/>
                <w:szCs w:val="18"/>
              </w:rPr>
            </w:pPr>
            <w:r>
              <w:rPr>
                <w:rFonts w:hint="eastAsia"/>
                <w:sz w:val="18"/>
                <w:szCs w:val="18"/>
              </w:rPr>
              <w:t>颗粒物</w:t>
            </w:r>
          </w:p>
        </w:tc>
        <w:tc>
          <w:tcPr>
            <w:tcW w:w="1938" w:type="dxa"/>
            <w:vMerge w:val="restart"/>
            <w:vAlign w:val="center"/>
          </w:tcPr>
          <w:p>
            <w:pPr>
              <w:pStyle w:val="33"/>
              <w:rPr>
                <w:sz w:val="18"/>
                <w:szCs w:val="18"/>
              </w:rPr>
            </w:pPr>
            <w:r>
              <w:rPr>
                <w:rFonts w:hint="eastAsia"/>
                <w:sz w:val="18"/>
                <w:szCs w:val="18"/>
              </w:rPr>
              <w:t>/</w:t>
            </w:r>
          </w:p>
        </w:tc>
        <w:tc>
          <w:tcPr>
            <w:tcW w:w="1100" w:type="dxa"/>
            <w:vAlign w:val="center"/>
          </w:tcPr>
          <w:p>
            <w:pPr>
              <w:pStyle w:val="32"/>
              <w:spacing w:before="0" w:after="0"/>
              <w:rPr>
                <w:sz w:val="18"/>
                <w:szCs w:val="18"/>
              </w:rPr>
            </w:pPr>
            <w:r>
              <w:rPr>
                <w:rFonts w:hint="eastAsia"/>
                <w:sz w:val="18"/>
                <w:szCs w:val="18"/>
              </w:rPr>
              <w:t>22.27</w:t>
            </w:r>
          </w:p>
        </w:tc>
        <w:tc>
          <w:tcPr>
            <w:tcW w:w="1180" w:type="dxa"/>
            <w:vAlign w:val="center"/>
          </w:tcPr>
          <w:p>
            <w:pPr>
              <w:pStyle w:val="32"/>
              <w:spacing w:before="0" w:after="0"/>
              <w:rPr>
                <w:sz w:val="18"/>
                <w:szCs w:val="18"/>
              </w:rPr>
            </w:pPr>
            <w:r>
              <w:rPr>
                <w:rFonts w:hint="eastAsia"/>
                <w:sz w:val="18"/>
                <w:szCs w:val="18"/>
              </w:rPr>
              <w:t>0.27</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100</w:t>
            </w:r>
          </w:p>
        </w:tc>
        <w:tc>
          <w:tcPr>
            <w:tcW w:w="689" w:type="dxa"/>
          </w:tcPr>
          <w:p>
            <w:pPr>
              <w:pStyle w:val="32"/>
              <w:spacing w:before="0" w:after="0"/>
              <w:rPr>
                <w:sz w:val="18"/>
                <w:szCs w:val="18"/>
              </w:rPr>
            </w:pPr>
            <w:r>
              <w:rPr>
                <w:rFonts w:hint="eastAsia"/>
                <w:sz w:val="18"/>
                <w:szCs w:val="18"/>
              </w:rPr>
              <w:t>14.45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37.12</w:t>
            </w:r>
          </w:p>
        </w:tc>
        <w:tc>
          <w:tcPr>
            <w:tcW w:w="1180" w:type="dxa"/>
            <w:vAlign w:val="center"/>
          </w:tcPr>
          <w:p>
            <w:pPr>
              <w:pStyle w:val="32"/>
              <w:spacing w:before="0" w:after="0"/>
              <w:rPr>
                <w:sz w:val="18"/>
                <w:szCs w:val="18"/>
              </w:rPr>
            </w:pPr>
            <w:r>
              <w:rPr>
                <w:rFonts w:hint="eastAsia"/>
                <w:sz w:val="18"/>
                <w:szCs w:val="18"/>
              </w:rPr>
              <w:t>0.45</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550</w:t>
            </w:r>
          </w:p>
        </w:tc>
        <w:tc>
          <w:tcPr>
            <w:tcW w:w="689" w:type="dxa"/>
          </w:tcPr>
          <w:p>
            <w:pPr>
              <w:pStyle w:val="32"/>
              <w:spacing w:before="0" w:after="0"/>
              <w:rPr>
                <w:sz w:val="18"/>
                <w:szCs w:val="18"/>
              </w:rPr>
            </w:pPr>
            <w:r>
              <w:rPr>
                <w:rFonts w:hint="eastAsia"/>
                <w:sz w:val="18"/>
                <w:szCs w:val="18"/>
              </w:rPr>
              <w:t>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pStyle w:val="33"/>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147.28</w:t>
            </w:r>
          </w:p>
        </w:tc>
        <w:tc>
          <w:tcPr>
            <w:tcW w:w="1180" w:type="dxa"/>
            <w:vAlign w:val="center"/>
          </w:tcPr>
          <w:p>
            <w:pPr>
              <w:pStyle w:val="32"/>
              <w:spacing w:before="0" w:after="0"/>
              <w:rPr>
                <w:sz w:val="18"/>
                <w:szCs w:val="18"/>
              </w:rPr>
            </w:pPr>
            <w:r>
              <w:rPr>
                <w:rFonts w:hint="eastAsia"/>
                <w:sz w:val="18"/>
                <w:szCs w:val="18"/>
              </w:rPr>
              <w:t>1.78</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240</w:t>
            </w:r>
          </w:p>
        </w:tc>
        <w:tc>
          <w:tcPr>
            <w:tcW w:w="689" w:type="dxa"/>
          </w:tcPr>
          <w:p>
            <w:pPr>
              <w:pStyle w:val="32"/>
              <w:spacing w:before="0" w:after="0"/>
              <w:rPr>
                <w:sz w:val="18"/>
                <w:szCs w:val="18"/>
              </w:rPr>
            </w:pPr>
            <w:r>
              <w:rPr>
                <w:rFonts w:hint="eastAsia"/>
                <w:sz w:val="18"/>
                <w:szCs w:val="18"/>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vAlign w:val="center"/>
          </w:tcPr>
          <w:p>
            <w:pPr>
              <w:pStyle w:val="33"/>
              <w:rPr>
                <w:sz w:val="18"/>
                <w:szCs w:val="18"/>
              </w:rPr>
            </w:pPr>
            <w:r>
              <w:rPr>
                <w:rFonts w:hint="eastAsia"/>
                <w:sz w:val="18"/>
                <w:szCs w:val="18"/>
              </w:rPr>
              <w:t>一期工程板锭均质炉</w:t>
            </w:r>
          </w:p>
        </w:tc>
        <w:tc>
          <w:tcPr>
            <w:tcW w:w="1275" w:type="dxa"/>
            <w:vMerge w:val="restart"/>
            <w:vAlign w:val="center"/>
          </w:tcPr>
          <w:p>
            <w:pPr>
              <w:widowControl/>
              <w:jc w:val="center"/>
              <w:rPr>
                <w:sz w:val="18"/>
                <w:szCs w:val="18"/>
              </w:rPr>
            </w:pPr>
            <w:r>
              <w:rPr>
                <w:rFonts w:hint="eastAsia"/>
                <w:sz w:val="18"/>
                <w:szCs w:val="18"/>
              </w:rPr>
              <w:t>板锭均质炉燃烧废气G1-5</w:t>
            </w:r>
          </w:p>
        </w:tc>
        <w:tc>
          <w:tcPr>
            <w:tcW w:w="1025" w:type="dxa"/>
            <w:vMerge w:val="restart"/>
            <w:vAlign w:val="center"/>
          </w:tcPr>
          <w:p>
            <w:pPr>
              <w:pStyle w:val="33"/>
              <w:rPr>
                <w:sz w:val="18"/>
                <w:szCs w:val="18"/>
              </w:rPr>
            </w:pPr>
            <w:r>
              <w:rPr>
                <w:sz w:val="18"/>
                <w:szCs w:val="18"/>
              </w:rPr>
              <w:t>H</w:t>
            </w:r>
            <w:r>
              <w:rPr>
                <w:rFonts w:hint="eastAsia"/>
                <w:sz w:val="18"/>
                <w:szCs w:val="18"/>
              </w:rPr>
              <w:t>25</w:t>
            </w:r>
            <w:r>
              <w:rPr>
                <w:sz w:val="18"/>
                <w:szCs w:val="18"/>
              </w:rPr>
              <w:t>Φ</w:t>
            </w:r>
            <w:r>
              <w:rPr>
                <w:rFonts w:hint="eastAsia"/>
                <w:sz w:val="18"/>
                <w:szCs w:val="18"/>
              </w:rPr>
              <w:t>0.9</w:t>
            </w:r>
          </w:p>
        </w:tc>
        <w:tc>
          <w:tcPr>
            <w:tcW w:w="828" w:type="dxa"/>
            <w:vMerge w:val="restart"/>
            <w:vAlign w:val="center"/>
          </w:tcPr>
          <w:p>
            <w:pPr>
              <w:widowControl/>
              <w:jc w:val="center"/>
              <w:rPr>
                <w:sz w:val="18"/>
                <w:szCs w:val="18"/>
              </w:rPr>
            </w:pPr>
            <w:r>
              <w:rPr>
                <w:rFonts w:hint="eastAsia"/>
                <w:sz w:val="18"/>
                <w:szCs w:val="18"/>
              </w:rPr>
              <w:t>4353.66</w:t>
            </w:r>
          </w:p>
        </w:tc>
        <w:tc>
          <w:tcPr>
            <w:tcW w:w="772" w:type="dxa"/>
            <w:vMerge w:val="restart"/>
            <w:vAlign w:val="center"/>
          </w:tcPr>
          <w:p>
            <w:pPr>
              <w:pStyle w:val="33"/>
              <w:rPr>
                <w:sz w:val="18"/>
                <w:szCs w:val="18"/>
              </w:rPr>
            </w:pPr>
            <w:r>
              <w:rPr>
                <w:rFonts w:hint="eastAsia"/>
                <w:sz w:val="18"/>
                <w:szCs w:val="18"/>
              </w:rPr>
              <w:t>3960</w:t>
            </w:r>
          </w:p>
        </w:tc>
        <w:tc>
          <w:tcPr>
            <w:tcW w:w="937" w:type="dxa"/>
            <w:vAlign w:val="center"/>
          </w:tcPr>
          <w:p>
            <w:pPr>
              <w:widowControl/>
              <w:jc w:val="center"/>
              <w:rPr>
                <w:sz w:val="18"/>
                <w:szCs w:val="18"/>
              </w:rPr>
            </w:pPr>
            <w:r>
              <w:rPr>
                <w:rFonts w:hint="eastAsia"/>
                <w:sz w:val="18"/>
                <w:szCs w:val="18"/>
              </w:rPr>
              <w:t>颗粒物</w:t>
            </w:r>
          </w:p>
        </w:tc>
        <w:tc>
          <w:tcPr>
            <w:tcW w:w="1938" w:type="dxa"/>
            <w:vMerge w:val="restart"/>
            <w:vAlign w:val="center"/>
          </w:tcPr>
          <w:p>
            <w:pPr>
              <w:pStyle w:val="33"/>
              <w:rPr>
                <w:sz w:val="18"/>
                <w:szCs w:val="18"/>
              </w:rPr>
            </w:pPr>
            <w:r>
              <w:rPr>
                <w:rFonts w:hint="eastAsia"/>
                <w:sz w:val="18"/>
                <w:szCs w:val="18"/>
              </w:rPr>
              <w:t>/</w:t>
            </w:r>
          </w:p>
        </w:tc>
        <w:tc>
          <w:tcPr>
            <w:tcW w:w="1100" w:type="dxa"/>
            <w:vAlign w:val="center"/>
          </w:tcPr>
          <w:p>
            <w:pPr>
              <w:pStyle w:val="32"/>
              <w:spacing w:before="0" w:after="0"/>
              <w:rPr>
                <w:sz w:val="18"/>
                <w:szCs w:val="18"/>
              </w:rPr>
            </w:pPr>
            <w:r>
              <w:rPr>
                <w:rFonts w:hint="eastAsia"/>
                <w:sz w:val="18"/>
                <w:szCs w:val="18"/>
              </w:rPr>
              <w:t>22.27</w:t>
            </w:r>
          </w:p>
        </w:tc>
        <w:tc>
          <w:tcPr>
            <w:tcW w:w="1180" w:type="dxa"/>
            <w:vAlign w:val="center"/>
          </w:tcPr>
          <w:p>
            <w:pPr>
              <w:pStyle w:val="32"/>
              <w:spacing w:before="0" w:after="0"/>
              <w:rPr>
                <w:sz w:val="18"/>
                <w:szCs w:val="18"/>
              </w:rPr>
            </w:pPr>
            <w:r>
              <w:rPr>
                <w:rFonts w:hint="eastAsia"/>
                <w:sz w:val="18"/>
                <w:szCs w:val="18"/>
              </w:rPr>
              <w:t>0.81</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100</w:t>
            </w:r>
          </w:p>
        </w:tc>
        <w:tc>
          <w:tcPr>
            <w:tcW w:w="689" w:type="dxa"/>
          </w:tcPr>
          <w:p>
            <w:pPr>
              <w:pStyle w:val="32"/>
              <w:spacing w:before="0" w:after="0"/>
              <w:rPr>
                <w:sz w:val="18"/>
                <w:szCs w:val="18"/>
              </w:rPr>
            </w:pPr>
            <w:r>
              <w:rPr>
                <w:rFonts w:hint="eastAsia"/>
                <w:sz w:val="18"/>
                <w:szCs w:val="18"/>
              </w:rPr>
              <w:t>14.45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37.12</w:t>
            </w:r>
          </w:p>
        </w:tc>
        <w:tc>
          <w:tcPr>
            <w:tcW w:w="1180" w:type="dxa"/>
            <w:vAlign w:val="center"/>
          </w:tcPr>
          <w:p>
            <w:pPr>
              <w:pStyle w:val="32"/>
              <w:spacing w:before="0" w:after="0"/>
              <w:rPr>
                <w:sz w:val="18"/>
                <w:szCs w:val="18"/>
              </w:rPr>
            </w:pPr>
            <w:r>
              <w:rPr>
                <w:rFonts w:hint="eastAsia"/>
                <w:sz w:val="18"/>
                <w:szCs w:val="18"/>
              </w:rPr>
              <w:t>1.34</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550</w:t>
            </w:r>
          </w:p>
        </w:tc>
        <w:tc>
          <w:tcPr>
            <w:tcW w:w="689" w:type="dxa"/>
          </w:tcPr>
          <w:p>
            <w:pPr>
              <w:pStyle w:val="32"/>
              <w:spacing w:before="0" w:after="0"/>
              <w:rPr>
                <w:sz w:val="18"/>
                <w:szCs w:val="18"/>
              </w:rPr>
            </w:pPr>
            <w:r>
              <w:rPr>
                <w:rFonts w:hint="eastAsia"/>
                <w:sz w:val="18"/>
                <w:szCs w:val="18"/>
              </w:rPr>
              <w:t>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147.28</w:t>
            </w:r>
          </w:p>
        </w:tc>
        <w:tc>
          <w:tcPr>
            <w:tcW w:w="1180" w:type="dxa"/>
            <w:vAlign w:val="center"/>
          </w:tcPr>
          <w:p>
            <w:pPr>
              <w:pStyle w:val="32"/>
              <w:spacing w:before="0" w:after="0"/>
              <w:rPr>
                <w:sz w:val="18"/>
                <w:szCs w:val="18"/>
              </w:rPr>
            </w:pPr>
            <w:r>
              <w:rPr>
                <w:rFonts w:hint="eastAsia"/>
                <w:sz w:val="18"/>
                <w:szCs w:val="18"/>
              </w:rPr>
              <w:t>5.33</w:t>
            </w:r>
          </w:p>
        </w:tc>
        <w:tc>
          <w:tcPr>
            <w:tcW w:w="2995" w:type="dxa"/>
            <w:vMerge w:val="continue"/>
            <w:vAlign w:val="center"/>
          </w:tcPr>
          <w:p>
            <w:pPr>
              <w:pStyle w:val="33"/>
              <w:rPr>
                <w:sz w:val="18"/>
                <w:szCs w:val="18"/>
              </w:rPr>
            </w:pPr>
          </w:p>
        </w:tc>
        <w:tc>
          <w:tcPr>
            <w:tcW w:w="862" w:type="dxa"/>
          </w:tcPr>
          <w:p>
            <w:pPr>
              <w:pStyle w:val="32"/>
              <w:spacing w:before="0" w:after="0"/>
              <w:rPr>
                <w:sz w:val="18"/>
                <w:szCs w:val="18"/>
              </w:rPr>
            </w:pPr>
            <w:r>
              <w:rPr>
                <w:rFonts w:hint="eastAsia"/>
                <w:sz w:val="18"/>
                <w:szCs w:val="18"/>
              </w:rPr>
              <w:t>240</w:t>
            </w:r>
          </w:p>
        </w:tc>
        <w:tc>
          <w:tcPr>
            <w:tcW w:w="689" w:type="dxa"/>
          </w:tcPr>
          <w:p>
            <w:pPr>
              <w:pStyle w:val="32"/>
              <w:spacing w:before="0" w:after="0"/>
              <w:rPr>
                <w:sz w:val="18"/>
                <w:szCs w:val="18"/>
              </w:rPr>
            </w:pPr>
            <w:r>
              <w:rPr>
                <w:rFonts w:hint="eastAsia"/>
                <w:sz w:val="18"/>
                <w:szCs w:val="18"/>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Align w:val="center"/>
          </w:tcPr>
          <w:p>
            <w:pPr>
              <w:pStyle w:val="33"/>
              <w:rPr>
                <w:sz w:val="18"/>
                <w:szCs w:val="18"/>
              </w:rPr>
            </w:pPr>
            <w:r>
              <w:rPr>
                <w:rFonts w:hint="eastAsia"/>
                <w:sz w:val="18"/>
                <w:szCs w:val="18"/>
              </w:rPr>
              <w:t>一期工程生产车间</w:t>
            </w:r>
          </w:p>
        </w:tc>
        <w:tc>
          <w:tcPr>
            <w:tcW w:w="1275" w:type="dxa"/>
            <w:vAlign w:val="center"/>
          </w:tcPr>
          <w:p>
            <w:pPr>
              <w:widowControl/>
              <w:jc w:val="center"/>
              <w:rPr>
                <w:sz w:val="18"/>
                <w:szCs w:val="18"/>
              </w:rPr>
            </w:pPr>
            <w:r>
              <w:rPr>
                <w:rFonts w:hint="eastAsia"/>
                <w:sz w:val="18"/>
                <w:szCs w:val="18"/>
              </w:rPr>
              <w:t>无组织排放</w:t>
            </w:r>
          </w:p>
        </w:tc>
        <w:tc>
          <w:tcPr>
            <w:tcW w:w="1025" w:type="dxa"/>
            <w:vAlign w:val="center"/>
          </w:tcPr>
          <w:p>
            <w:pPr>
              <w:pStyle w:val="33"/>
              <w:rPr>
                <w:sz w:val="18"/>
                <w:szCs w:val="18"/>
              </w:rPr>
            </w:pPr>
            <w:r>
              <w:rPr>
                <w:rFonts w:hint="eastAsia"/>
                <w:sz w:val="18"/>
                <w:szCs w:val="18"/>
              </w:rPr>
              <w:t>205x50=10250</w:t>
            </w:r>
          </w:p>
        </w:tc>
        <w:tc>
          <w:tcPr>
            <w:tcW w:w="828" w:type="dxa"/>
            <w:vAlign w:val="center"/>
          </w:tcPr>
          <w:p>
            <w:pPr>
              <w:pStyle w:val="33"/>
              <w:rPr>
                <w:sz w:val="18"/>
                <w:szCs w:val="18"/>
              </w:rPr>
            </w:pPr>
            <w:r>
              <w:rPr>
                <w:rFonts w:hint="eastAsia"/>
                <w:sz w:val="18"/>
                <w:szCs w:val="18"/>
              </w:rPr>
              <w:t>/</w:t>
            </w:r>
          </w:p>
        </w:tc>
        <w:tc>
          <w:tcPr>
            <w:tcW w:w="772" w:type="dxa"/>
            <w:vAlign w:val="center"/>
          </w:tcPr>
          <w:p>
            <w:pPr>
              <w:pStyle w:val="33"/>
              <w:rPr>
                <w:sz w:val="18"/>
                <w:szCs w:val="18"/>
              </w:rPr>
            </w:pPr>
            <w:r>
              <w:rPr>
                <w:rFonts w:hint="eastAsia"/>
                <w:sz w:val="18"/>
                <w:szCs w:val="18"/>
              </w:rPr>
              <w:t>4950</w:t>
            </w:r>
          </w:p>
        </w:tc>
        <w:tc>
          <w:tcPr>
            <w:tcW w:w="937" w:type="dxa"/>
            <w:vAlign w:val="center"/>
          </w:tcPr>
          <w:p>
            <w:pPr>
              <w:pStyle w:val="33"/>
              <w:rPr>
                <w:sz w:val="18"/>
                <w:szCs w:val="18"/>
              </w:rPr>
            </w:pPr>
            <w:r>
              <w:rPr>
                <w:rFonts w:hint="eastAsia"/>
                <w:sz w:val="18"/>
                <w:szCs w:val="18"/>
              </w:rPr>
              <w:t>颗粒物</w:t>
            </w:r>
          </w:p>
        </w:tc>
        <w:tc>
          <w:tcPr>
            <w:tcW w:w="1938" w:type="dxa"/>
            <w:vAlign w:val="center"/>
          </w:tcPr>
          <w:p>
            <w:pPr>
              <w:pStyle w:val="33"/>
              <w:rPr>
                <w:sz w:val="18"/>
                <w:szCs w:val="18"/>
              </w:rPr>
            </w:pPr>
            <w:r>
              <w:rPr>
                <w:rFonts w:hint="eastAsia"/>
                <w:sz w:val="18"/>
                <w:szCs w:val="18"/>
              </w:rPr>
              <w:t>半密闭厂房、自然沉降</w:t>
            </w:r>
          </w:p>
        </w:tc>
        <w:tc>
          <w:tcPr>
            <w:tcW w:w="1100" w:type="dxa"/>
            <w:vAlign w:val="center"/>
          </w:tcPr>
          <w:p>
            <w:pPr>
              <w:pStyle w:val="32"/>
              <w:spacing w:before="0" w:after="0"/>
              <w:rPr>
                <w:sz w:val="18"/>
                <w:szCs w:val="18"/>
              </w:rPr>
            </w:pPr>
            <w:r>
              <w:rPr>
                <w:rFonts w:hint="eastAsia"/>
                <w:sz w:val="18"/>
                <w:szCs w:val="18"/>
              </w:rPr>
              <w:t>/</w:t>
            </w:r>
          </w:p>
        </w:tc>
        <w:tc>
          <w:tcPr>
            <w:tcW w:w="1180" w:type="dxa"/>
            <w:vAlign w:val="center"/>
          </w:tcPr>
          <w:p>
            <w:pPr>
              <w:pStyle w:val="32"/>
              <w:spacing w:before="0" w:after="0"/>
              <w:rPr>
                <w:sz w:val="18"/>
                <w:szCs w:val="18"/>
              </w:rPr>
            </w:pPr>
            <w:r>
              <w:rPr>
                <w:rFonts w:hint="eastAsia"/>
                <w:sz w:val="18"/>
                <w:szCs w:val="18"/>
              </w:rPr>
              <w:t>2.13</w:t>
            </w:r>
          </w:p>
        </w:tc>
        <w:tc>
          <w:tcPr>
            <w:tcW w:w="2995" w:type="dxa"/>
            <w:vMerge w:val="restart"/>
            <w:vAlign w:val="center"/>
          </w:tcPr>
          <w:p>
            <w:pPr>
              <w:pStyle w:val="33"/>
              <w:rPr>
                <w:sz w:val="18"/>
                <w:szCs w:val="18"/>
              </w:rPr>
            </w:pPr>
            <w:r>
              <w:rPr>
                <w:rFonts w:hint="eastAsia"/>
                <w:sz w:val="18"/>
                <w:szCs w:val="18"/>
              </w:rPr>
              <w:t>《大气污染物综合排放标准》（GB16297-1996）表2二级标准</w:t>
            </w:r>
          </w:p>
        </w:tc>
        <w:tc>
          <w:tcPr>
            <w:tcW w:w="862" w:type="dxa"/>
            <w:vAlign w:val="center"/>
          </w:tcPr>
          <w:p>
            <w:pPr>
              <w:pStyle w:val="33"/>
              <w:rPr>
                <w:sz w:val="18"/>
                <w:szCs w:val="18"/>
              </w:rPr>
            </w:pPr>
            <w:r>
              <w:rPr>
                <w:rFonts w:hint="eastAsia"/>
                <w:sz w:val="18"/>
                <w:szCs w:val="18"/>
              </w:rPr>
              <w:t>/</w:t>
            </w:r>
          </w:p>
        </w:tc>
        <w:tc>
          <w:tcPr>
            <w:tcW w:w="689" w:type="dxa"/>
            <w:vAlign w:val="center"/>
          </w:tcPr>
          <w:p>
            <w:pPr>
              <w:pStyle w:val="33"/>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Align w:val="center"/>
          </w:tcPr>
          <w:p>
            <w:pPr>
              <w:pStyle w:val="33"/>
              <w:rPr>
                <w:sz w:val="18"/>
                <w:szCs w:val="18"/>
              </w:rPr>
            </w:pPr>
            <w:r>
              <w:rPr>
                <w:rFonts w:hint="eastAsia"/>
                <w:sz w:val="18"/>
                <w:szCs w:val="18"/>
              </w:rPr>
              <w:t>一期工程</w:t>
            </w:r>
            <w:r>
              <w:rPr>
                <w:sz w:val="18"/>
                <w:szCs w:val="18"/>
              </w:rPr>
              <w:t>铝灰分离</w:t>
            </w:r>
            <w:r>
              <w:rPr>
                <w:rFonts w:hint="eastAsia"/>
                <w:sz w:val="18"/>
                <w:szCs w:val="18"/>
              </w:rPr>
              <w:t>车间</w:t>
            </w:r>
          </w:p>
        </w:tc>
        <w:tc>
          <w:tcPr>
            <w:tcW w:w="1275" w:type="dxa"/>
            <w:vAlign w:val="center"/>
          </w:tcPr>
          <w:p>
            <w:pPr>
              <w:widowControl/>
              <w:jc w:val="center"/>
              <w:rPr>
                <w:sz w:val="18"/>
                <w:szCs w:val="18"/>
              </w:rPr>
            </w:pPr>
            <w:r>
              <w:rPr>
                <w:rFonts w:hint="eastAsia"/>
                <w:sz w:val="18"/>
                <w:szCs w:val="18"/>
              </w:rPr>
              <w:t>无组织排放</w:t>
            </w:r>
          </w:p>
        </w:tc>
        <w:tc>
          <w:tcPr>
            <w:tcW w:w="1025" w:type="dxa"/>
            <w:vAlign w:val="center"/>
          </w:tcPr>
          <w:p>
            <w:pPr>
              <w:pStyle w:val="33"/>
              <w:rPr>
                <w:sz w:val="18"/>
                <w:szCs w:val="18"/>
              </w:rPr>
            </w:pPr>
            <w:r>
              <w:rPr>
                <w:rFonts w:hint="eastAsia"/>
                <w:sz w:val="18"/>
                <w:szCs w:val="18"/>
              </w:rPr>
              <w:t>67.5x15.5=1046.25</w:t>
            </w:r>
          </w:p>
        </w:tc>
        <w:tc>
          <w:tcPr>
            <w:tcW w:w="828" w:type="dxa"/>
            <w:vAlign w:val="center"/>
          </w:tcPr>
          <w:p>
            <w:pPr>
              <w:pStyle w:val="33"/>
              <w:rPr>
                <w:sz w:val="18"/>
                <w:szCs w:val="18"/>
              </w:rPr>
            </w:pPr>
            <w:r>
              <w:rPr>
                <w:rFonts w:hint="eastAsia"/>
                <w:sz w:val="18"/>
                <w:szCs w:val="18"/>
              </w:rPr>
              <w:t>/</w:t>
            </w:r>
          </w:p>
        </w:tc>
        <w:tc>
          <w:tcPr>
            <w:tcW w:w="772" w:type="dxa"/>
            <w:vAlign w:val="center"/>
          </w:tcPr>
          <w:p>
            <w:pPr>
              <w:pStyle w:val="33"/>
              <w:rPr>
                <w:sz w:val="18"/>
                <w:szCs w:val="18"/>
              </w:rPr>
            </w:pPr>
            <w:r>
              <w:rPr>
                <w:rFonts w:hint="eastAsia"/>
                <w:sz w:val="18"/>
                <w:szCs w:val="18"/>
              </w:rPr>
              <w:t>2640</w:t>
            </w:r>
          </w:p>
        </w:tc>
        <w:tc>
          <w:tcPr>
            <w:tcW w:w="937" w:type="dxa"/>
            <w:vAlign w:val="center"/>
          </w:tcPr>
          <w:p>
            <w:pPr>
              <w:pStyle w:val="33"/>
              <w:rPr>
                <w:sz w:val="18"/>
                <w:szCs w:val="18"/>
              </w:rPr>
            </w:pPr>
            <w:r>
              <w:rPr>
                <w:rFonts w:hint="eastAsia"/>
                <w:sz w:val="18"/>
                <w:szCs w:val="18"/>
              </w:rPr>
              <w:t>颗粒物</w:t>
            </w:r>
          </w:p>
        </w:tc>
        <w:tc>
          <w:tcPr>
            <w:tcW w:w="1938" w:type="dxa"/>
            <w:vAlign w:val="center"/>
          </w:tcPr>
          <w:p>
            <w:pPr>
              <w:pStyle w:val="33"/>
              <w:rPr>
                <w:sz w:val="18"/>
                <w:szCs w:val="18"/>
              </w:rPr>
            </w:pPr>
            <w:r>
              <w:rPr>
                <w:rFonts w:hint="eastAsia"/>
                <w:sz w:val="18"/>
                <w:szCs w:val="18"/>
              </w:rPr>
              <w:t>半密闭厂房、自然沉降</w:t>
            </w:r>
          </w:p>
        </w:tc>
        <w:tc>
          <w:tcPr>
            <w:tcW w:w="1100" w:type="dxa"/>
            <w:vAlign w:val="center"/>
          </w:tcPr>
          <w:p>
            <w:pPr>
              <w:pStyle w:val="32"/>
              <w:spacing w:before="0" w:after="0"/>
              <w:rPr>
                <w:sz w:val="18"/>
                <w:szCs w:val="18"/>
              </w:rPr>
            </w:pPr>
            <w:r>
              <w:rPr>
                <w:rFonts w:hint="eastAsia"/>
                <w:sz w:val="18"/>
                <w:szCs w:val="18"/>
              </w:rPr>
              <w:t>/</w:t>
            </w:r>
          </w:p>
        </w:tc>
        <w:tc>
          <w:tcPr>
            <w:tcW w:w="1180" w:type="dxa"/>
            <w:vAlign w:val="center"/>
          </w:tcPr>
          <w:p>
            <w:pPr>
              <w:pStyle w:val="32"/>
              <w:spacing w:before="0" w:after="0"/>
              <w:rPr>
                <w:sz w:val="18"/>
                <w:szCs w:val="18"/>
              </w:rPr>
            </w:pPr>
            <w:r>
              <w:rPr>
                <w:rFonts w:hint="eastAsia"/>
                <w:sz w:val="18"/>
                <w:szCs w:val="18"/>
              </w:rPr>
              <w:t>0.14</w:t>
            </w:r>
          </w:p>
        </w:tc>
        <w:tc>
          <w:tcPr>
            <w:tcW w:w="2995" w:type="dxa"/>
            <w:vMerge w:val="continue"/>
            <w:vAlign w:val="center"/>
          </w:tcPr>
          <w:p>
            <w:pPr>
              <w:pStyle w:val="33"/>
              <w:rPr>
                <w:sz w:val="18"/>
                <w:szCs w:val="18"/>
              </w:rPr>
            </w:pPr>
          </w:p>
        </w:tc>
        <w:tc>
          <w:tcPr>
            <w:tcW w:w="862" w:type="dxa"/>
            <w:vAlign w:val="center"/>
          </w:tcPr>
          <w:p>
            <w:pPr>
              <w:pStyle w:val="33"/>
              <w:rPr>
                <w:sz w:val="18"/>
                <w:szCs w:val="18"/>
              </w:rPr>
            </w:pPr>
            <w:r>
              <w:rPr>
                <w:rFonts w:hint="eastAsia"/>
                <w:sz w:val="18"/>
                <w:szCs w:val="18"/>
              </w:rPr>
              <w:t>/</w:t>
            </w:r>
          </w:p>
        </w:tc>
        <w:tc>
          <w:tcPr>
            <w:tcW w:w="689" w:type="dxa"/>
            <w:vAlign w:val="center"/>
          </w:tcPr>
          <w:p>
            <w:pPr>
              <w:pStyle w:val="33"/>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vAlign w:val="center"/>
          </w:tcPr>
          <w:p>
            <w:pPr>
              <w:pStyle w:val="33"/>
              <w:rPr>
                <w:sz w:val="18"/>
                <w:szCs w:val="18"/>
              </w:rPr>
            </w:pPr>
            <w:r>
              <w:rPr>
                <w:rFonts w:hint="eastAsia"/>
                <w:sz w:val="18"/>
                <w:szCs w:val="18"/>
              </w:rPr>
              <w:t>二期工程熔保炉</w:t>
            </w:r>
          </w:p>
        </w:tc>
        <w:tc>
          <w:tcPr>
            <w:tcW w:w="1275" w:type="dxa"/>
            <w:vMerge w:val="restart"/>
            <w:vAlign w:val="center"/>
          </w:tcPr>
          <w:p>
            <w:pPr>
              <w:widowControl/>
              <w:jc w:val="center"/>
              <w:rPr>
                <w:sz w:val="18"/>
                <w:szCs w:val="18"/>
              </w:rPr>
            </w:pPr>
            <w:r>
              <w:rPr>
                <w:rFonts w:hint="eastAsia"/>
                <w:sz w:val="18"/>
                <w:szCs w:val="18"/>
              </w:rPr>
              <w:t>燃烧废气G2-1、精炼废气G2-2、扒渣废气G2-3</w:t>
            </w:r>
          </w:p>
        </w:tc>
        <w:tc>
          <w:tcPr>
            <w:tcW w:w="1025" w:type="dxa"/>
            <w:vMerge w:val="restart"/>
            <w:vAlign w:val="center"/>
          </w:tcPr>
          <w:p>
            <w:pPr>
              <w:pStyle w:val="33"/>
              <w:rPr>
                <w:sz w:val="18"/>
                <w:szCs w:val="18"/>
              </w:rPr>
            </w:pPr>
            <w:r>
              <w:rPr>
                <w:sz w:val="18"/>
                <w:szCs w:val="18"/>
              </w:rPr>
              <w:t>H</w:t>
            </w:r>
            <w:r>
              <w:rPr>
                <w:rFonts w:hint="eastAsia"/>
                <w:sz w:val="18"/>
                <w:szCs w:val="18"/>
              </w:rPr>
              <w:t>30</w:t>
            </w:r>
            <w:r>
              <w:rPr>
                <w:sz w:val="18"/>
                <w:szCs w:val="18"/>
              </w:rPr>
              <w:t>Φ2.0</w:t>
            </w:r>
          </w:p>
        </w:tc>
        <w:tc>
          <w:tcPr>
            <w:tcW w:w="828" w:type="dxa"/>
            <w:vMerge w:val="restart"/>
            <w:vAlign w:val="center"/>
          </w:tcPr>
          <w:p>
            <w:pPr>
              <w:pStyle w:val="33"/>
              <w:rPr>
                <w:sz w:val="18"/>
                <w:szCs w:val="18"/>
              </w:rPr>
            </w:pPr>
            <w:r>
              <w:rPr>
                <w:rFonts w:hint="eastAsia"/>
                <w:sz w:val="18"/>
                <w:szCs w:val="18"/>
              </w:rPr>
              <w:t>50000</w:t>
            </w:r>
          </w:p>
        </w:tc>
        <w:tc>
          <w:tcPr>
            <w:tcW w:w="772" w:type="dxa"/>
            <w:vMerge w:val="restart"/>
            <w:vAlign w:val="center"/>
          </w:tcPr>
          <w:p>
            <w:pPr>
              <w:pStyle w:val="33"/>
              <w:rPr>
                <w:sz w:val="18"/>
                <w:szCs w:val="18"/>
              </w:rPr>
            </w:pPr>
            <w:r>
              <w:rPr>
                <w:rFonts w:hint="eastAsia"/>
                <w:sz w:val="18"/>
                <w:szCs w:val="18"/>
              </w:rPr>
              <w:t>4950</w:t>
            </w:r>
          </w:p>
        </w:tc>
        <w:tc>
          <w:tcPr>
            <w:tcW w:w="937" w:type="dxa"/>
            <w:vAlign w:val="center"/>
          </w:tcPr>
          <w:p>
            <w:pPr>
              <w:widowControl/>
              <w:jc w:val="center"/>
              <w:rPr>
                <w:sz w:val="18"/>
                <w:szCs w:val="18"/>
              </w:rPr>
            </w:pPr>
            <w:r>
              <w:rPr>
                <w:rFonts w:hint="eastAsia"/>
                <w:sz w:val="18"/>
                <w:szCs w:val="18"/>
              </w:rPr>
              <w:t>颗粒物</w:t>
            </w:r>
          </w:p>
        </w:tc>
        <w:tc>
          <w:tcPr>
            <w:tcW w:w="1938" w:type="dxa"/>
            <w:vMerge w:val="restart"/>
            <w:vAlign w:val="center"/>
          </w:tcPr>
          <w:p>
            <w:pPr>
              <w:pStyle w:val="33"/>
              <w:rPr>
                <w:sz w:val="18"/>
                <w:szCs w:val="18"/>
              </w:rPr>
            </w:pPr>
            <w:r>
              <w:rPr>
                <w:rFonts w:hint="eastAsia"/>
                <w:sz w:val="18"/>
                <w:szCs w:val="18"/>
              </w:rPr>
              <w:t>石灰粉+布袋除尘器，颗粒物去除效率98%、氟化物去除效率99%，S</w:t>
            </w:r>
            <w:r>
              <w:rPr>
                <w:sz w:val="18"/>
                <w:szCs w:val="18"/>
              </w:rPr>
              <w:t>O</w:t>
            </w:r>
            <w:r>
              <w:rPr>
                <w:rFonts w:hint="eastAsia"/>
                <w:sz w:val="18"/>
                <w:szCs w:val="18"/>
                <w:vertAlign w:val="subscript"/>
              </w:rPr>
              <w:t>2</w:t>
            </w:r>
            <w:r>
              <w:rPr>
                <w:rFonts w:hint="eastAsia"/>
                <w:sz w:val="18"/>
                <w:szCs w:val="18"/>
              </w:rPr>
              <w:t>、NO</w:t>
            </w:r>
            <w:r>
              <w:rPr>
                <w:rFonts w:hint="eastAsia"/>
                <w:sz w:val="18"/>
                <w:szCs w:val="18"/>
                <w:vertAlign w:val="subscript"/>
              </w:rPr>
              <w:t>x</w:t>
            </w:r>
            <w:r>
              <w:rPr>
                <w:rFonts w:hint="eastAsia"/>
                <w:sz w:val="18"/>
                <w:szCs w:val="18"/>
              </w:rPr>
              <w:t>无去除效率</w:t>
            </w:r>
          </w:p>
        </w:tc>
        <w:tc>
          <w:tcPr>
            <w:tcW w:w="1100" w:type="dxa"/>
            <w:vAlign w:val="center"/>
          </w:tcPr>
          <w:p>
            <w:pPr>
              <w:pStyle w:val="32"/>
              <w:spacing w:before="0" w:after="0"/>
              <w:rPr>
                <w:sz w:val="18"/>
                <w:szCs w:val="18"/>
              </w:rPr>
            </w:pPr>
            <w:r>
              <w:rPr>
                <w:rFonts w:hint="eastAsia"/>
                <w:sz w:val="18"/>
                <w:szCs w:val="18"/>
              </w:rPr>
              <w:t>39.02</w:t>
            </w:r>
          </w:p>
        </w:tc>
        <w:tc>
          <w:tcPr>
            <w:tcW w:w="1180" w:type="dxa"/>
            <w:vAlign w:val="center"/>
          </w:tcPr>
          <w:p>
            <w:pPr>
              <w:pStyle w:val="32"/>
              <w:spacing w:before="0" w:after="0"/>
              <w:rPr>
                <w:sz w:val="18"/>
                <w:szCs w:val="18"/>
              </w:rPr>
            </w:pPr>
            <w:r>
              <w:rPr>
                <w:rFonts w:hint="eastAsia"/>
                <w:sz w:val="18"/>
                <w:szCs w:val="18"/>
              </w:rPr>
              <w:t>6.95</w:t>
            </w:r>
          </w:p>
        </w:tc>
        <w:tc>
          <w:tcPr>
            <w:tcW w:w="2995" w:type="dxa"/>
            <w:vMerge w:val="restart"/>
            <w:vAlign w:val="center"/>
          </w:tcPr>
          <w:p>
            <w:pPr>
              <w:pStyle w:val="33"/>
              <w:rPr>
                <w:sz w:val="18"/>
                <w:szCs w:val="18"/>
              </w:rPr>
            </w:pPr>
            <w:r>
              <w:rPr>
                <w:rFonts w:hint="eastAsia"/>
                <w:sz w:val="18"/>
                <w:szCs w:val="18"/>
              </w:rPr>
              <w:t>颗粒物、SO</w:t>
            </w:r>
            <w:r>
              <w:rPr>
                <w:rFonts w:hint="eastAsia"/>
                <w:sz w:val="18"/>
                <w:szCs w:val="18"/>
                <w:vertAlign w:val="subscript"/>
              </w:rPr>
              <w:t>2</w:t>
            </w:r>
            <w:r>
              <w:rPr>
                <w:rFonts w:hint="eastAsia"/>
                <w:sz w:val="18"/>
                <w:szCs w:val="18"/>
              </w:rPr>
              <w:t>执行《工业炉窑大气污染物排放标准》（GB9078-1996），NOx、氟化物执行《大气污染物综合排放标准》（GB16297-1996）表2二级标准的要求。</w:t>
            </w:r>
          </w:p>
        </w:tc>
        <w:tc>
          <w:tcPr>
            <w:tcW w:w="862" w:type="dxa"/>
            <w:vAlign w:val="center"/>
          </w:tcPr>
          <w:p>
            <w:pPr>
              <w:widowControl/>
              <w:jc w:val="center"/>
              <w:rPr>
                <w:sz w:val="18"/>
                <w:szCs w:val="18"/>
              </w:rPr>
            </w:pPr>
            <w:r>
              <w:rPr>
                <w:rFonts w:hint="eastAsia"/>
                <w:sz w:val="18"/>
                <w:szCs w:val="18"/>
              </w:rPr>
              <w:t>100</w:t>
            </w:r>
          </w:p>
        </w:tc>
        <w:tc>
          <w:tcPr>
            <w:tcW w:w="689" w:type="dxa"/>
            <w:vAlign w:val="center"/>
          </w:tcPr>
          <w:p>
            <w:pPr>
              <w:widowControl/>
              <w:jc w:val="center"/>
              <w:rPr>
                <w:sz w:val="18"/>
                <w:szCs w:val="18"/>
              </w:rPr>
            </w:pPr>
            <w:r>
              <w:rPr>
                <w:rFonts w:hint="eastAsia"/>
                <w:sz w:val="18"/>
                <w:szCs w:val="18"/>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SO</w:t>
            </w:r>
            <w:r>
              <w:rPr>
                <w:rFonts w:hint="eastAsia"/>
                <w:sz w:val="18"/>
                <w:szCs w:val="18"/>
                <w:vertAlign w:val="subscript"/>
              </w:rPr>
              <w:t>2</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5.70</w:t>
            </w:r>
          </w:p>
        </w:tc>
        <w:tc>
          <w:tcPr>
            <w:tcW w:w="1180" w:type="dxa"/>
            <w:vAlign w:val="center"/>
          </w:tcPr>
          <w:p>
            <w:pPr>
              <w:pStyle w:val="32"/>
              <w:spacing w:before="0" w:after="0"/>
              <w:rPr>
                <w:sz w:val="18"/>
                <w:szCs w:val="18"/>
              </w:rPr>
            </w:pPr>
            <w:r>
              <w:rPr>
                <w:rFonts w:hint="eastAsia"/>
                <w:sz w:val="18"/>
                <w:szCs w:val="18"/>
              </w:rPr>
              <w:t>2.28</w:t>
            </w:r>
          </w:p>
        </w:tc>
        <w:tc>
          <w:tcPr>
            <w:tcW w:w="2995" w:type="dxa"/>
            <w:vMerge w:val="continue"/>
            <w:vAlign w:val="center"/>
          </w:tcPr>
          <w:p>
            <w:pPr>
              <w:pStyle w:val="33"/>
              <w:rPr>
                <w:sz w:val="18"/>
                <w:szCs w:val="18"/>
              </w:rPr>
            </w:pPr>
          </w:p>
        </w:tc>
        <w:tc>
          <w:tcPr>
            <w:tcW w:w="862" w:type="dxa"/>
            <w:vAlign w:val="center"/>
          </w:tcPr>
          <w:p>
            <w:pPr>
              <w:jc w:val="center"/>
              <w:rPr>
                <w:sz w:val="18"/>
                <w:szCs w:val="18"/>
              </w:rPr>
            </w:pPr>
            <w:r>
              <w:rPr>
                <w:rFonts w:hint="eastAsia"/>
                <w:sz w:val="18"/>
                <w:szCs w:val="18"/>
              </w:rPr>
              <w:t>550</w:t>
            </w:r>
          </w:p>
        </w:tc>
        <w:tc>
          <w:tcPr>
            <w:tcW w:w="689" w:type="dxa"/>
            <w:vAlign w:val="center"/>
          </w:tcPr>
          <w:p>
            <w:pPr>
              <w:jc w:val="center"/>
              <w:rPr>
                <w:sz w:val="18"/>
                <w:szCs w:val="18"/>
              </w:rPr>
            </w:pPr>
            <w:r>
              <w:rPr>
                <w:rFonts w:hint="eastAsia"/>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NO</w:t>
            </w:r>
            <w:r>
              <w:rPr>
                <w:rFonts w:hint="eastAsia"/>
                <w:sz w:val="18"/>
                <w:szCs w:val="18"/>
                <w:vertAlign w:val="subscript"/>
              </w:rPr>
              <w:t>x</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22.61</w:t>
            </w:r>
          </w:p>
        </w:tc>
        <w:tc>
          <w:tcPr>
            <w:tcW w:w="1180" w:type="dxa"/>
            <w:vAlign w:val="center"/>
          </w:tcPr>
          <w:p>
            <w:pPr>
              <w:pStyle w:val="32"/>
              <w:spacing w:before="0" w:after="0"/>
              <w:rPr>
                <w:sz w:val="18"/>
                <w:szCs w:val="18"/>
              </w:rPr>
            </w:pPr>
            <w:r>
              <w:rPr>
                <w:rFonts w:hint="eastAsia"/>
                <w:sz w:val="18"/>
                <w:szCs w:val="18"/>
              </w:rPr>
              <w:t>9.05</w:t>
            </w:r>
          </w:p>
        </w:tc>
        <w:tc>
          <w:tcPr>
            <w:tcW w:w="2995" w:type="dxa"/>
            <w:vMerge w:val="continue"/>
            <w:vAlign w:val="center"/>
          </w:tcPr>
          <w:p>
            <w:pPr>
              <w:pStyle w:val="33"/>
              <w:rPr>
                <w:sz w:val="18"/>
                <w:szCs w:val="18"/>
              </w:rPr>
            </w:pPr>
          </w:p>
        </w:tc>
        <w:tc>
          <w:tcPr>
            <w:tcW w:w="862" w:type="dxa"/>
            <w:vAlign w:val="center"/>
          </w:tcPr>
          <w:p>
            <w:pPr>
              <w:jc w:val="center"/>
              <w:rPr>
                <w:sz w:val="18"/>
                <w:szCs w:val="18"/>
              </w:rPr>
            </w:pPr>
            <w:r>
              <w:rPr>
                <w:rFonts w:hint="eastAsia"/>
                <w:sz w:val="18"/>
                <w:szCs w:val="18"/>
              </w:rPr>
              <w:t>240</w:t>
            </w:r>
          </w:p>
        </w:tc>
        <w:tc>
          <w:tcPr>
            <w:tcW w:w="689" w:type="dxa"/>
            <w:vAlign w:val="center"/>
          </w:tcPr>
          <w:p>
            <w:pPr>
              <w:jc w:val="center"/>
              <w:rPr>
                <w:sz w:val="18"/>
                <w:szCs w:val="18"/>
              </w:rPr>
            </w:pPr>
            <w:r>
              <w:rPr>
                <w:rFonts w:hint="eastAsia"/>
                <w:sz w:val="18"/>
                <w:szCs w:val="18"/>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widowControl/>
              <w:jc w:val="center"/>
              <w:rPr>
                <w:sz w:val="18"/>
                <w:szCs w:val="18"/>
              </w:rPr>
            </w:pPr>
            <w:r>
              <w:rPr>
                <w:rFonts w:hint="eastAsia"/>
                <w:sz w:val="18"/>
                <w:szCs w:val="18"/>
              </w:rPr>
              <w:t>氟化物</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0.016</w:t>
            </w:r>
          </w:p>
        </w:tc>
        <w:tc>
          <w:tcPr>
            <w:tcW w:w="1180" w:type="dxa"/>
            <w:vAlign w:val="center"/>
          </w:tcPr>
          <w:p>
            <w:pPr>
              <w:pStyle w:val="32"/>
              <w:spacing w:before="0" w:after="0"/>
              <w:rPr>
                <w:sz w:val="18"/>
                <w:szCs w:val="18"/>
              </w:rPr>
            </w:pPr>
            <w:r>
              <w:rPr>
                <w:rFonts w:hint="eastAsia"/>
                <w:sz w:val="18"/>
                <w:szCs w:val="18"/>
              </w:rPr>
              <w:t>0.0039</w:t>
            </w:r>
          </w:p>
        </w:tc>
        <w:tc>
          <w:tcPr>
            <w:tcW w:w="2995" w:type="dxa"/>
            <w:vMerge w:val="continue"/>
            <w:vAlign w:val="center"/>
          </w:tcPr>
          <w:p>
            <w:pPr>
              <w:pStyle w:val="33"/>
              <w:rPr>
                <w:sz w:val="18"/>
                <w:szCs w:val="18"/>
              </w:rPr>
            </w:pPr>
          </w:p>
        </w:tc>
        <w:tc>
          <w:tcPr>
            <w:tcW w:w="862" w:type="dxa"/>
            <w:vAlign w:val="center"/>
          </w:tcPr>
          <w:p>
            <w:pPr>
              <w:jc w:val="center"/>
              <w:rPr>
                <w:sz w:val="18"/>
                <w:szCs w:val="18"/>
              </w:rPr>
            </w:pPr>
            <w:r>
              <w:rPr>
                <w:rFonts w:hint="eastAsia"/>
                <w:sz w:val="18"/>
                <w:szCs w:val="18"/>
              </w:rPr>
              <w:t>6</w:t>
            </w:r>
          </w:p>
        </w:tc>
        <w:tc>
          <w:tcPr>
            <w:tcW w:w="689" w:type="dxa"/>
            <w:vAlign w:val="center"/>
          </w:tcPr>
          <w:p>
            <w:pPr>
              <w:jc w:val="center"/>
              <w:rPr>
                <w:sz w:val="18"/>
                <w:szCs w:val="18"/>
              </w:rPr>
            </w:pPr>
            <w:r>
              <w:rPr>
                <w:rFonts w:hint="eastAsia"/>
                <w:sz w:val="18"/>
                <w:szCs w:val="18"/>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Align w:val="center"/>
          </w:tcPr>
          <w:p>
            <w:pPr>
              <w:pStyle w:val="33"/>
              <w:rPr>
                <w:sz w:val="18"/>
                <w:szCs w:val="18"/>
              </w:rPr>
            </w:pPr>
            <w:r>
              <w:rPr>
                <w:rFonts w:hint="eastAsia"/>
                <w:sz w:val="18"/>
                <w:szCs w:val="18"/>
              </w:rPr>
              <w:t>二期工程铝灰分离机</w:t>
            </w:r>
          </w:p>
        </w:tc>
        <w:tc>
          <w:tcPr>
            <w:tcW w:w="1275" w:type="dxa"/>
            <w:vAlign w:val="center"/>
          </w:tcPr>
          <w:p>
            <w:pPr>
              <w:widowControl/>
              <w:jc w:val="center"/>
              <w:rPr>
                <w:sz w:val="18"/>
                <w:szCs w:val="18"/>
              </w:rPr>
            </w:pPr>
            <w:r>
              <w:rPr>
                <w:rFonts w:hint="eastAsia"/>
                <w:sz w:val="18"/>
                <w:szCs w:val="18"/>
              </w:rPr>
              <w:t>铝灰分离废气G2-4</w:t>
            </w:r>
          </w:p>
        </w:tc>
        <w:tc>
          <w:tcPr>
            <w:tcW w:w="1025" w:type="dxa"/>
            <w:vAlign w:val="center"/>
          </w:tcPr>
          <w:p>
            <w:pPr>
              <w:pStyle w:val="33"/>
              <w:rPr>
                <w:sz w:val="18"/>
                <w:szCs w:val="18"/>
              </w:rPr>
            </w:pPr>
            <w:r>
              <w:rPr>
                <w:sz w:val="18"/>
                <w:szCs w:val="18"/>
              </w:rPr>
              <w:t>H</w:t>
            </w:r>
            <w:r>
              <w:rPr>
                <w:rFonts w:hint="eastAsia"/>
                <w:sz w:val="18"/>
                <w:szCs w:val="18"/>
              </w:rPr>
              <w:t>20</w:t>
            </w:r>
            <w:r>
              <w:rPr>
                <w:sz w:val="18"/>
                <w:szCs w:val="18"/>
              </w:rPr>
              <w:t>Φ</w:t>
            </w:r>
            <w:r>
              <w:rPr>
                <w:rFonts w:hint="eastAsia"/>
                <w:sz w:val="18"/>
                <w:szCs w:val="18"/>
              </w:rPr>
              <w:t>1.6</w:t>
            </w:r>
          </w:p>
        </w:tc>
        <w:tc>
          <w:tcPr>
            <w:tcW w:w="828" w:type="dxa"/>
            <w:vAlign w:val="center"/>
          </w:tcPr>
          <w:p>
            <w:pPr>
              <w:pStyle w:val="33"/>
              <w:rPr>
                <w:sz w:val="18"/>
                <w:szCs w:val="18"/>
              </w:rPr>
            </w:pPr>
            <w:r>
              <w:rPr>
                <w:rFonts w:hint="eastAsia"/>
                <w:sz w:val="18"/>
                <w:szCs w:val="18"/>
              </w:rPr>
              <w:t>5000</w:t>
            </w:r>
          </w:p>
        </w:tc>
        <w:tc>
          <w:tcPr>
            <w:tcW w:w="772" w:type="dxa"/>
            <w:vAlign w:val="center"/>
          </w:tcPr>
          <w:p>
            <w:pPr>
              <w:pStyle w:val="33"/>
              <w:rPr>
                <w:sz w:val="18"/>
                <w:szCs w:val="18"/>
              </w:rPr>
            </w:pPr>
            <w:r>
              <w:rPr>
                <w:rFonts w:hint="eastAsia"/>
                <w:sz w:val="18"/>
                <w:szCs w:val="18"/>
              </w:rPr>
              <w:t>2640</w:t>
            </w:r>
          </w:p>
        </w:tc>
        <w:tc>
          <w:tcPr>
            <w:tcW w:w="937" w:type="dxa"/>
            <w:vAlign w:val="center"/>
          </w:tcPr>
          <w:p>
            <w:pPr>
              <w:widowControl/>
              <w:jc w:val="center"/>
              <w:rPr>
                <w:sz w:val="18"/>
                <w:szCs w:val="18"/>
              </w:rPr>
            </w:pPr>
            <w:r>
              <w:rPr>
                <w:rFonts w:hint="eastAsia"/>
                <w:sz w:val="18"/>
                <w:szCs w:val="18"/>
              </w:rPr>
              <w:t>颗粒物</w:t>
            </w:r>
          </w:p>
        </w:tc>
        <w:tc>
          <w:tcPr>
            <w:tcW w:w="1938" w:type="dxa"/>
            <w:vAlign w:val="center"/>
          </w:tcPr>
          <w:p>
            <w:pPr>
              <w:pStyle w:val="33"/>
              <w:rPr>
                <w:sz w:val="18"/>
                <w:szCs w:val="18"/>
              </w:rPr>
            </w:pPr>
            <w:r>
              <w:rPr>
                <w:rFonts w:hint="eastAsia"/>
                <w:sz w:val="18"/>
                <w:szCs w:val="18"/>
              </w:rPr>
              <w:t>布袋除尘器</w:t>
            </w:r>
          </w:p>
          <w:p>
            <w:pPr>
              <w:pStyle w:val="33"/>
              <w:rPr>
                <w:sz w:val="18"/>
                <w:szCs w:val="18"/>
              </w:rPr>
            </w:pPr>
            <w:r>
              <w:rPr>
                <w:rFonts w:hint="eastAsia"/>
                <w:sz w:val="18"/>
                <w:szCs w:val="18"/>
              </w:rPr>
              <w:t>颗粒物去除效率98%</w:t>
            </w:r>
          </w:p>
        </w:tc>
        <w:tc>
          <w:tcPr>
            <w:tcW w:w="1100" w:type="dxa"/>
            <w:vAlign w:val="center"/>
          </w:tcPr>
          <w:p>
            <w:pPr>
              <w:pStyle w:val="32"/>
              <w:spacing w:before="0" w:after="0"/>
              <w:rPr>
                <w:sz w:val="18"/>
                <w:szCs w:val="18"/>
              </w:rPr>
            </w:pPr>
            <w:r>
              <w:rPr>
                <w:rFonts w:hint="eastAsia"/>
                <w:sz w:val="18"/>
                <w:szCs w:val="18"/>
              </w:rPr>
              <w:t>8.01</w:t>
            </w:r>
          </w:p>
        </w:tc>
        <w:tc>
          <w:tcPr>
            <w:tcW w:w="1180" w:type="dxa"/>
            <w:vAlign w:val="center"/>
          </w:tcPr>
          <w:p>
            <w:pPr>
              <w:pStyle w:val="32"/>
              <w:spacing w:before="0" w:after="0"/>
              <w:rPr>
                <w:sz w:val="18"/>
                <w:szCs w:val="18"/>
              </w:rPr>
            </w:pPr>
            <w:r>
              <w:rPr>
                <w:rFonts w:hint="eastAsia"/>
                <w:sz w:val="18"/>
                <w:szCs w:val="18"/>
              </w:rPr>
              <w:t>0.11</w:t>
            </w:r>
          </w:p>
        </w:tc>
        <w:tc>
          <w:tcPr>
            <w:tcW w:w="2995" w:type="dxa"/>
            <w:vAlign w:val="center"/>
          </w:tcPr>
          <w:p>
            <w:pPr>
              <w:pStyle w:val="33"/>
              <w:rPr>
                <w:sz w:val="18"/>
                <w:szCs w:val="18"/>
              </w:rPr>
            </w:pPr>
            <w:r>
              <w:rPr>
                <w:rFonts w:hint="eastAsia"/>
                <w:sz w:val="18"/>
                <w:szCs w:val="18"/>
              </w:rPr>
              <w:t>颗粒物排放执行</w:t>
            </w:r>
            <w:r>
              <w:rPr>
                <w:sz w:val="18"/>
                <w:szCs w:val="18"/>
              </w:rPr>
              <w:t>《大气污染物综合排放标准》（GB16297-1996）表2二级标准</w:t>
            </w:r>
          </w:p>
        </w:tc>
        <w:tc>
          <w:tcPr>
            <w:tcW w:w="862" w:type="dxa"/>
            <w:vAlign w:val="center"/>
          </w:tcPr>
          <w:p>
            <w:pPr>
              <w:pStyle w:val="32"/>
              <w:spacing w:before="0" w:after="0"/>
              <w:rPr>
                <w:sz w:val="18"/>
                <w:szCs w:val="18"/>
              </w:rPr>
            </w:pPr>
            <w:r>
              <w:rPr>
                <w:rFonts w:hint="eastAsia"/>
                <w:sz w:val="18"/>
                <w:szCs w:val="18"/>
              </w:rPr>
              <w:t>120</w:t>
            </w:r>
          </w:p>
        </w:tc>
        <w:tc>
          <w:tcPr>
            <w:tcW w:w="689" w:type="dxa"/>
            <w:vAlign w:val="center"/>
          </w:tcPr>
          <w:p>
            <w:pPr>
              <w:pStyle w:val="32"/>
              <w:spacing w:before="0" w:after="0"/>
              <w:rPr>
                <w:sz w:val="18"/>
                <w:szCs w:val="18"/>
              </w:rPr>
            </w:pPr>
            <w:r>
              <w:rPr>
                <w:rFonts w:hint="eastAsia"/>
                <w:sz w:val="18"/>
                <w:szCs w:val="18"/>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restart"/>
            <w:vAlign w:val="center"/>
          </w:tcPr>
          <w:p>
            <w:pPr>
              <w:pStyle w:val="33"/>
              <w:rPr>
                <w:sz w:val="18"/>
                <w:szCs w:val="18"/>
              </w:rPr>
            </w:pPr>
            <w:r>
              <w:rPr>
                <w:rFonts w:hint="eastAsia"/>
                <w:sz w:val="18"/>
                <w:szCs w:val="18"/>
              </w:rPr>
              <w:t>二期工程生产车间</w:t>
            </w:r>
          </w:p>
        </w:tc>
        <w:tc>
          <w:tcPr>
            <w:tcW w:w="1275" w:type="dxa"/>
            <w:vMerge w:val="restart"/>
            <w:vAlign w:val="center"/>
          </w:tcPr>
          <w:p>
            <w:pPr>
              <w:widowControl/>
              <w:jc w:val="center"/>
              <w:rPr>
                <w:sz w:val="18"/>
                <w:szCs w:val="18"/>
              </w:rPr>
            </w:pPr>
            <w:r>
              <w:rPr>
                <w:rFonts w:hint="eastAsia"/>
                <w:sz w:val="18"/>
                <w:szCs w:val="18"/>
              </w:rPr>
              <w:t>无组织排放</w:t>
            </w:r>
          </w:p>
        </w:tc>
        <w:tc>
          <w:tcPr>
            <w:tcW w:w="1025" w:type="dxa"/>
            <w:vMerge w:val="restart"/>
            <w:vAlign w:val="center"/>
          </w:tcPr>
          <w:p>
            <w:pPr>
              <w:pStyle w:val="33"/>
              <w:rPr>
                <w:sz w:val="18"/>
                <w:szCs w:val="18"/>
              </w:rPr>
            </w:pPr>
            <w:r>
              <w:rPr>
                <w:rFonts w:hint="eastAsia"/>
                <w:sz w:val="18"/>
                <w:szCs w:val="18"/>
              </w:rPr>
              <w:t>54x155=8370</w:t>
            </w:r>
          </w:p>
        </w:tc>
        <w:tc>
          <w:tcPr>
            <w:tcW w:w="828" w:type="dxa"/>
            <w:vMerge w:val="restart"/>
            <w:vAlign w:val="center"/>
          </w:tcPr>
          <w:p>
            <w:pPr>
              <w:pStyle w:val="33"/>
              <w:rPr>
                <w:sz w:val="18"/>
                <w:szCs w:val="18"/>
              </w:rPr>
            </w:pPr>
            <w:r>
              <w:rPr>
                <w:rFonts w:hint="eastAsia"/>
                <w:sz w:val="18"/>
                <w:szCs w:val="18"/>
              </w:rPr>
              <w:t>/</w:t>
            </w:r>
          </w:p>
        </w:tc>
        <w:tc>
          <w:tcPr>
            <w:tcW w:w="772" w:type="dxa"/>
            <w:vMerge w:val="restart"/>
            <w:vAlign w:val="center"/>
          </w:tcPr>
          <w:p>
            <w:pPr>
              <w:pStyle w:val="33"/>
              <w:rPr>
                <w:sz w:val="18"/>
                <w:szCs w:val="18"/>
              </w:rPr>
            </w:pPr>
            <w:r>
              <w:rPr>
                <w:rFonts w:hint="eastAsia"/>
                <w:sz w:val="18"/>
                <w:szCs w:val="18"/>
              </w:rPr>
              <w:t>4950</w:t>
            </w:r>
          </w:p>
        </w:tc>
        <w:tc>
          <w:tcPr>
            <w:tcW w:w="937" w:type="dxa"/>
            <w:vAlign w:val="center"/>
          </w:tcPr>
          <w:p>
            <w:pPr>
              <w:pStyle w:val="33"/>
              <w:rPr>
                <w:sz w:val="18"/>
                <w:szCs w:val="18"/>
              </w:rPr>
            </w:pPr>
            <w:r>
              <w:rPr>
                <w:rFonts w:hint="eastAsia"/>
                <w:sz w:val="18"/>
                <w:szCs w:val="18"/>
              </w:rPr>
              <w:t>颗粒物</w:t>
            </w:r>
          </w:p>
        </w:tc>
        <w:tc>
          <w:tcPr>
            <w:tcW w:w="1938" w:type="dxa"/>
            <w:vMerge w:val="restart"/>
            <w:vAlign w:val="center"/>
          </w:tcPr>
          <w:p>
            <w:pPr>
              <w:pStyle w:val="33"/>
              <w:rPr>
                <w:sz w:val="18"/>
                <w:szCs w:val="18"/>
              </w:rPr>
            </w:pPr>
            <w:r>
              <w:rPr>
                <w:rFonts w:hint="eastAsia"/>
                <w:sz w:val="18"/>
                <w:szCs w:val="18"/>
              </w:rPr>
              <w:t>半密闭厂房、自然沉降</w:t>
            </w:r>
          </w:p>
        </w:tc>
        <w:tc>
          <w:tcPr>
            <w:tcW w:w="1100" w:type="dxa"/>
            <w:vAlign w:val="center"/>
          </w:tcPr>
          <w:p>
            <w:pPr>
              <w:pStyle w:val="32"/>
              <w:spacing w:before="0" w:after="0"/>
              <w:rPr>
                <w:sz w:val="18"/>
                <w:szCs w:val="18"/>
              </w:rPr>
            </w:pPr>
            <w:r>
              <w:rPr>
                <w:rFonts w:hint="eastAsia"/>
                <w:sz w:val="18"/>
                <w:szCs w:val="18"/>
              </w:rPr>
              <w:t>/</w:t>
            </w:r>
          </w:p>
        </w:tc>
        <w:tc>
          <w:tcPr>
            <w:tcW w:w="1180" w:type="dxa"/>
            <w:vAlign w:val="center"/>
          </w:tcPr>
          <w:p>
            <w:pPr>
              <w:pStyle w:val="32"/>
              <w:spacing w:before="0" w:after="0"/>
              <w:rPr>
                <w:sz w:val="18"/>
                <w:szCs w:val="18"/>
              </w:rPr>
            </w:pPr>
            <w:r>
              <w:rPr>
                <w:rFonts w:hint="eastAsia"/>
                <w:sz w:val="18"/>
                <w:szCs w:val="18"/>
              </w:rPr>
              <w:t>0.35</w:t>
            </w:r>
          </w:p>
        </w:tc>
        <w:tc>
          <w:tcPr>
            <w:tcW w:w="2995" w:type="dxa"/>
            <w:vMerge w:val="restart"/>
            <w:vAlign w:val="center"/>
          </w:tcPr>
          <w:p>
            <w:pPr>
              <w:pStyle w:val="33"/>
              <w:rPr>
                <w:sz w:val="18"/>
                <w:szCs w:val="18"/>
              </w:rPr>
            </w:pPr>
            <w:r>
              <w:rPr>
                <w:rFonts w:hint="eastAsia"/>
                <w:sz w:val="18"/>
                <w:szCs w:val="18"/>
              </w:rPr>
              <w:t>《大气污染物综合排放标准》（GB16297-1996）表2二级标准</w:t>
            </w:r>
          </w:p>
        </w:tc>
        <w:tc>
          <w:tcPr>
            <w:tcW w:w="862" w:type="dxa"/>
            <w:vAlign w:val="center"/>
          </w:tcPr>
          <w:p>
            <w:pPr>
              <w:pStyle w:val="32"/>
              <w:spacing w:before="0" w:after="0"/>
              <w:rPr>
                <w:sz w:val="18"/>
                <w:szCs w:val="18"/>
              </w:rPr>
            </w:pPr>
            <w:r>
              <w:rPr>
                <w:rFonts w:hint="eastAsia"/>
                <w:sz w:val="18"/>
                <w:szCs w:val="18"/>
              </w:rPr>
              <w:t>/</w:t>
            </w:r>
          </w:p>
        </w:tc>
        <w:tc>
          <w:tcPr>
            <w:tcW w:w="689" w:type="dxa"/>
            <w:vAlign w:val="center"/>
          </w:tcPr>
          <w:p>
            <w:pPr>
              <w:pStyle w:val="32"/>
              <w:spacing w:before="0" w:after="0"/>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pStyle w:val="33"/>
              <w:rPr>
                <w:sz w:val="18"/>
                <w:szCs w:val="18"/>
              </w:rPr>
            </w:pPr>
            <w:r>
              <w:rPr>
                <w:rFonts w:hint="eastAsia"/>
                <w:sz w:val="18"/>
                <w:szCs w:val="18"/>
              </w:rPr>
              <w:t>NO</w:t>
            </w:r>
            <w:r>
              <w:rPr>
                <w:rFonts w:hint="eastAsia"/>
                <w:sz w:val="18"/>
                <w:szCs w:val="18"/>
                <w:vertAlign w:val="subscript"/>
              </w:rPr>
              <w:t>X</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w:t>
            </w:r>
          </w:p>
        </w:tc>
        <w:tc>
          <w:tcPr>
            <w:tcW w:w="1180" w:type="dxa"/>
            <w:vAlign w:val="center"/>
          </w:tcPr>
          <w:p>
            <w:pPr>
              <w:pStyle w:val="33"/>
              <w:rPr>
                <w:sz w:val="18"/>
                <w:szCs w:val="18"/>
              </w:rPr>
            </w:pPr>
            <w:r>
              <w:rPr>
                <w:rFonts w:hint="eastAsia"/>
                <w:sz w:val="18"/>
                <w:szCs w:val="18"/>
              </w:rPr>
              <w:t>0.026</w:t>
            </w:r>
          </w:p>
        </w:tc>
        <w:tc>
          <w:tcPr>
            <w:tcW w:w="2995" w:type="dxa"/>
            <w:vMerge w:val="continue"/>
            <w:vAlign w:val="center"/>
          </w:tcPr>
          <w:p>
            <w:pPr>
              <w:pStyle w:val="33"/>
              <w:rPr>
                <w:sz w:val="18"/>
                <w:szCs w:val="18"/>
              </w:rPr>
            </w:pPr>
          </w:p>
        </w:tc>
        <w:tc>
          <w:tcPr>
            <w:tcW w:w="862" w:type="dxa"/>
            <w:vAlign w:val="center"/>
          </w:tcPr>
          <w:p>
            <w:pPr>
              <w:pStyle w:val="32"/>
              <w:spacing w:before="0" w:after="0"/>
              <w:rPr>
                <w:sz w:val="18"/>
                <w:szCs w:val="18"/>
              </w:rPr>
            </w:pPr>
            <w:r>
              <w:rPr>
                <w:rFonts w:hint="eastAsia"/>
                <w:sz w:val="18"/>
                <w:szCs w:val="18"/>
              </w:rPr>
              <w:t>/</w:t>
            </w:r>
          </w:p>
        </w:tc>
        <w:tc>
          <w:tcPr>
            <w:tcW w:w="689" w:type="dxa"/>
            <w:vAlign w:val="center"/>
          </w:tcPr>
          <w:p>
            <w:pPr>
              <w:pStyle w:val="32"/>
              <w:spacing w:before="0" w:after="0"/>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Merge w:val="continue"/>
            <w:vAlign w:val="center"/>
          </w:tcPr>
          <w:p>
            <w:pPr>
              <w:pStyle w:val="33"/>
              <w:rPr>
                <w:sz w:val="18"/>
                <w:szCs w:val="18"/>
              </w:rPr>
            </w:pPr>
          </w:p>
        </w:tc>
        <w:tc>
          <w:tcPr>
            <w:tcW w:w="1275" w:type="dxa"/>
            <w:vMerge w:val="continue"/>
            <w:vAlign w:val="center"/>
          </w:tcPr>
          <w:p>
            <w:pPr>
              <w:widowControl/>
              <w:jc w:val="center"/>
              <w:rPr>
                <w:sz w:val="18"/>
                <w:szCs w:val="18"/>
              </w:rPr>
            </w:pPr>
          </w:p>
        </w:tc>
        <w:tc>
          <w:tcPr>
            <w:tcW w:w="1025" w:type="dxa"/>
            <w:vMerge w:val="continue"/>
            <w:vAlign w:val="center"/>
          </w:tcPr>
          <w:p>
            <w:pPr>
              <w:pStyle w:val="33"/>
              <w:rPr>
                <w:sz w:val="18"/>
                <w:szCs w:val="18"/>
              </w:rPr>
            </w:pPr>
          </w:p>
        </w:tc>
        <w:tc>
          <w:tcPr>
            <w:tcW w:w="828" w:type="dxa"/>
            <w:vMerge w:val="continue"/>
            <w:vAlign w:val="center"/>
          </w:tcPr>
          <w:p>
            <w:pPr>
              <w:pStyle w:val="33"/>
              <w:rPr>
                <w:sz w:val="18"/>
                <w:szCs w:val="18"/>
              </w:rPr>
            </w:pPr>
          </w:p>
        </w:tc>
        <w:tc>
          <w:tcPr>
            <w:tcW w:w="772" w:type="dxa"/>
            <w:vMerge w:val="continue"/>
            <w:vAlign w:val="center"/>
          </w:tcPr>
          <w:p>
            <w:pPr>
              <w:pStyle w:val="33"/>
              <w:rPr>
                <w:sz w:val="18"/>
                <w:szCs w:val="18"/>
              </w:rPr>
            </w:pPr>
          </w:p>
        </w:tc>
        <w:tc>
          <w:tcPr>
            <w:tcW w:w="937" w:type="dxa"/>
            <w:vAlign w:val="center"/>
          </w:tcPr>
          <w:p>
            <w:pPr>
              <w:pStyle w:val="33"/>
              <w:rPr>
                <w:sz w:val="18"/>
                <w:szCs w:val="18"/>
              </w:rPr>
            </w:pPr>
            <w:r>
              <w:rPr>
                <w:rFonts w:hint="eastAsia"/>
                <w:sz w:val="18"/>
                <w:szCs w:val="18"/>
              </w:rPr>
              <w:t>SO</w:t>
            </w:r>
            <w:r>
              <w:rPr>
                <w:rFonts w:hint="eastAsia"/>
                <w:sz w:val="18"/>
                <w:szCs w:val="18"/>
                <w:vertAlign w:val="subscript"/>
              </w:rPr>
              <w:t>2</w:t>
            </w:r>
          </w:p>
        </w:tc>
        <w:tc>
          <w:tcPr>
            <w:tcW w:w="1938" w:type="dxa"/>
            <w:vMerge w:val="continue"/>
            <w:vAlign w:val="center"/>
          </w:tcPr>
          <w:p>
            <w:pPr>
              <w:pStyle w:val="33"/>
              <w:rPr>
                <w:sz w:val="18"/>
                <w:szCs w:val="18"/>
              </w:rPr>
            </w:pPr>
          </w:p>
        </w:tc>
        <w:tc>
          <w:tcPr>
            <w:tcW w:w="1100" w:type="dxa"/>
            <w:vAlign w:val="center"/>
          </w:tcPr>
          <w:p>
            <w:pPr>
              <w:pStyle w:val="32"/>
              <w:spacing w:before="0" w:after="0"/>
              <w:rPr>
                <w:sz w:val="18"/>
                <w:szCs w:val="18"/>
              </w:rPr>
            </w:pPr>
            <w:r>
              <w:rPr>
                <w:rFonts w:hint="eastAsia"/>
                <w:sz w:val="18"/>
                <w:szCs w:val="18"/>
              </w:rPr>
              <w:t>/</w:t>
            </w:r>
          </w:p>
        </w:tc>
        <w:tc>
          <w:tcPr>
            <w:tcW w:w="1180" w:type="dxa"/>
            <w:vAlign w:val="center"/>
          </w:tcPr>
          <w:p>
            <w:pPr>
              <w:pStyle w:val="33"/>
              <w:rPr>
                <w:sz w:val="18"/>
                <w:szCs w:val="18"/>
              </w:rPr>
            </w:pPr>
            <w:r>
              <w:rPr>
                <w:rFonts w:hint="eastAsia"/>
                <w:sz w:val="18"/>
                <w:szCs w:val="18"/>
              </w:rPr>
              <w:t>0.0022</w:t>
            </w:r>
          </w:p>
        </w:tc>
        <w:tc>
          <w:tcPr>
            <w:tcW w:w="2995" w:type="dxa"/>
            <w:vMerge w:val="continue"/>
            <w:vAlign w:val="center"/>
          </w:tcPr>
          <w:p>
            <w:pPr>
              <w:pStyle w:val="33"/>
              <w:rPr>
                <w:sz w:val="18"/>
                <w:szCs w:val="18"/>
              </w:rPr>
            </w:pPr>
          </w:p>
        </w:tc>
        <w:tc>
          <w:tcPr>
            <w:tcW w:w="862" w:type="dxa"/>
            <w:vAlign w:val="center"/>
          </w:tcPr>
          <w:p>
            <w:pPr>
              <w:pStyle w:val="32"/>
              <w:spacing w:before="0" w:after="0"/>
              <w:rPr>
                <w:sz w:val="18"/>
                <w:szCs w:val="18"/>
              </w:rPr>
            </w:pPr>
            <w:r>
              <w:rPr>
                <w:rFonts w:hint="eastAsia"/>
                <w:sz w:val="18"/>
                <w:szCs w:val="18"/>
              </w:rPr>
              <w:t>/</w:t>
            </w:r>
          </w:p>
        </w:tc>
        <w:tc>
          <w:tcPr>
            <w:tcW w:w="689" w:type="dxa"/>
            <w:vAlign w:val="center"/>
          </w:tcPr>
          <w:p>
            <w:pPr>
              <w:pStyle w:val="32"/>
              <w:spacing w:before="0" w:after="0"/>
              <w:rPr>
                <w:sz w:val="18"/>
                <w:szCs w:val="18"/>
              </w:rPr>
            </w:pPr>
            <w:r>
              <w:rPr>
                <w:rFonts w:hint="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1" w:type="dxa"/>
            <w:vAlign w:val="center"/>
          </w:tcPr>
          <w:p>
            <w:pPr>
              <w:pStyle w:val="33"/>
              <w:rPr>
                <w:sz w:val="18"/>
                <w:szCs w:val="18"/>
              </w:rPr>
            </w:pPr>
            <w:r>
              <w:rPr>
                <w:rFonts w:hint="eastAsia"/>
                <w:sz w:val="18"/>
                <w:szCs w:val="18"/>
              </w:rPr>
              <w:t>二期工程</w:t>
            </w:r>
            <w:r>
              <w:rPr>
                <w:sz w:val="18"/>
                <w:szCs w:val="18"/>
              </w:rPr>
              <w:t>铝灰分离</w:t>
            </w:r>
            <w:r>
              <w:rPr>
                <w:rFonts w:hint="eastAsia"/>
                <w:sz w:val="18"/>
                <w:szCs w:val="18"/>
              </w:rPr>
              <w:t>车间</w:t>
            </w:r>
          </w:p>
        </w:tc>
        <w:tc>
          <w:tcPr>
            <w:tcW w:w="1275" w:type="dxa"/>
            <w:vAlign w:val="center"/>
          </w:tcPr>
          <w:p>
            <w:pPr>
              <w:widowControl/>
              <w:jc w:val="center"/>
              <w:rPr>
                <w:sz w:val="18"/>
                <w:szCs w:val="18"/>
              </w:rPr>
            </w:pPr>
            <w:r>
              <w:rPr>
                <w:rFonts w:hint="eastAsia"/>
                <w:sz w:val="18"/>
                <w:szCs w:val="18"/>
              </w:rPr>
              <w:t>无组织排放</w:t>
            </w:r>
          </w:p>
        </w:tc>
        <w:tc>
          <w:tcPr>
            <w:tcW w:w="1025" w:type="dxa"/>
            <w:vAlign w:val="center"/>
          </w:tcPr>
          <w:p>
            <w:pPr>
              <w:pStyle w:val="33"/>
              <w:rPr>
                <w:sz w:val="18"/>
                <w:szCs w:val="18"/>
              </w:rPr>
            </w:pPr>
            <w:r>
              <w:rPr>
                <w:rFonts w:hint="eastAsia"/>
                <w:sz w:val="18"/>
                <w:szCs w:val="18"/>
              </w:rPr>
              <w:t>55x9=495</w:t>
            </w:r>
          </w:p>
        </w:tc>
        <w:tc>
          <w:tcPr>
            <w:tcW w:w="828" w:type="dxa"/>
            <w:vAlign w:val="center"/>
          </w:tcPr>
          <w:p>
            <w:pPr>
              <w:pStyle w:val="33"/>
              <w:rPr>
                <w:sz w:val="18"/>
                <w:szCs w:val="18"/>
              </w:rPr>
            </w:pPr>
            <w:r>
              <w:rPr>
                <w:rFonts w:hint="eastAsia"/>
                <w:sz w:val="18"/>
                <w:szCs w:val="18"/>
              </w:rPr>
              <w:t>/</w:t>
            </w:r>
          </w:p>
        </w:tc>
        <w:tc>
          <w:tcPr>
            <w:tcW w:w="772" w:type="dxa"/>
            <w:vAlign w:val="center"/>
          </w:tcPr>
          <w:p>
            <w:pPr>
              <w:pStyle w:val="33"/>
              <w:rPr>
                <w:sz w:val="18"/>
                <w:szCs w:val="18"/>
              </w:rPr>
            </w:pPr>
            <w:r>
              <w:rPr>
                <w:rFonts w:hint="eastAsia"/>
                <w:sz w:val="18"/>
                <w:szCs w:val="18"/>
              </w:rPr>
              <w:t>2640</w:t>
            </w:r>
          </w:p>
        </w:tc>
        <w:tc>
          <w:tcPr>
            <w:tcW w:w="937" w:type="dxa"/>
            <w:vAlign w:val="center"/>
          </w:tcPr>
          <w:p>
            <w:pPr>
              <w:widowControl/>
              <w:jc w:val="center"/>
              <w:rPr>
                <w:sz w:val="18"/>
                <w:szCs w:val="18"/>
              </w:rPr>
            </w:pPr>
            <w:r>
              <w:rPr>
                <w:rFonts w:hint="eastAsia"/>
                <w:sz w:val="18"/>
                <w:szCs w:val="18"/>
              </w:rPr>
              <w:t>颗粒物</w:t>
            </w:r>
          </w:p>
        </w:tc>
        <w:tc>
          <w:tcPr>
            <w:tcW w:w="1938" w:type="dxa"/>
            <w:vAlign w:val="center"/>
          </w:tcPr>
          <w:p>
            <w:pPr>
              <w:pStyle w:val="33"/>
              <w:rPr>
                <w:sz w:val="18"/>
                <w:szCs w:val="18"/>
              </w:rPr>
            </w:pPr>
            <w:r>
              <w:rPr>
                <w:rFonts w:hint="eastAsia"/>
                <w:sz w:val="18"/>
                <w:szCs w:val="18"/>
              </w:rPr>
              <w:t>半密闭厂房、自然沉降</w:t>
            </w:r>
          </w:p>
        </w:tc>
        <w:tc>
          <w:tcPr>
            <w:tcW w:w="1100" w:type="dxa"/>
            <w:vAlign w:val="center"/>
          </w:tcPr>
          <w:p>
            <w:pPr>
              <w:pStyle w:val="32"/>
              <w:spacing w:before="0" w:after="0"/>
              <w:rPr>
                <w:sz w:val="18"/>
                <w:szCs w:val="18"/>
              </w:rPr>
            </w:pPr>
            <w:r>
              <w:rPr>
                <w:rFonts w:hint="eastAsia"/>
                <w:sz w:val="18"/>
                <w:szCs w:val="18"/>
              </w:rPr>
              <w:t>/</w:t>
            </w:r>
          </w:p>
        </w:tc>
        <w:tc>
          <w:tcPr>
            <w:tcW w:w="1180" w:type="dxa"/>
            <w:vAlign w:val="center"/>
          </w:tcPr>
          <w:p>
            <w:pPr>
              <w:pStyle w:val="32"/>
              <w:spacing w:before="0" w:after="0"/>
              <w:rPr>
                <w:sz w:val="18"/>
                <w:szCs w:val="18"/>
              </w:rPr>
            </w:pPr>
            <w:r>
              <w:rPr>
                <w:rFonts w:hint="eastAsia"/>
                <w:sz w:val="18"/>
                <w:szCs w:val="18"/>
              </w:rPr>
              <w:t>0.027</w:t>
            </w:r>
          </w:p>
        </w:tc>
        <w:tc>
          <w:tcPr>
            <w:tcW w:w="2995" w:type="dxa"/>
            <w:vMerge w:val="continue"/>
            <w:vAlign w:val="center"/>
          </w:tcPr>
          <w:p>
            <w:pPr>
              <w:pStyle w:val="33"/>
              <w:rPr>
                <w:sz w:val="18"/>
                <w:szCs w:val="18"/>
              </w:rPr>
            </w:pPr>
          </w:p>
        </w:tc>
        <w:tc>
          <w:tcPr>
            <w:tcW w:w="862" w:type="dxa"/>
            <w:vAlign w:val="center"/>
          </w:tcPr>
          <w:p>
            <w:pPr>
              <w:pStyle w:val="32"/>
              <w:spacing w:before="0" w:after="0"/>
              <w:rPr>
                <w:sz w:val="18"/>
                <w:szCs w:val="18"/>
              </w:rPr>
            </w:pPr>
            <w:r>
              <w:rPr>
                <w:rFonts w:hint="eastAsia"/>
                <w:sz w:val="18"/>
                <w:szCs w:val="18"/>
              </w:rPr>
              <w:t>/</w:t>
            </w:r>
          </w:p>
        </w:tc>
        <w:tc>
          <w:tcPr>
            <w:tcW w:w="689" w:type="dxa"/>
            <w:vAlign w:val="center"/>
          </w:tcPr>
          <w:p>
            <w:pPr>
              <w:pStyle w:val="32"/>
              <w:spacing w:before="0" w:after="0"/>
              <w:rPr>
                <w:sz w:val="18"/>
                <w:szCs w:val="18"/>
              </w:rPr>
            </w:pPr>
            <w:r>
              <w:rPr>
                <w:rFonts w:hint="eastAsia"/>
                <w:sz w:val="18"/>
                <w:szCs w:val="18"/>
              </w:rPr>
              <w:t>/</w:t>
            </w:r>
          </w:p>
        </w:tc>
      </w:tr>
    </w:tbl>
    <w:p>
      <w:pPr>
        <w:pStyle w:val="31"/>
        <w:rPr>
          <w:rFonts w:hint="eastAsia"/>
        </w:rPr>
      </w:pPr>
      <w:r>
        <w:rPr>
          <w:rFonts w:hint="eastAsia"/>
        </w:rPr>
        <w:t>表11.9-2  废水、固废、噪声排放清单及环境风险防范措施</w:t>
      </w:r>
    </w:p>
    <w:tbl>
      <w:tblPr>
        <w:tblStyle w:val="27"/>
        <w:tblW w:w="147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518"/>
        <w:gridCol w:w="2277"/>
        <w:gridCol w:w="2304"/>
        <w:gridCol w:w="1612"/>
        <w:gridCol w:w="1383"/>
        <w:gridCol w:w="3686"/>
        <w:gridCol w:w="2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892" w:type="dxa"/>
            <w:vAlign w:val="center"/>
          </w:tcPr>
          <w:p>
            <w:pPr>
              <w:pStyle w:val="58"/>
              <w:rPr>
                <w:color w:val="auto"/>
                <w:sz w:val="18"/>
                <w:szCs w:val="18"/>
              </w:rPr>
            </w:pPr>
            <w:r>
              <w:rPr>
                <w:color w:val="auto"/>
                <w:sz w:val="18"/>
                <w:szCs w:val="18"/>
              </w:rPr>
              <w:t>类别</w:t>
            </w:r>
          </w:p>
        </w:tc>
        <w:tc>
          <w:tcPr>
            <w:tcW w:w="2795" w:type="dxa"/>
            <w:gridSpan w:val="2"/>
            <w:vAlign w:val="center"/>
          </w:tcPr>
          <w:p>
            <w:pPr>
              <w:pStyle w:val="58"/>
              <w:rPr>
                <w:color w:val="auto"/>
                <w:sz w:val="18"/>
                <w:szCs w:val="18"/>
              </w:rPr>
            </w:pPr>
            <w:r>
              <w:rPr>
                <w:color w:val="auto"/>
                <w:sz w:val="18"/>
                <w:szCs w:val="18"/>
              </w:rPr>
              <w:t>治理项目</w:t>
            </w:r>
          </w:p>
        </w:tc>
        <w:tc>
          <w:tcPr>
            <w:tcW w:w="2304" w:type="dxa"/>
            <w:vAlign w:val="center"/>
          </w:tcPr>
          <w:p>
            <w:pPr>
              <w:pStyle w:val="58"/>
              <w:rPr>
                <w:color w:val="auto"/>
                <w:sz w:val="18"/>
                <w:szCs w:val="18"/>
              </w:rPr>
            </w:pPr>
            <w:r>
              <w:rPr>
                <w:color w:val="auto"/>
                <w:sz w:val="18"/>
                <w:szCs w:val="18"/>
              </w:rPr>
              <w:t>污染物</w:t>
            </w:r>
          </w:p>
        </w:tc>
        <w:tc>
          <w:tcPr>
            <w:tcW w:w="1612" w:type="dxa"/>
            <w:vAlign w:val="center"/>
          </w:tcPr>
          <w:p>
            <w:pPr>
              <w:pStyle w:val="58"/>
              <w:rPr>
                <w:color w:val="auto"/>
                <w:sz w:val="18"/>
                <w:szCs w:val="18"/>
              </w:rPr>
            </w:pPr>
            <w:r>
              <w:rPr>
                <w:color w:val="auto"/>
                <w:sz w:val="18"/>
                <w:szCs w:val="18"/>
              </w:rPr>
              <w:t>产生量（t/a）</w:t>
            </w:r>
          </w:p>
        </w:tc>
        <w:tc>
          <w:tcPr>
            <w:tcW w:w="1383" w:type="dxa"/>
            <w:vAlign w:val="center"/>
          </w:tcPr>
          <w:p>
            <w:pPr>
              <w:pStyle w:val="58"/>
              <w:rPr>
                <w:color w:val="auto"/>
                <w:sz w:val="18"/>
                <w:szCs w:val="18"/>
              </w:rPr>
            </w:pPr>
            <w:r>
              <w:rPr>
                <w:color w:val="auto"/>
                <w:sz w:val="18"/>
                <w:szCs w:val="18"/>
              </w:rPr>
              <w:t>排放量（t/a）</w:t>
            </w:r>
          </w:p>
        </w:tc>
        <w:tc>
          <w:tcPr>
            <w:tcW w:w="3686" w:type="dxa"/>
            <w:vAlign w:val="center"/>
          </w:tcPr>
          <w:p>
            <w:pPr>
              <w:pStyle w:val="58"/>
              <w:rPr>
                <w:color w:val="auto"/>
                <w:sz w:val="18"/>
                <w:szCs w:val="18"/>
              </w:rPr>
            </w:pPr>
            <w:r>
              <w:rPr>
                <w:color w:val="auto"/>
                <w:sz w:val="18"/>
                <w:szCs w:val="18"/>
              </w:rPr>
              <w:t>环保设（措）施及处理效果</w:t>
            </w:r>
          </w:p>
        </w:tc>
        <w:tc>
          <w:tcPr>
            <w:tcW w:w="2070" w:type="dxa"/>
            <w:vAlign w:val="center"/>
          </w:tcPr>
          <w:p>
            <w:pPr>
              <w:pStyle w:val="58"/>
              <w:rPr>
                <w:color w:val="auto"/>
                <w:sz w:val="18"/>
                <w:szCs w:val="18"/>
              </w:rPr>
            </w:pPr>
            <w:r>
              <w:rPr>
                <w:color w:val="auto"/>
                <w:sz w:val="18"/>
                <w:szCs w:val="18"/>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restart"/>
            <w:vAlign w:val="center"/>
          </w:tcPr>
          <w:p>
            <w:pPr>
              <w:pStyle w:val="58"/>
              <w:rPr>
                <w:color w:val="auto"/>
                <w:sz w:val="18"/>
                <w:szCs w:val="18"/>
              </w:rPr>
            </w:pPr>
            <w:r>
              <w:rPr>
                <w:color w:val="auto"/>
                <w:sz w:val="18"/>
                <w:szCs w:val="18"/>
              </w:rPr>
              <w:t>废</w:t>
            </w:r>
          </w:p>
          <w:p>
            <w:pPr>
              <w:pStyle w:val="58"/>
              <w:rPr>
                <w:color w:val="auto"/>
                <w:sz w:val="18"/>
                <w:szCs w:val="18"/>
              </w:rPr>
            </w:pPr>
            <w:r>
              <w:rPr>
                <w:color w:val="auto"/>
                <w:sz w:val="18"/>
                <w:szCs w:val="18"/>
              </w:rPr>
              <w:t>水</w:t>
            </w:r>
          </w:p>
        </w:tc>
        <w:tc>
          <w:tcPr>
            <w:tcW w:w="518" w:type="dxa"/>
            <w:vMerge w:val="restart"/>
            <w:vAlign w:val="center"/>
          </w:tcPr>
          <w:p>
            <w:pPr>
              <w:pStyle w:val="33"/>
              <w:rPr>
                <w:sz w:val="18"/>
                <w:szCs w:val="18"/>
              </w:rPr>
            </w:pPr>
            <w:r>
              <w:rPr>
                <w:rFonts w:hint="eastAsia"/>
                <w:sz w:val="18"/>
                <w:szCs w:val="18"/>
              </w:rPr>
              <w:t>一期工程</w:t>
            </w:r>
          </w:p>
        </w:tc>
        <w:tc>
          <w:tcPr>
            <w:tcW w:w="2277" w:type="dxa"/>
            <w:vAlign w:val="center"/>
          </w:tcPr>
          <w:p>
            <w:pPr>
              <w:pStyle w:val="33"/>
              <w:rPr>
                <w:sz w:val="18"/>
                <w:szCs w:val="18"/>
              </w:rPr>
            </w:pPr>
            <w:r>
              <w:rPr>
                <w:rFonts w:hint="eastAsia"/>
                <w:sz w:val="18"/>
                <w:szCs w:val="18"/>
              </w:rPr>
              <w:t>圆铸锭生产线冷却循环系统定期排水</w:t>
            </w:r>
          </w:p>
        </w:tc>
        <w:tc>
          <w:tcPr>
            <w:tcW w:w="2304" w:type="dxa"/>
            <w:vAlign w:val="center"/>
          </w:tcPr>
          <w:p>
            <w:pPr>
              <w:widowControl/>
              <w:spacing w:line="270" w:lineRule="exact"/>
              <w:jc w:val="center"/>
              <w:rPr>
                <w:sz w:val="18"/>
                <w:szCs w:val="18"/>
              </w:rPr>
            </w:pPr>
            <w:r>
              <w:rPr>
                <w:rFonts w:hint="eastAsia"/>
                <w:sz w:val="18"/>
                <w:szCs w:val="18"/>
              </w:rPr>
              <w:t>COD、氨氮、氟化物、SS</w:t>
            </w:r>
          </w:p>
        </w:tc>
        <w:tc>
          <w:tcPr>
            <w:tcW w:w="1612" w:type="dxa"/>
            <w:vAlign w:val="center"/>
          </w:tcPr>
          <w:p>
            <w:pPr>
              <w:pStyle w:val="32"/>
              <w:spacing w:before="0" w:after="0"/>
              <w:rPr>
                <w:sz w:val="18"/>
                <w:szCs w:val="18"/>
              </w:rPr>
            </w:pPr>
            <w:r>
              <w:rPr>
                <w:rFonts w:hint="eastAsia"/>
                <w:sz w:val="18"/>
                <w:szCs w:val="18"/>
              </w:rPr>
              <w:t>800</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800</w:t>
            </w:r>
          </w:p>
        </w:tc>
        <w:tc>
          <w:tcPr>
            <w:tcW w:w="3686" w:type="dxa"/>
            <w:vAlign w:val="center"/>
          </w:tcPr>
          <w:p>
            <w:pPr>
              <w:pStyle w:val="58"/>
              <w:widowControl/>
              <w:spacing w:line="270" w:lineRule="exact"/>
              <w:rPr>
                <w:snapToGrid/>
                <w:color w:val="auto"/>
                <w:sz w:val="18"/>
                <w:szCs w:val="18"/>
              </w:rPr>
            </w:pPr>
            <w:r>
              <w:rPr>
                <w:rFonts w:hint="eastAsia"/>
                <w:color w:val="auto"/>
                <w:sz w:val="18"/>
                <w:szCs w:val="18"/>
              </w:rPr>
              <w:t>循环水池沉淀处理</w:t>
            </w:r>
          </w:p>
        </w:tc>
        <w:tc>
          <w:tcPr>
            <w:tcW w:w="2070" w:type="dxa"/>
            <w:vMerge w:val="restart"/>
            <w:vAlign w:val="center"/>
          </w:tcPr>
          <w:p>
            <w:pPr>
              <w:pStyle w:val="58"/>
              <w:rPr>
                <w:color w:val="auto"/>
                <w:sz w:val="18"/>
                <w:szCs w:val="18"/>
              </w:rPr>
            </w:pPr>
            <w:r>
              <w:rPr>
                <w:rFonts w:hint="eastAsia"/>
                <w:color w:val="auto"/>
                <w:sz w:val="18"/>
                <w:szCs w:val="18"/>
                <w:lang w:eastAsia="zh-CN"/>
              </w:rPr>
              <w:t>《</w:t>
            </w:r>
            <w:r>
              <w:rPr>
                <w:rFonts w:hint="eastAsia"/>
                <w:color w:val="auto"/>
                <w:sz w:val="18"/>
                <w:szCs w:val="18"/>
              </w:rPr>
              <w:t>污水综合排放标准》（GB8978-1996）中的一级排放标准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widowControl/>
              <w:spacing w:line="270" w:lineRule="exact"/>
              <w:jc w:val="center"/>
              <w:rPr>
                <w:sz w:val="18"/>
                <w:szCs w:val="18"/>
              </w:rPr>
            </w:pPr>
            <w:r>
              <w:rPr>
                <w:rFonts w:hint="eastAsia"/>
                <w:sz w:val="18"/>
                <w:szCs w:val="18"/>
              </w:rPr>
              <w:t>板锭生产线冷却循环系统定期排水</w:t>
            </w:r>
          </w:p>
        </w:tc>
        <w:tc>
          <w:tcPr>
            <w:tcW w:w="2304" w:type="dxa"/>
            <w:vAlign w:val="center"/>
          </w:tcPr>
          <w:p>
            <w:pPr>
              <w:pStyle w:val="58"/>
              <w:rPr>
                <w:color w:val="auto"/>
                <w:sz w:val="18"/>
                <w:szCs w:val="18"/>
              </w:rPr>
            </w:pPr>
            <w:r>
              <w:rPr>
                <w:rFonts w:hint="eastAsia"/>
                <w:color w:val="auto"/>
                <w:sz w:val="18"/>
                <w:szCs w:val="18"/>
              </w:rPr>
              <w:t>COD、氨氮、氟化物、SS、石油类</w:t>
            </w:r>
          </w:p>
        </w:tc>
        <w:tc>
          <w:tcPr>
            <w:tcW w:w="1612" w:type="dxa"/>
            <w:vAlign w:val="center"/>
          </w:tcPr>
          <w:p>
            <w:pPr>
              <w:jc w:val="center"/>
              <w:rPr>
                <w:rFonts w:cs="宋体"/>
                <w:sz w:val="18"/>
                <w:szCs w:val="18"/>
              </w:rPr>
            </w:pPr>
            <w:r>
              <w:rPr>
                <w:rFonts w:hint="eastAsia"/>
                <w:sz w:val="18"/>
                <w:szCs w:val="18"/>
              </w:rPr>
              <w:t>800</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800</w:t>
            </w:r>
          </w:p>
        </w:tc>
        <w:tc>
          <w:tcPr>
            <w:tcW w:w="3686" w:type="dxa"/>
            <w:vAlign w:val="center"/>
          </w:tcPr>
          <w:p>
            <w:pPr>
              <w:pStyle w:val="58"/>
              <w:widowControl/>
              <w:spacing w:line="270" w:lineRule="exact"/>
              <w:rPr>
                <w:snapToGrid/>
                <w:color w:val="auto"/>
                <w:sz w:val="18"/>
                <w:szCs w:val="18"/>
              </w:rPr>
            </w:pPr>
            <w:r>
              <w:rPr>
                <w:rFonts w:hint="eastAsia"/>
                <w:snapToGrid/>
                <w:color w:val="auto"/>
                <w:sz w:val="18"/>
                <w:szCs w:val="18"/>
              </w:rPr>
              <w:t>自建污水处理站处理（混凝沉淀+两级气浮），处理能力1m</w:t>
            </w:r>
            <w:r>
              <w:rPr>
                <w:rFonts w:hint="eastAsia"/>
                <w:snapToGrid/>
                <w:color w:val="auto"/>
                <w:sz w:val="18"/>
                <w:szCs w:val="18"/>
                <w:vertAlign w:val="superscript"/>
              </w:rPr>
              <w:t>3</w:t>
            </w:r>
            <w:r>
              <w:rPr>
                <w:rFonts w:hint="eastAsia"/>
                <w:snapToGrid/>
                <w:color w:val="auto"/>
                <w:sz w:val="18"/>
                <w:szCs w:val="18"/>
              </w:rPr>
              <w:t>/h</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widowControl/>
              <w:spacing w:line="270" w:lineRule="exact"/>
              <w:jc w:val="center"/>
              <w:rPr>
                <w:sz w:val="18"/>
                <w:szCs w:val="18"/>
              </w:rPr>
            </w:pPr>
            <w:r>
              <w:rPr>
                <w:rFonts w:hint="eastAsia"/>
                <w:sz w:val="18"/>
                <w:szCs w:val="18"/>
              </w:rPr>
              <w:t>生活污水</w:t>
            </w:r>
          </w:p>
        </w:tc>
        <w:tc>
          <w:tcPr>
            <w:tcW w:w="2304" w:type="dxa"/>
            <w:vAlign w:val="center"/>
          </w:tcPr>
          <w:p>
            <w:pPr>
              <w:pStyle w:val="58"/>
              <w:rPr>
                <w:color w:val="auto"/>
                <w:sz w:val="18"/>
                <w:szCs w:val="18"/>
              </w:rPr>
            </w:pPr>
            <w:r>
              <w:rPr>
                <w:rFonts w:hint="eastAsia"/>
                <w:color w:val="auto"/>
                <w:sz w:val="18"/>
                <w:szCs w:val="18"/>
              </w:rPr>
              <w:t>SS、COD、BOD、氨氮、动植物油等</w:t>
            </w:r>
          </w:p>
        </w:tc>
        <w:tc>
          <w:tcPr>
            <w:tcW w:w="1612" w:type="dxa"/>
            <w:vAlign w:val="center"/>
          </w:tcPr>
          <w:p>
            <w:pPr>
              <w:jc w:val="center"/>
              <w:rPr>
                <w:rFonts w:cs="宋体"/>
                <w:sz w:val="18"/>
                <w:szCs w:val="18"/>
              </w:rPr>
            </w:pPr>
            <w:r>
              <w:rPr>
                <w:rFonts w:hint="eastAsia" w:cs="宋体"/>
                <w:sz w:val="18"/>
                <w:szCs w:val="18"/>
              </w:rPr>
              <w:t>3168</w:t>
            </w:r>
          </w:p>
        </w:tc>
        <w:tc>
          <w:tcPr>
            <w:tcW w:w="1383" w:type="dxa"/>
            <w:vAlign w:val="center"/>
          </w:tcPr>
          <w:p>
            <w:pPr>
              <w:pStyle w:val="58"/>
              <w:widowControl/>
              <w:spacing w:line="270" w:lineRule="exact"/>
              <w:rPr>
                <w:snapToGrid/>
                <w:color w:val="auto"/>
                <w:sz w:val="18"/>
                <w:szCs w:val="18"/>
              </w:rPr>
            </w:pPr>
            <w:r>
              <w:rPr>
                <w:rFonts w:hint="eastAsia" w:cs="宋体"/>
                <w:color w:val="auto"/>
                <w:sz w:val="18"/>
                <w:szCs w:val="18"/>
              </w:rPr>
              <w:t>3168</w:t>
            </w:r>
          </w:p>
        </w:tc>
        <w:tc>
          <w:tcPr>
            <w:tcW w:w="3686" w:type="dxa"/>
            <w:vAlign w:val="center"/>
          </w:tcPr>
          <w:p>
            <w:pPr>
              <w:pStyle w:val="58"/>
              <w:widowControl/>
              <w:spacing w:line="270" w:lineRule="exact"/>
              <w:rPr>
                <w:snapToGrid/>
                <w:color w:val="auto"/>
                <w:sz w:val="18"/>
                <w:szCs w:val="18"/>
              </w:rPr>
            </w:pPr>
            <w:r>
              <w:rPr>
                <w:rFonts w:hint="eastAsia"/>
                <w:snapToGrid/>
                <w:color w:val="auto"/>
                <w:sz w:val="18"/>
                <w:szCs w:val="18"/>
              </w:rPr>
              <w:t>化粪池、隔油池</w:t>
            </w:r>
          </w:p>
        </w:tc>
        <w:tc>
          <w:tcPr>
            <w:tcW w:w="2070" w:type="dxa"/>
            <w:vAlign w:val="center"/>
          </w:tcPr>
          <w:p>
            <w:pPr>
              <w:pStyle w:val="58"/>
              <w:rPr>
                <w:color w:val="auto"/>
                <w:sz w:val="18"/>
                <w:szCs w:val="18"/>
              </w:rPr>
            </w:pPr>
            <w:r>
              <w:rPr>
                <w:rFonts w:hint="eastAsia"/>
                <w:color w:val="auto"/>
                <w:sz w:val="18"/>
                <w:szCs w:val="18"/>
              </w:rPr>
              <w:t>《污水排入城镇下水道水质标准》（GB/T31962-2015）表1中A等级标准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spacing w:line="240" w:lineRule="exact"/>
              <w:jc w:val="center"/>
              <w:rPr>
                <w:sz w:val="18"/>
                <w:szCs w:val="18"/>
              </w:rPr>
            </w:pPr>
          </w:p>
        </w:tc>
        <w:tc>
          <w:tcPr>
            <w:tcW w:w="2277" w:type="dxa"/>
            <w:vAlign w:val="center"/>
          </w:tcPr>
          <w:p>
            <w:pPr>
              <w:spacing w:line="240" w:lineRule="exact"/>
              <w:jc w:val="center"/>
              <w:rPr>
                <w:sz w:val="18"/>
                <w:szCs w:val="18"/>
              </w:rPr>
            </w:pPr>
            <w:r>
              <w:rPr>
                <w:rFonts w:hint="eastAsia"/>
                <w:sz w:val="18"/>
                <w:szCs w:val="18"/>
              </w:rPr>
              <w:t>初期雨水</w:t>
            </w:r>
          </w:p>
        </w:tc>
        <w:tc>
          <w:tcPr>
            <w:tcW w:w="2304" w:type="dxa"/>
            <w:vAlign w:val="center"/>
          </w:tcPr>
          <w:p>
            <w:pPr>
              <w:pStyle w:val="58"/>
              <w:rPr>
                <w:color w:val="auto"/>
                <w:sz w:val="18"/>
                <w:szCs w:val="18"/>
              </w:rPr>
            </w:pPr>
            <w:r>
              <w:rPr>
                <w:color w:val="auto"/>
                <w:sz w:val="18"/>
                <w:szCs w:val="18"/>
              </w:rPr>
              <w:t>氨氮</w:t>
            </w:r>
            <w:r>
              <w:rPr>
                <w:rFonts w:hint="eastAsia"/>
                <w:color w:val="auto"/>
                <w:sz w:val="18"/>
                <w:szCs w:val="18"/>
              </w:rPr>
              <w:t>、</w:t>
            </w:r>
            <w:r>
              <w:rPr>
                <w:color w:val="auto"/>
                <w:sz w:val="18"/>
                <w:szCs w:val="18"/>
              </w:rPr>
              <w:t>BOD5</w:t>
            </w:r>
            <w:r>
              <w:rPr>
                <w:rFonts w:hint="eastAsia"/>
                <w:color w:val="auto"/>
                <w:sz w:val="18"/>
                <w:szCs w:val="18"/>
              </w:rPr>
              <w:t>、</w:t>
            </w:r>
            <w:r>
              <w:rPr>
                <w:color w:val="auto"/>
                <w:sz w:val="18"/>
                <w:szCs w:val="18"/>
              </w:rPr>
              <w:t>COD</w:t>
            </w:r>
            <w:r>
              <w:rPr>
                <w:rFonts w:hint="eastAsia"/>
                <w:color w:val="auto"/>
                <w:sz w:val="18"/>
                <w:szCs w:val="18"/>
              </w:rPr>
              <w:t>、</w:t>
            </w:r>
            <w:r>
              <w:rPr>
                <w:color w:val="auto"/>
                <w:sz w:val="18"/>
                <w:szCs w:val="18"/>
              </w:rPr>
              <w:t>SS</w:t>
            </w:r>
          </w:p>
        </w:tc>
        <w:tc>
          <w:tcPr>
            <w:tcW w:w="1612" w:type="dxa"/>
            <w:vAlign w:val="center"/>
          </w:tcPr>
          <w:p>
            <w:pPr>
              <w:jc w:val="center"/>
              <w:rPr>
                <w:rFonts w:cs="宋体"/>
                <w:sz w:val="18"/>
                <w:szCs w:val="18"/>
              </w:rPr>
            </w:pPr>
            <w:r>
              <w:rPr>
                <w:rFonts w:hint="eastAsia"/>
                <w:sz w:val="18"/>
                <w:szCs w:val="18"/>
              </w:rPr>
              <w:t>26449.5</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58"/>
              <w:widowControl/>
              <w:spacing w:line="270" w:lineRule="exact"/>
              <w:rPr>
                <w:snapToGrid/>
                <w:color w:val="auto"/>
                <w:sz w:val="18"/>
                <w:szCs w:val="18"/>
              </w:rPr>
            </w:pPr>
            <w:r>
              <w:rPr>
                <w:rFonts w:hint="eastAsia"/>
                <w:snapToGrid/>
                <w:color w:val="auto"/>
                <w:sz w:val="18"/>
                <w:szCs w:val="18"/>
              </w:rPr>
              <w:t>初期雨水收集池</w:t>
            </w:r>
          </w:p>
        </w:tc>
        <w:tc>
          <w:tcPr>
            <w:tcW w:w="2070" w:type="dxa"/>
            <w:vAlign w:val="center"/>
          </w:tcPr>
          <w:p>
            <w:pPr>
              <w:pStyle w:val="58"/>
              <w:rPr>
                <w:rFonts w:hint="eastAsia" w:eastAsia="宋体"/>
                <w:color w:val="auto"/>
                <w:sz w:val="18"/>
                <w:szCs w:val="18"/>
                <w:lang w:val="en-US" w:eastAsia="zh-CN"/>
              </w:rPr>
            </w:pPr>
            <w:r>
              <w:rPr>
                <w:rFonts w:hint="eastAsia"/>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restart"/>
            <w:vAlign w:val="center"/>
          </w:tcPr>
          <w:p>
            <w:pPr>
              <w:spacing w:line="240" w:lineRule="exact"/>
              <w:jc w:val="center"/>
              <w:rPr>
                <w:sz w:val="18"/>
                <w:szCs w:val="18"/>
              </w:rPr>
            </w:pPr>
            <w:r>
              <w:rPr>
                <w:rFonts w:hint="eastAsia"/>
                <w:sz w:val="18"/>
                <w:szCs w:val="18"/>
              </w:rPr>
              <w:t>二期工程</w:t>
            </w:r>
          </w:p>
        </w:tc>
        <w:tc>
          <w:tcPr>
            <w:tcW w:w="2277" w:type="dxa"/>
            <w:vAlign w:val="center"/>
          </w:tcPr>
          <w:p>
            <w:pPr>
              <w:pStyle w:val="33"/>
              <w:rPr>
                <w:sz w:val="18"/>
                <w:szCs w:val="18"/>
              </w:rPr>
            </w:pPr>
            <w:r>
              <w:rPr>
                <w:rFonts w:hint="eastAsia"/>
                <w:sz w:val="18"/>
                <w:szCs w:val="18"/>
              </w:rPr>
              <w:t>铸轧板冷却循环系统定期排水</w:t>
            </w:r>
          </w:p>
        </w:tc>
        <w:tc>
          <w:tcPr>
            <w:tcW w:w="2304" w:type="dxa"/>
            <w:vAlign w:val="center"/>
          </w:tcPr>
          <w:p>
            <w:pPr>
              <w:widowControl/>
              <w:spacing w:line="270" w:lineRule="exact"/>
              <w:jc w:val="center"/>
              <w:rPr>
                <w:sz w:val="18"/>
                <w:szCs w:val="18"/>
              </w:rPr>
            </w:pPr>
            <w:r>
              <w:rPr>
                <w:rFonts w:hint="eastAsia"/>
                <w:sz w:val="18"/>
                <w:szCs w:val="18"/>
              </w:rPr>
              <w:t>COD、氨氮、氟化物、SS</w:t>
            </w:r>
          </w:p>
        </w:tc>
        <w:tc>
          <w:tcPr>
            <w:tcW w:w="1612" w:type="dxa"/>
            <w:vAlign w:val="center"/>
          </w:tcPr>
          <w:p>
            <w:pPr>
              <w:pStyle w:val="32"/>
              <w:spacing w:before="0" w:after="0"/>
              <w:rPr>
                <w:sz w:val="18"/>
                <w:szCs w:val="18"/>
              </w:rPr>
            </w:pPr>
            <w:r>
              <w:rPr>
                <w:rFonts w:hint="eastAsia"/>
                <w:sz w:val="18"/>
                <w:szCs w:val="18"/>
              </w:rPr>
              <w:t>250</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250</w:t>
            </w:r>
          </w:p>
        </w:tc>
        <w:tc>
          <w:tcPr>
            <w:tcW w:w="3686" w:type="dxa"/>
            <w:vAlign w:val="center"/>
          </w:tcPr>
          <w:p>
            <w:pPr>
              <w:pStyle w:val="58"/>
              <w:widowControl/>
              <w:spacing w:line="270" w:lineRule="exact"/>
              <w:rPr>
                <w:snapToGrid/>
                <w:color w:val="auto"/>
                <w:sz w:val="18"/>
                <w:szCs w:val="18"/>
              </w:rPr>
            </w:pPr>
            <w:r>
              <w:rPr>
                <w:rFonts w:hint="eastAsia"/>
                <w:color w:val="auto"/>
                <w:sz w:val="18"/>
                <w:szCs w:val="18"/>
              </w:rPr>
              <w:t>循环水池沉淀处理</w:t>
            </w:r>
          </w:p>
        </w:tc>
        <w:tc>
          <w:tcPr>
            <w:tcW w:w="2070" w:type="dxa"/>
            <w:vAlign w:val="center"/>
          </w:tcPr>
          <w:p>
            <w:pPr>
              <w:pStyle w:val="58"/>
              <w:rPr>
                <w:color w:val="auto"/>
                <w:sz w:val="18"/>
                <w:szCs w:val="18"/>
              </w:rPr>
            </w:pPr>
            <w:r>
              <w:rPr>
                <w:rFonts w:hint="eastAsia"/>
                <w:color w:val="auto"/>
                <w:sz w:val="18"/>
                <w:szCs w:val="18"/>
                <w:lang w:eastAsia="zh-CN"/>
              </w:rPr>
              <w:t>《</w:t>
            </w:r>
            <w:r>
              <w:rPr>
                <w:rFonts w:hint="eastAsia"/>
                <w:color w:val="auto"/>
                <w:sz w:val="18"/>
                <w:szCs w:val="18"/>
              </w:rPr>
              <w:t>污水综合排放标准》（GB8978-1996）中的一级排放标准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widowControl/>
              <w:spacing w:line="270" w:lineRule="exact"/>
              <w:jc w:val="center"/>
              <w:rPr>
                <w:sz w:val="18"/>
                <w:szCs w:val="18"/>
              </w:rPr>
            </w:pPr>
            <w:r>
              <w:rPr>
                <w:rFonts w:hint="eastAsia"/>
                <w:sz w:val="18"/>
                <w:szCs w:val="18"/>
              </w:rPr>
              <w:t>生活污水</w:t>
            </w:r>
          </w:p>
        </w:tc>
        <w:tc>
          <w:tcPr>
            <w:tcW w:w="2304" w:type="dxa"/>
            <w:vAlign w:val="center"/>
          </w:tcPr>
          <w:p>
            <w:pPr>
              <w:pStyle w:val="58"/>
              <w:rPr>
                <w:color w:val="auto"/>
                <w:sz w:val="18"/>
                <w:szCs w:val="18"/>
              </w:rPr>
            </w:pPr>
            <w:r>
              <w:rPr>
                <w:rFonts w:hint="eastAsia"/>
                <w:color w:val="auto"/>
                <w:sz w:val="18"/>
                <w:szCs w:val="18"/>
              </w:rPr>
              <w:t>SS、COD、BOD、氨氮、动植物油等</w:t>
            </w:r>
          </w:p>
        </w:tc>
        <w:tc>
          <w:tcPr>
            <w:tcW w:w="1612" w:type="dxa"/>
            <w:vAlign w:val="center"/>
          </w:tcPr>
          <w:p>
            <w:pPr>
              <w:jc w:val="center"/>
              <w:rPr>
                <w:rFonts w:cs="宋体"/>
                <w:sz w:val="18"/>
                <w:szCs w:val="18"/>
              </w:rPr>
            </w:pPr>
            <w:r>
              <w:rPr>
                <w:rFonts w:hint="eastAsia" w:cs="宋体"/>
                <w:sz w:val="18"/>
                <w:szCs w:val="18"/>
              </w:rPr>
              <w:t>1584</w:t>
            </w:r>
          </w:p>
        </w:tc>
        <w:tc>
          <w:tcPr>
            <w:tcW w:w="1383" w:type="dxa"/>
            <w:vAlign w:val="center"/>
          </w:tcPr>
          <w:p>
            <w:pPr>
              <w:pStyle w:val="58"/>
              <w:widowControl/>
              <w:spacing w:line="270" w:lineRule="exact"/>
              <w:rPr>
                <w:snapToGrid/>
                <w:color w:val="auto"/>
                <w:sz w:val="18"/>
                <w:szCs w:val="18"/>
              </w:rPr>
            </w:pPr>
            <w:r>
              <w:rPr>
                <w:rFonts w:hint="eastAsia" w:cs="宋体"/>
                <w:color w:val="auto"/>
                <w:sz w:val="18"/>
                <w:szCs w:val="18"/>
              </w:rPr>
              <w:t>1584</w:t>
            </w:r>
          </w:p>
        </w:tc>
        <w:tc>
          <w:tcPr>
            <w:tcW w:w="3686" w:type="dxa"/>
            <w:vAlign w:val="center"/>
          </w:tcPr>
          <w:p>
            <w:pPr>
              <w:pStyle w:val="58"/>
              <w:widowControl/>
              <w:spacing w:line="270" w:lineRule="exact"/>
              <w:rPr>
                <w:snapToGrid/>
                <w:color w:val="auto"/>
                <w:sz w:val="18"/>
                <w:szCs w:val="18"/>
              </w:rPr>
            </w:pPr>
            <w:r>
              <w:rPr>
                <w:rFonts w:hint="eastAsia"/>
                <w:snapToGrid/>
                <w:color w:val="auto"/>
                <w:sz w:val="18"/>
                <w:szCs w:val="18"/>
              </w:rPr>
              <w:t>化粪池、隔油池</w:t>
            </w:r>
          </w:p>
        </w:tc>
        <w:tc>
          <w:tcPr>
            <w:tcW w:w="2070" w:type="dxa"/>
            <w:vAlign w:val="center"/>
          </w:tcPr>
          <w:p>
            <w:pPr>
              <w:pStyle w:val="58"/>
              <w:rPr>
                <w:color w:val="auto"/>
                <w:sz w:val="18"/>
                <w:szCs w:val="18"/>
              </w:rPr>
            </w:pPr>
            <w:r>
              <w:rPr>
                <w:rFonts w:hint="eastAsia"/>
                <w:color w:val="auto"/>
                <w:sz w:val="18"/>
                <w:szCs w:val="18"/>
              </w:rPr>
              <w:t>《污水排入城镇下水道水质标准》（GB/T31962-2015）表1中A等级标准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892" w:type="dxa"/>
            <w:vMerge w:val="continue"/>
            <w:vAlign w:val="center"/>
          </w:tcPr>
          <w:p>
            <w:pPr>
              <w:pStyle w:val="58"/>
              <w:rPr>
                <w:color w:val="auto"/>
                <w:sz w:val="18"/>
                <w:szCs w:val="18"/>
              </w:rPr>
            </w:pPr>
          </w:p>
        </w:tc>
        <w:tc>
          <w:tcPr>
            <w:tcW w:w="518" w:type="dxa"/>
            <w:vMerge w:val="continue"/>
            <w:vAlign w:val="center"/>
          </w:tcPr>
          <w:p>
            <w:pPr>
              <w:spacing w:line="240" w:lineRule="exact"/>
              <w:jc w:val="center"/>
              <w:rPr>
                <w:sz w:val="18"/>
                <w:szCs w:val="18"/>
              </w:rPr>
            </w:pPr>
          </w:p>
        </w:tc>
        <w:tc>
          <w:tcPr>
            <w:tcW w:w="2277" w:type="dxa"/>
            <w:vAlign w:val="center"/>
          </w:tcPr>
          <w:p>
            <w:pPr>
              <w:spacing w:line="240" w:lineRule="exact"/>
              <w:jc w:val="center"/>
              <w:rPr>
                <w:sz w:val="18"/>
                <w:szCs w:val="18"/>
              </w:rPr>
            </w:pPr>
            <w:r>
              <w:rPr>
                <w:rFonts w:hint="eastAsia"/>
                <w:sz w:val="18"/>
                <w:szCs w:val="18"/>
              </w:rPr>
              <w:t>初期雨水</w:t>
            </w:r>
          </w:p>
        </w:tc>
        <w:tc>
          <w:tcPr>
            <w:tcW w:w="2304" w:type="dxa"/>
            <w:vAlign w:val="center"/>
          </w:tcPr>
          <w:p>
            <w:pPr>
              <w:pStyle w:val="58"/>
              <w:rPr>
                <w:color w:val="auto"/>
                <w:sz w:val="18"/>
                <w:szCs w:val="18"/>
              </w:rPr>
            </w:pPr>
            <w:r>
              <w:rPr>
                <w:color w:val="auto"/>
                <w:sz w:val="18"/>
                <w:szCs w:val="18"/>
              </w:rPr>
              <w:t>氨氮</w:t>
            </w:r>
            <w:r>
              <w:rPr>
                <w:rFonts w:hint="eastAsia"/>
                <w:color w:val="auto"/>
                <w:sz w:val="18"/>
                <w:szCs w:val="18"/>
              </w:rPr>
              <w:t>、</w:t>
            </w:r>
            <w:r>
              <w:rPr>
                <w:color w:val="auto"/>
                <w:sz w:val="18"/>
                <w:szCs w:val="18"/>
              </w:rPr>
              <w:t>BOD5</w:t>
            </w:r>
            <w:r>
              <w:rPr>
                <w:rFonts w:hint="eastAsia"/>
                <w:color w:val="auto"/>
                <w:sz w:val="18"/>
                <w:szCs w:val="18"/>
              </w:rPr>
              <w:t>、</w:t>
            </w:r>
            <w:r>
              <w:rPr>
                <w:color w:val="auto"/>
                <w:sz w:val="18"/>
                <w:szCs w:val="18"/>
              </w:rPr>
              <w:t>COD</w:t>
            </w:r>
            <w:r>
              <w:rPr>
                <w:rFonts w:hint="eastAsia"/>
                <w:color w:val="auto"/>
                <w:sz w:val="18"/>
                <w:szCs w:val="18"/>
              </w:rPr>
              <w:t>、</w:t>
            </w:r>
            <w:r>
              <w:rPr>
                <w:color w:val="auto"/>
                <w:sz w:val="18"/>
                <w:szCs w:val="18"/>
              </w:rPr>
              <w:t>SS</w:t>
            </w:r>
          </w:p>
        </w:tc>
        <w:tc>
          <w:tcPr>
            <w:tcW w:w="1612" w:type="dxa"/>
            <w:vAlign w:val="center"/>
          </w:tcPr>
          <w:p>
            <w:pPr>
              <w:jc w:val="center"/>
              <w:rPr>
                <w:rFonts w:cs="宋体"/>
                <w:sz w:val="18"/>
                <w:szCs w:val="18"/>
              </w:rPr>
            </w:pPr>
            <w:r>
              <w:rPr>
                <w:rFonts w:hint="eastAsia" w:cs="宋体"/>
                <w:sz w:val="18"/>
                <w:szCs w:val="18"/>
              </w:rPr>
              <w:t>4432.5</w:t>
            </w:r>
          </w:p>
        </w:tc>
        <w:tc>
          <w:tcPr>
            <w:tcW w:w="1383" w:type="dxa"/>
            <w:vAlign w:val="center"/>
          </w:tcPr>
          <w:p>
            <w:pPr>
              <w:pStyle w:val="58"/>
              <w:widowControl/>
              <w:spacing w:line="270" w:lineRule="exact"/>
              <w:rPr>
                <w:rFonts w:hint="eastAsia" w:eastAsia="宋体"/>
                <w:snapToGrid/>
                <w:color w:val="auto"/>
                <w:sz w:val="18"/>
                <w:szCs w:val="18"/>
                <w:lang w:eastAsia="zh-CN"/>
              </w:rPr>
            </w:pPr>
            <w:r>
              <w:rPr>
                <w:rFonts w:hint="eastAsia"/>
                <w:snapToGrid/>
                <w:color w:val="auto"/>
                <w:sz w:val="18"/>
                <w:szCs w:val="18"/>
                <w:lang w:val="en-US" w:eastAsia="zh-CN"/>
              </w:rPr>
              <w:t>0</w:t>
            </w:r>
          </w:p>
        </w:tc>
        <w:tc>
          <w:tcPr>
            <w:tcW w:w="3686" w:type="dxa"/>
            <w:vAlign w:val="center"/>
          </w:tcPr>
          <w:p>
            <w:pPr>
              <w:pStyle w:val="58"/>
              <w:widowControl/>
              <w:spacing w:line="270" w:lineRule="exact"/>
              <w:rPr>
                <w:snapToGrid/>
                <w:color w:val="auto"/>
                <w:sz w:val="18"/>
                <w:szCs w:val="18"/>
              </w:rPr>
            </w:pPr>
            <w:r>
              <w:rPr>
                <w:rFonts w:hint="eastAsia"/>
                <w:snapToGrid/>
                <w:color w:val="auto"/>
                <w:sz w:val="18"/>
                <w:szCs w:val="18"/>
              </w:rPr>
              <w:t>初期雨水收集池</w:t>
            </w:r>
          </w:p>
        </w:tc>
        <w:tc>
          <w:tcPr>
            <w:tcW w:w="2070" w:type="dxa"/>
            <w:vAlign w:val="center"/>
          </w:tcPr>
          <w:p>
            <w:pPr>
              <w:pStyle w:val="58"/>
              <w:rPr>
                <w:rFonts w:hint="default" w:eastAsia="宋体"/>
                <w:color w:val="auto"/>
                <w:sz w:val="18"/>
                <w:szCs w:val="18"/>
                <w:lang w:val="en-US" w:eastAsia="zh-CN"/>
              </w:rPr>
            </w:pPr>
            <w:r>
              <w:rPr>
                <w:rFonts w:hint="eastAsia"/>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Align w:val="center"/>
          </w:tcPr>
          <w:p>
            <w:pPr>
              <w:pStyle w:val="58"/>
              <w:rPr>
                <w:color w:val="auto"/>
                <w:sz w:val="18"/>
                <w:szCs w:val="18"/>
              </w:rPr>
            </w:pPr>
            <w:r>
              <w:rPr>
                <w:color w:val="auto"/>
                <w:sz w:val="18"/>
                <w:szCs w:val="18"/>
              </w:rPr>
              <w:t>噪声</w:t>
            </w:r>
          </w:p>
        </w:tc>
        <w:tc>
          <w:tcPr>
            <w:tcW w:w="2795" w:type="dxa"/>
            <w:gridSpan w:val="2"/>
            <w:vAlign w:val="center"/>
          </w:tcPr>
          <w:p>
            <w:pPr>
              <w:pStyle w:val="58"/>
              <w:rPr>
                <w:color w:val="auto"/>
                <w:sz w:val="18"/>
                <w:szCs w:val="18"/>
              </w:rPr>
            </w:pPr>
            <w:r>
              <w:rPr>
                <w:rFonts w:hint="eastAsia"/>
                <w:color w:val="auto"/>
                <w:sz w:val="18"/>
                <w:szCs w:val="18"/>
              </w:rPr>
              <w:t>锯切机、铝灰分离机、循环水泵等</w:t>
            </w:r>
          </w:p>
        </w:tc>
        <w:tc>
          <w:tcPr>
            <w:tcW w:w="2304" w:type="dxa"/>
            <w:vAlign w:val="center"/>
          </w:tcPr>
          <w:p>
            <w:pPr>
              <w:pStyle w:val="58"/>
              <w:rPr>
                <w:color w:val="auto"/>
                <w:sz w:val="18"/>
                <w:szCs w:val="18"/>
              </w:rPr>
            </w:pPr>
            <w:r>
              <w:rPr>
                <w:color w:val="auto"/>
                <w:sz w:val="18"/>
                <w:szCs w:val="18"/>
              </w:rPr>
              <w:t>等效声级Leq</w:t>
            </w:r>
          </w:p>
        </w:tc>
        <w:tc>
          <w:tcPr>
            <w:tcW w:w="1612" w:type="dxa"/>
            <w:vAlign w:val="center"/>
          </w:tcPr>
          <w:p>
            <w:pPr>
              <w:widowControl/>
              <w:spacing w:line="270" w:lineRule="exact"/>
              <w:jc w:val="center"/>
              <w:rPr>
                <w:sz w:val="18"/>
                <w:szCs w:val="18"/>
              </w:rPr>
            </w:pPr>
            <w:r>
              <w:rPr>
                <w:sz w:val="18"/>
                <w:szCs w:val="18"/>
              </w:rPr>
              <w:t>/</w:t>
            </w:r>
          </w:p>
        </w:tc>
        <w:tc>
          <w:tcPr>
            <w:tcW w:w="1383" w:type="dxa"/>
            <w:vAlign w:val="center"/>
          </w:tcPr>
          <w:p>
            <w:pPr>
              <w:widowControl/>
              <w:spacing w:line="270" w:lineRule="exact"/>
              <w:jc w:val="center"/>
              <w:rPr>
                <w:sz w:val="18"/>
                <w:szCs w:val="18"/>
              </w:rPr>
            </w:pPr>
            <w:r>
              <w:rPr>
                <w:sz w:val="18"/>
                <w:szCs w:val="18"/>
              </w:rPr>
              <w:t>/</w:t>
            </w:r>
          </w:p>
        </w:tc>
        <w:tc>
          <w:tcPr>
            <w:tcW w:w="3686" w:type="dxa"/>
            <w:vAlign w:val="center"/>
          </w:tcPr>
          <w:p>
            <w:pPr>
              <w:widowControl/>
              <w:spacing w:line="270" w:lineRule="exact"/>
              <w:jc w:val="center"/>
              <w:rPr>
                <w:sz w:val="18"/>
                <w:szCs w:val="18"/>
              </w:rPr>
            </w:pPr>
            <w:r>
              <w:rPr>
                <w:sz w:val="18"/>
                <w:szCs w:val="18"/>
              </w:rPr>
              <w:t>减振基础、</w:t>
            </w:r>
            <w:r>
              <w:rPr>
                <w:rFonts w:hint="eastAsia"/>
                <w:sz w:val="18"/>
                <w:szCs w:val="18"/>
              </w:rPr>
              <w:t>合理布局</w:t>
            </w:r>
            <w:r>
              <w:rPr>
                <w:sz w:val="18"/>
                <w:szCs w:val="18"/>
              </w:rPr>
              <w:t>等防躁措施</w:t>
            </w:r>
          </w:p>
        </w:tc>
        <w:tc>
          <w:tcPr>
            <w:tcW w:w="2070" w:type="dxa"/>
            <w:vAlign w:val="center"/>
          </w:tcPr>
          <w:p>
            <w:pPr>
              <w:pStyle w:val="58"/>
              <w:rPr>
                <w:color w:val="auto"/>
                <w:sz w:val="18"/>
                <w:szCs w:val="18"/>
              </w:rPr>
            </w:pPr>
            <w:r>
              <w:rPr>
                <w:color w:val="auto"/>
                <w:sz w:val="18"/>
                <w:szCs w:val="18"/>
              </w:rPr>
              <w:t>GB3096-2008中</w:t>
            </w:r>
            <w:r>
              <w:rPr>
                <w:rFonts w:hint="eastAsia"/>
                <w:color w:val="auto"/>
                <w:sz w:val="18"/>
                <w:szCs w:val="18"/>
              </w:rPr>
              <w:t>3</w:t>
            </w:r>
            <w:r>
              <w:rPr>
                <w:color w:val="auto"/>
                <w:sz w:val="18"/>
                <w:szCs w:val="18"/>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restart"/>
            <w:vAlign w:val="center"/>
          </w:tcPr>
          <w:p>
            <w:pPr>
              <w:pStyle w:val="58"/>
              <w:rPr>
                <w:color w:val="auto"/>
                <w:sz w:val="18"/>
                <w:szCs w:val="18"/>
              </w:rPr>
            </w:pPr>
            <w:r>
              <w:rPr>
                <w:color w:val="auto"/>
                <w:sz w:val="18"/>
                <w:szCs w:val="18"/>
              </w:rPr>
              <w:t>固体</w:t>
            </w:r>
          </w:p>
          <w:p>
            <w:pPr>
              <w:pStyle w:val="58"/>
              <w:rPr>
                <w:color w:val="auto"/>
                <w:sz w:val="18"/>
                <w:szCs w:val="18"/>
              </w:rPr>
            </w:pPr>
            <w:r>
              <w:rPr>
                <w:color w:val="auto"/>
                <w:sz w:val="18"/>
                <w:szCs w:val="18"/>
              </w:rPr>
              <w:t>废物</w:t>
            </w:r>
          </w:p>
        </w:tc>
        <w:tc>
          <w:tcPr>
            <w:tcW w:w="518" w:type="dxa"/>
            <w:vMerge w:val="restart"/>
            <w:vAlign w:val="center"/>
          </w:tcPr>
          <w:p>
            <w:pPr>
              <w:widowControl/>
              <w:spacing w:line="270" w:lineRule="exact"/>
              <w:jc w:val="center"/>
              <w:rPr>
                <w:sz w:val="18"/>
                <w:szCs w:val="18"/>
              </w:rPr>
            </w:pPr>
            <w:r>
              <w:rPr>
                <w:rFonts w:hint="eastAsia"/>
                <w:sz w:val="18"/>
                <w:szCs w:val="18"/>
              </w:rPr>
              <w:t>一期工程</w:t>
            </w:r>
          </w:p>
        </w:tc>
        <w:tc>
          <w:tcPr>
            <w:tcW w:w="2277" w:type="dxa"/>
            <w:vAlign w:val="center"/>
          </w:tcPr>
          <w:p>
            <w:pPr>
              <w:pStyle w:val="33"/>
              <w:rPr>
                <w:sz w:val="18"/>
                <w:szCs w:val="18"/>
              </w:rPr>
            </w:pPr>
            <w:r>
              <w:rPr>
                <w:rFonts w:hint="eastAsia"/>
                <w:sz w:val="18"/>
                <w:szCs w:val="18"/>
              </w:rPr>
              <w:t>铝灰</w:t>
            </w:r>
          </w:p>
        </w:tc>
        <w:tc>
          <w:tcPr>
            <w:tcW w:w="2304" w:type="dxa"/>
            <w:vAlign w:val="center"/>
          </w:tcPr>
          <w:p>
            <w:pPr>
              <w:widowControl/>
              <w:spacing w:line="270" w:lineRule="exact"/>
              <w:jc w:val="center"/>
              <w:rPr>
                <w:snapToGrid w:val="0"/>
                <w:sz w:val="18"/>
                <w:szCs w:val="18"/>
              </w:rPr>
            </w:pPr>
            <w:r>
              <w:rPr>
                <w:rFonts w:hint="eastAsia"/>
                <w:snapToGrid w:val="0"/>
                <w:sz w:val="18"/>
                <w:szCs w:val="18"/>
              </w:rPr>
              <w:t>铝灰</w:t>
            </w:r>
          </w:p>
        </w:tc>
        <w:tc>
          <w:tcPr>
            <w:tcW w:w="1612" w:type="dxa"/>
            <w:vAlign w:val="center"/>
          </w:tcPr>
          <w:p>
            <w:pPr>
              <w:pStyle w:val="33"/>
              <w:rPr>
                <w:sz w:val="18"/>
                <w:szCs w:val="18"/>
              </w:rPr>
            </w:pPr>
            <w:r>
              <w:rPr>
                <w:rFonts w:hint="eastAsia"/>
                <w:sz w:val="18"/>
                <w:szCs w:val="18"/>
              </w:rPr>
              <w:t>3617.45</w:t>
            </w:r>
          </w:p>
        </w:tc>
        <w:tc>
          <w:tcPr>
            <w:tcW w:w="1383" w:type="dxa"/>
            <w:vAlign w:val="center"/>
          </w:tcPr>
          <w:p>
            <w:pPr>
              <w:pStyle w:val="58"/>
              <w:rPr>
                <w:color w:val="auto"/>
                <w:sz w:val="18"/>
                <w:szCs w:val="18"/>
              </w:rPr>
            </w:pPr>
            <w:r>
              <w:rPr>
                <w:rFonts w:hint="eastAsia"/>
                <w:color w:val="auto"/>
                <w:sz w:val="18"/>
                <w:szCs w:val="18"/>
              </w:rPr>
              <w:t>0</w:t>
            </w:r>
          </w:p>
        </w:tc>
        <w:tc>
          <w:tcPr>
            <w:tcW w:w="3686" w:type="dxa"/>
            <w:vAlign w:val="center"/>
          </w:tcPr>
          <w:p>
            <w:pPr>
              <w:pStyle w:val="33"/>
              <w:rPr>
                <w:snapToGrid w:val="0"/>
                <w:sz w:val="18"/>
                <w:szCs w:val="18"/>
              </w:rPr>
            </w:pPr>
            <w:r>
              <w:rPr>
                <w:rFonts w:hint="eastAsia"/>
                <w:sz w:val="18"/>
                <w:szCs w:val="18"/>
              </w:rPr>
              <w:t>暂存于厂内危废暂存间</w:t>
            </w:r>
            <w:r>
              <w:rPr>
                <w:sz w:val="18"/>
                <w:szCs w:val="18"/>
              </w:rPr>
              <w:t>，委托有资质的单位进行处理处置</w:t>
            </w:r>
          </w:p>
        </w:tc>
        <w:tc>
          <w:tcPr>
            <w:tcW w:w="2070" w:type="dxa"/>
            <w:vMerge w:val="restart"/>
            <w:vAlign w:val="center"/>
          </w:tcPr>
          <w:p>
            <w:pPr>
              <w:pStyle w:val="33"/>
              <w:rPr>
                <w:sz w:val="18"/>
                <w:szCs w:val="18"/>
              </w:rPr>
            </w:pPr>
            <w:r>
              <w:rPr>
                <w:sz w:val="18"/>
                <w:szCs w:val="18"/>
              </w:rPr>
              <w:t>危险废物按照国家危险废物名录，执行《危险废物贮存污染控制标准》（GB18597-2001）及其修改单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除尘系统</w:t>
            </w:r>
            <w:r>
              <w:rPr>
                <w:sz w:val="18"/>
                <w:szCs w:val="18"/>
              </w:rPr>
              <w:t>收集尘</w:t>
            </w:r>
          </w:p>
        </w:tc>
        <w:tc>
          <w:tcPr>
            <w:tcW w:w="2304" w:type="dxa"/>
            <w:vAlign w:val="center"/>
          </w:tcPr>
          <w:p>
            <w:pPr>
              <w:widowControl/>
              <w:spacing w:line="270" w:lineRule="exact"/>
              <w:jc w:val="center"/>
              <w:rPr>
                <w:sz w:val="18"/>
                <w:szCs w:val="18"/>
              </w:rPr>
            </w:pPr>
            <w:r>
              <w:rPr>
                <w:rFonts w:hint="eastAsia"/>
                <w:sz w:val="18"/>
                <w:szCs w:val="18"/>
              </w:rPr>
              <w:t>除尘系统</w:t>
            </w:r>
            <w:r>
              <w:rPr>
                <w:sz w:val="18"/>
                <w:szCs w:val="18"/>
              </w:rPr>
              <w:t>收集尘</w:t>
            </w:r>
          </w:p>
        </w:tc>
        <w:tc>
          <w:tcPr>
            <w:tcW w:w="1612" w:type="dxa"/>
            <w:vAlign w:val="center"/>
          </w:tcPr>
          <w:p>
            <w:pPr>
              <w:pStyle w:val="33"/>
              <w:rPr>
                <w:sz w:val="18"/>
                <w:szCs w:val="18"/>
              </w:rPr>
            </w:pPr>
            <w:r>
              <w:rPr>
                <w:rFonts w:hint="eastAsia"/>
                <w:sz w:val="18"/>
                <w:szCs w:val="18"/>
              </w:rPr>
              <w:t>2123.7</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rFonts w:hint="eastAsia"/>
                <w:sz w:val="18"/>
                <w:szCs w:val="18"/>
              </w:rPr>
              <w:t>暂存于厂内危废暂存间</w:t>
            </w:r>
            <w:r>
              <w:rPr>
                <w:sz w:val="18"/>
                <w:szCs w:val="18"/>
              </w:rPr>
              <w:t>，委托有资质的单位进行处理处置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废润滑油、废机油</w:t>
            </w:r>
          </w:p>
        </w:tc>
        <w:tc>
          <w:tcPr>
            <w:tcW w:w="2304" w:type="dxa"/>
            <w:vAlign w:val="center"/>
          </w:tcPr>
          <w:p>
            <w:pPr>
              <w:widowControl/>
              <w:spacing w:line="270" w:lineRule="exact"/>
              <w:jc w:val="center"/>
              <w:rPr>
                <w:sz w:val="18"/>
                <w:szCs w:val="18"/>
              </w:rPr>
            </w:pPr>
            <w:r>
              <w:rPr>
                <w:sz w:val="18"/>
                <w:szCs w:val="18"/>
              </w:rPr>
              <w:t>废润滑油、废机油</w:t>
            </w:r>
          </w:p>
        </w:tc>
        <w:tc>
          <w:tcPr>
            <w:tcW w:w="1612" w:type="dxa"/>
            <w:vAlign w:val="center"/>
          </w:tcPr>
          <w:p>
            <w:pPr>
              <w:pStyle w:val="33"/>
              <w:rPr>
                <w:sz w:val="18"/>
                <w:szCs w:val="18"/>
              </w:rPr>
            </w:pPr>
            <w:r>
              <w:rPr>
                <w:rFonts w:hint="eastAsia"/>
                <w:sz w:val="18"/>
                <w:szCs w:val="18"/>
              </w:rPr>
              <w:t>1</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废酸液</w:t>
            </w:r>
          </w:p>
        </w:tc>
        <w:tc>
          <w:tcPr>
            <w:tcW w:w="2304" w:type="dxa"/>
            <w:vAlign w:val="center"/>
          </w:tcPr>
          <w:p>
            <w:pPr>
              <w:pStyle w:val="33"/>
              <w:rPr>
                <w:sz w:val="18"/>
                <w:szCs w:val="18"/>
              </w:rPr>
            </w:pPr>
            <w:r>
              <w:rPr>
                <w:rFonts w:hint="eastAsia"/>
                <w:sz w:val="18"/>
                <w:szCs w:val="18"/>
              </w:rPr>
              <w:t>废酸液</w:t>
            </w:r>
          </w:p>
        </w:tc>
        <w:tc>
          <w:tcPr>
            <w:tcW w:w="1612" w:type="dxa"/>
            <w:vAlign w:val="center"/>
          </w:tcPr>
          <w:p>
            <w:pPr>
              <w:pStyle w:val="33"/>
              <w:rPr>
                <w:sz w:val="18"/>
                <w:szCs w:val="18"/>
              </w:rPr>
            </w:pPr>
            <w:r>
              <w:rPr>
                <w:rFonts w:hint="eastAsia"/>
                <w:sz w:val="18"/>
                <w:szCs w:val="18"/>
              </w:rPr>
              <w:t>0.282</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废碱液</w:t>
            </w:r>
          </w:p>
        </w:tc>
        <w:tc>
          <w:tcPr>
            <w:tcW w:w="2304" w:type="dxa"/>
            <w:vAlign w:val="center"/>
          </w:tcPr>
          <w:p>
            <w:pPr>
              <w:pStyle w:val="33"/>
              <w:rPr>
                <w:sz w:val="18"/>
                <w:szCs w:val="18"/>
              </w:rPr>
            </w:pPr>
            <w:r>
              <w:rPr>
                <w:rFonts w:hint="eastAsia"/>
                <w:sz w:val="18"/>
                <w:szCs w:val="18"/>
              </w:rPr>
              <w:t>废碱液</w:t>
            </w:r>
          </w:p>
        </w:tc>
        <w:tc>
          <w:tcPr>
            <w:tcW w:w="1612" w:type="dxa"/>
            <w:vAlign w:val="center"/>
          </w:tcPr>
          <w:p>
            <w:pPr>
              <w:pStyle w:val="33"/>
              <w:rPr>
                <w:sz w:val="18"/>
                <w:szCs w:val="18"/>
              </w:rPr>
            </w:pPr>
            <w:r>
              <w:rPr>
                <w:rFonts w:hint="eastAsia"/>
                <w:sz w:val="18"/>
                <w:szCs w:val="18"/>
              </w:rPr>
              <w:t>4</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污水处理站油渣</w:t>
            </w:r>
          </w:p>
        </w:tc>
        <w:tc>
          <w:tcPr>
            <w:tcW w:w="2304" w:type="dxa"/>
            <w:vAlign w:val="center"/>
          </w:tcPr>
          <w:p>
            <w:pPr>
              <w:pStyle w:val="33"/>
              <w:rPr>
                <w:sz w:val="18"/>
                <w:szCs w:val="18"/>
              </w:rPr>
            </w:pPr>
            <w:r>
              <w:rPr>
                <w:rFonts w:hint="eastAsia"/>
                <w:sz w:val="18"/>
                <w:szCs w:val="18"/>
              </w:rPr>
              <w:t>油渣</w:t>
            </w:r>
          </w:p>
        </w:tc>
        <w:tc>
          <w:tcPr>
            <w:tcW w:w="1612" w:type="dxa"/>
            <w:vAlign w:val="center"/>
          </w:tcPr>
          <w:p>
            <w:pPr>
              <w:pStyle w:val="33"/>
              <w:rPr>
                <w:sz w:val="18"/>
                <w:szCs w:val="18"/>
              </w:rPr>
            </w:pPr>
            <w:r>
              <w:rPr>
                <w:rFonts w:hint="eastAsia"/>
                <w:sz w:val="18"/>
                <w:szCs w:val="18"/>
              </w:rPr>
              <w:t>5</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废过滤板</w:t>
            </w:r>
          </w:p>
        </w:tc>
        <w:tc>
          <w:tcPr>
            <w:tcW w:w="2304" w:type="dxa"/>
            <w:vAlign w:val="center"/>
          </w:tcPr>
          <w:p>
            <w:pPr>
              <w:pStyle w:val="33"/>
              <w:rPr>
                <w:sz w:val="18"/>
                <w:szCs w:val="18"/>
              </w:rPr>
            </w:pPr>
            <w:r>
              <w:rPr>
                <w:sz w:val="18"/>
                <w:szCs w:val="18"/>
              </w:rPr>
              <w:t>废过滤板</w:t>
            </w:r>
          </w:p>
        </w:tc>
        <w:tc>
          <w:tcPr>
            <w:tcW w:w="1612" w:type="dxa"/>
            <w:vAlign w:val="center"/>
          </w:tcPr>
          <w:p>
            <w:pPr>
              <w:pStyle w:val="33"/>
              <w:rPr>
                <w:sz w:val="18"/>
                <w:szCs w:val="18"/>
              </w:rPr>
            </w:pPr>
            <w:r>
              <w:rPr>
                <w:rFonts w:hint="eastAsia"/>
                <w:sz w:val="18"/>
                <w:szCs w:val="18"/>
              </w:rPr>
              <w:t>2.5</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rFonts w:hint="eastAsia"/>
                <w:sz w:val="18"/>
                <w:szCs w:val="18"/>
              </w:rPr>
              <w:t>由厂家回收</w:t>
            </w:r>
          </w:p>
        </w:tc>
        <w:tc>
          <w:tcPr>
            <w:tcW w:w="2070" w:type="dxa"/>
            <w:vMerge w:val="restart"/>
            <w:vAlign w:val="center"/>
          </w:tcPr>
          <w:p>
            <w:pPr>
              <w:pStyle w:val="33"/>
              <w:rPr>
                <w:sz w:val="18"/>
                <w:szCs w:val="18"/>
              </w:rPr>
            </w:pPr>
            <w:r>
              <w:rPr>
                <w:rFonts w:hint="eastAsia"/>
                <w:sz w:val="18"/>
                <w:szCs w:val="18"/>
              </w:rPr>
              <w:t>《一般工业固体废物贮存和填埋污染控制标准》（GB18599-2020）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不合格产品</w:t>
            </w:r>
          </w:p>
        </w:tc>
        <w:tc>
          <w:tcPr>
            <w:tcW w:w="2304" w:type="dxa"/>
            <w:vAlign w:val="center"/>
          </w:tcPr>
          <w:p>
            <w:pPr>
              <w:pStyle w:val="33"/>
              <w:rPr>
                <w:sz w:val="18"/>
                <w:szCs w:val="18"/>
              </w:rPr>
            </w:pPr>
            <w:r>
              <w:rPr>
                <w:sz w:val="18"/>
                <w:szCs w:val="18"/>
              </w:rPr>
              <w:t>不合格产品</w:t>
            </w:r>
          </w:p>
        </w:tc>
        <w:tc>
          <w:tcPr>
            <w:tcW w:w="1612" w:type="dxa"/>
            <w:vAlign w:val="center"/>
          </w:tcPr>
          <w:p>
            <w:pPr>
              <w:pStyle w:val="33"/>
              <w:rPr>
                <w:sz w:val="18"/>
                <w:szCs w:val="18"/>
              </w:rPr>
            </w:pPr>
            <w:r>
              <w:rPr>
                <w:rFonts w:hint="eastAsia"/>
                <w:sz w:val="18"/>
                <w:szCs w:val="18"/>
              </w:rPr>
              <w:t>720</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sz w:val="18"/>
                <w:szCs w:val="18"/>
              </w:rPr>
              <w:t>集中收集后作为原材料回用</w:t>
            </w:r>
          </w:p>
        </w:tc>
        <w:tc>
          <w:tcPr>
            <w:tcW w:w="2070" w:type="dxa"/>
            <w:vMerge w:val="continue"/>
            <w:vAlign w:val="center"/>
          </w:tcPr>
          <w:p>
            <w:pPr>
              <w:pStyle w:val="33"/>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下脚料</w:t>
            </w:r>
          </w:p>
        </w:tc>
        <w:tc>
          <w:tcPr>
            <w:tcW w:w="2304" w:type="dxa"/>
            <w:vAlign w:val="center"/>
          </w:tcPr>
          <w:p>
            <w:pPr>
              <w:pStyle w:val="33"/>
              <w:rPr>
                <w:sz w:val="18"/>
                <w:szCs w:val="18"/>
              </w:rPr>
            </w:pPr>
            <w:r>
              <w:rPr>
                <w:sz w:val="18"/>
                <w:szCs w:val="18"/>
              </w:rPr>
              <w:t>下脚料</w:t>
            </w:r>
          </w:p>
        </w:tc>
        <w:tc>
          <w:tcPr>
            <w:tcW w:w="1612" w:type="dxa"/>
            <w:vAlign w:val="center"/>
          </w:tcPr>
          <w:p>
            <w:pPr>
              <w:pStyle w:val="33"/>
              <w:rPr>
                <w:sz w:val="18"/>
                <w:szCs w:val="18"/>
              </w:rPr>
            </w:pPr>
            <w:r>
              <w:rPr>
                <w:rFonts w:hint="eastAsia"/>
                <w:sz w:val="18"/>
                <w:szCs w:val="18"/>
              </w:rPr>
              <w:t>300</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sz w:val="18"/>
                <w:szCs w:val="18"/>
              </w:rPr>
              <w:t>集中收集后作为原材料回用</w:t>
            </w:r>
          </w:p>
        </w:tc>
        <w:tc>
          <w:tcPr>
            <w:tcW w:w="2070" w:type="dxa"/>
            <w:vMerge w:val="continue"/>
            <w:vAlign w:val="center"/>
          </w:tcPr>
          <w:p>
            <w:pPr>
              <w:pStyle w:val="33"/>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废包装材料</w:t>
            </w:r>
          </w:p>
        </w:tc>
        <w:tc>
          <w:tcPr>
            <w:tcW w:w="2304" w:type="dxa"/>
            <w:vAlign w:val="center"/>
          </w:tcPr>
          <w:p>
            <w:pPr>
              <w:pStyle w:val="33"/>
              <w:rPr>
                <w:sz w:val="18"/>
                <w:szCs w:val="18"/>
              </w:rPr>
            </w:pPr>
            <w:r>
              <w:rPr>
                <w:sz w:val="18"/>
                <w:szCs w:val="18"/>
              </w:rPr>
              <w:t>废包装材料</w:t>
            </w:r>
          </w:p>
        </w:tc>
        <w:tc>
          <w:tcPr>
            <w:tcW w:w="1612" w:type="dxa"/>
            <w:vAlign w:val="center"/>
          </w:tcPr>
          <w:p>
            <w:pPr>
              <w:pStyle w:val="33"/>
              <w:rPr>
                <w:sz w:val="18"/>
                <w:szCs w:val="18"/>
              </w:rPr>
            </w:pPr>
            <w:r>
              <w:rPr>
                <w:rFonts w:hint="eastAsia"/>
                <w:sz w:val="18"/>
                <w:szCs w:val="18"/>
              </w:rPr>
              <w:t>1</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sz w:val="18"/>
                <w:szCs w:val="18"/>
              </w:rPr>
              <w:t>收集后作外售处理</w:t>
            </w:r>
          </w:p>
        </w:tc>
        <w:tc>
          <w:tcPr>
            <w:tcW w:w="2070" w:type="dxa"/>
            <w:vMerge w:val="continue"/>
            <w:vAlign w:val="center"/>
          </w:tcPr>
          <w:p>
            <w:pPr>
              <w:pStyle w:val="33"/>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初期雨水收集池和圆铸锭循环冷却水池污泥</w:t>
            </w:r>
          </w:p>
        </w:tc>
        <w:tc>
          <w:tcPr>
            <w:tcW w:w="2304" w:type="dxa"/>
            <w:vAlign w:val="center"/>
          </w:tcPr>
          <w:p>
            <w:pPr>
              <w:pStyle w:val="33"/>
              <w:rPr>
                <w:sz w:val="18"/>
                <w:szCs w:val="18"/>
              </w:rPr>
            </w:pPr>
            <w:r>
              <w:rPr>
                <w:rFonts w:hint="eastAsia"/>
                <w:sz w:val="18"/>
                <w:szCs w:val="18"/>
              </w:rPr>
              <w:t>污泥</w:t>
            </w:r>
          </w:p>
        </w:tc>
        <w:tc>
          <w:tcPr>
            <w:tcW w:w="1612" w:type="dxa"/>
            <w:vAlign w:val="center"/>
          </w:tcPr>
          <w:p>
            <w:pPr>
              <w:pStyle w:val="33"/>
              <w:rPr>
                <w:sz w:val="18"/>
                <w:szCs w:val="18"/>
              </w:rPr>
            </w:pPr>
            <w:r>
              <w:rPr>
                <w:rFonts w:hint="eastAsia"/>
                <w:sz w:val="18"/>
                <w:szCs w:val="18"/>
              </w:rPr>
              <w:t>0.5</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sz w:val="18"/>
                <w:szCs w:val="18"/>
              </w:rPr>
              <w:t>环卫部门定期清理</w:t>
            </w:r>
          </w:p>
        </w:tc>
        <w:tc>
          <w:tcPr>
            <w:tcW w:w="2070" w:type="dxa"/>
            <w:vMerge w:val="continue"/>
            <w:vAlign w:val="center"/>
          </w:tcPr>
          <w:p>
            <w:pPr>
              <w:pStyle w:val="33"/>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生活垃圾</w:t>
            </w:r>
          </w:p>
        </w:tc>
        <w:tc>
          <w:tcPr>
            <w:tcW w:w="2304" w:type="dxa"/>
            <w:vAlign w:val="center"/>
          </w:tcPr>
          <w:p>
            <w:pPr>
              <w:pStyle w:val="33"/>
              <w:rPr>
                <w:sz w:val="18"/>
                <w:szCs w:val="18"/>
              </w:rPr>
            </w:pPr>
            <w:r>
              <w:rPr>
                <w:sz w:val="18"/>
                <w:szCs w:val="18"/>
              </w:rPr>
              <w:t>生活垃圾</w:t>
            </w:r>
          </w:p>
        </w:tc>
        <w:tc>
          <w:tcPr>
            <w:tcW w:w="1612" w:type="dxa"/>
            <w:vAlign w:val="center"/>
          </w:tcPr>
          <w:p>
            <w:pPr>
              <w:pStyle w:val="33"/>
              <w:rPr>
                <w:sz w:val="18"/>
                <w:szCs w:val="18"/>
              </w:rPr>
            </w:pPr>
            <w:r>
              <w:rPr>
                <w:rFonts w:hint="eastAsia"/>
                <w:sz w:val="18"/>
                <w:szCs w:val="18"/>
              </w:rPr>
              <w:t>8.3</w:t>
            </w:r>
          </w:p>
        </w:tc>
        <w:tc>
          <w:tcPr>
            <w:tcW w:w="1383" w:type="dxa"/>
            <w:vAlign w:val="center"/>
          </w:tcPr>
          <w:p>
            <w:pPr>
              <w:pStyle w:val="33"/>
              <w:rPr>
                <w:sz w:val="18"/>
                <w:szCs w:val="18"/>
              </w:rPr>
            </w:pPr>
            <w:r>
              <w:rPr>
                <w:rFonts w:hint="eastAsia"/>
                <w:sz w:val="18"/>
                <w:szCs w:val="18"/>
              </w:rPr>
              <w:t>0</w:t>
            </w:r>
          </w:p>
        </w:tc>
        <w:tc>
          <w:tcPr>
            <w:tcW w:w="3686" w:type="dxa"/>
            <w:vAlign w:val="center"/>
          </w:tcPr>
          <w:p>
            <w:pPr>
              <w:pStyle w:val="33"/>
              <w:rPr>
                <w:sz w:val="18"/>
                <w:szCs w:val="18"/>
              </w:rPr>
            </w:pPr>
            <w:r>
              <w:rPr>
                <w:sz w:val="18"/>
                <w:szCs w:val="18"/>
              </w:rPr>
              <w:t>环卫部门定期清理</w:t>
            </w:r>
          </w:p>
        </w:tc>
        <w:tc>
          <w:tcPr>
            <w:tcW w:w="2070" w:type="dxa"/>
            <w:vMerge w:val="continue"/>
            <w:vAlign w:val="center"/>
          </w:tcPr>
          <w:p>
            <w:pPr>
              <w:pStyle w:val="33"/>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restart"/>
            <w:vAlign w:val="center"/>
          </w:tcPr>
          <w:p>
            <w:pPr>
              <w:widowControl/>
              <w:spacing w:line="270" w:lineRule="exact"/>
              <w:jc w:val="center"/>
              <w:rPr>
                <w:sz w:val="18"/>
                <w:szCs w:val="18"/>
              </w:rPr>
            </w:pPr>
            <w:r>
              <w:rPr>
                <w:rFonts w:hint="eastAsia"/>
                <w:sz w:val="18"/>
                <w:szCs w:val="18"/>
              </w:rPr>
              <w:t>二期工程</w:t>
            </w:r>
          </w:p>
        </w:tc>
        <w:tc>
          <w:tcPr>
            <w:tcW w:w="2277" w:type="dxa"/>
            <w:vAlign w:val="center"/>
          </w:tcPr>
          <w:p>
            <w:pPr>
              <w:pStyle w:val="33"/>
              <w:rPr>
                <w:sz w:val="18"/>
                <w:szCs w:val="18"/>
              </w:rPr>
            </w:pPr>
            <w:r>
              <w:rPr>
                <w:rFonts w:hint="eastAsia"/>
                <w:sz w:val="18"/>
                <w:szCs w:val="18"/>
              </w:rPr>
              <w:t>铝灰</w:t>
            </w:r>
          </w:p>
        </w:tc>
        <w:tc>
          <w:tcPr>
            <w:tcW w:w="2304" w:type="dxa"/>
            <w:vAlign w:val="center"/>
          </w:tcPr>
          <w:p>
            <w:pPr>
              <w:pStyle w:val="33"/>
              <w:rPr>
                <w:sz w:val="18"/>
                <w:szCs w:val="18"/>
              </w:rPr>
            </w:pPr>
            <w:r>
              <w:rPr>
                <w:rFonts w:hint="eastAsia"/>
                <w:sz w:val="18"/>
                <w:szCs w:val="18"/>
              </w:rPr>
              <w:t>铝灰</w:t>
            </w:r>
          </w:p>
        </w:tc>
        <w:tc>
          <w:tcPr>
            <w:tcW w:w="1612" w:type="dxa"/>
            <w:vAlign w:val="center"/>
          </w:tcPr>
          <w:p>
            <w:pPr>
              <w:pStyle w:val="33"/>
              <w:rPr>
                <w:sz w:val="18"/>
                <w:szCs w:val="18"/>
              </w:rPr>
            </w:pPr>
            <w:r>
              <w:rPr>
                <w:rFonts w:hint="eastAsia"/>
                <w:sz w:val="18"/>
                <w:szCs w:val="18"/>
              </w:rPr>
              <w:t>668.798</w:t>
            </w:r>
          </w:p>
        </w:tc>
        <w:tc>
          <w:tcPr>
            <w:tcW w:w="1383" w:type="dxa"/>
            <w:vAlign w:val="center"/>
          </w:tcPr>
          <w:p>
            <w:pPr>
              <w:pStyle w:val="58"/>
              <w:rPr>
                <w:color w:val="auto"/>
                <w:sz w:val="18"/>
                <w:szCs w:val="18"/>
              </w:rPr>
            </w:pPr>
            <w:r>
              <w:rPr>
                <w:rFonts w:hint="eastAsia"/>
                <w:color w:val="auto"/>
                <w:sz w:val="18"/>
                <w:szCs w:val="18"/>
              </w:rPr>
              <w:t>0</w:t>
            </w:r>
          </w:p>
        </w:tc>
        <w:tc>
          <w:tcPr>
            <w:tcW w:w="3686" w:type="dxa"/>
            <w:vAlign w:val="center"/>
          </w:tcPr>
          <w:p>
            <w:pPr>
              <w:pStyle w:val="33"/>
              <w:rPr>
                <w:snapToGrid w:val="0"/>
                <w:sz w:val="18"/>
                <w:szCs w:val="18"/>
              </w:rPr>
            </w:pPr>
            <w:r>
              <w:rPr>
                <w:rFonts w:hint="eastAsia"/>
                <w:sz w:val="18"/>
                <w:szCs w:val="18"/>
              </w:rPr>
              <w:t>暂存于厂内危废暂存间</w:t>
            </w:r>
            <w:r>
              <w:rPr>
                <w:sz w:val="18"/>
                <w:szCs w:val="18"/>
              </w:rPr>
              <w:t>，委托有资质的单位进行处理处置</w:t>
            </w:r>
          </w:p>
        </w:tc>
        <w:tc>
          <w:tcPr>
            <w:tcW w:w="2070" w:type="dxa"/>
            <w:vMerge w:val="restart"/>
            <w:vAlign w:val="center"/>
          </w:tcPr>
          <w:p>
            <w:pPr>
              <w:pStyle w:val="58"/>
              <w:rPr>
                <w:color w:val="auto"/>
                <w:sz w:val="18"/>
                <w:szCs w:val="18"/>
              </w:rPr>
            </w:pPr>
            <w:r>
              <w:rPr>
                <w:color w:val="auto"/>
                <w:sz w:val="18"/>
                <w:szCs w:val="18"/>
              </w:rPr>
              <w:t>危险废物按照国家危险废物名录，执行《危险废物贮存污染控制标准》（GB18597-2001）及其修改单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除尘系统</w:t>
            </w:r>
            <w:r>
              <w:rPr>
                <w:sz w:val="18"/>
                <w:szCs w:val="18"/>
              </w:rPr>
              <w:t>收集尘</w:t>
            </w:r>
          </w:p>
        </w:tc>
        <w:tc>
          <w:tcPr>
            <w:tcW w:w="2304" w:type="dxa"/>
            <w:vAlign w:val="center"/>
          </w:tcPr>
          <w:p>
            <w:pPr>
              <w:pStyle w:val="33"/>
              <w:rPr>
                <w:sz w:val="18"/>
                <w:szCs w:val="18"/>
              </w:rPr>
            </w:pPr>
            <w:r>
              <w:rPr>
                <w:rFonts w:hint="eastAsia"/>
                <w:sz w:val="18"/>
                <w:szCs w:val="18"/>
              </w:rPr>
              <w:t>除尘系统</w:t>
            </w:r>
            <w:r>
              <w:rPr>
                <w:sz w:val="18"/>
                <w:szCs w:val="18"/>
              </w:rPr>
              <w:t>收集尘</w:t>
            </w:r>
          </w:p>
        </w:tc>
        <w:tc>
          <w:tcPr>
            <w:tcW w:w="1612" w:type="dxa"/>
            <w:vAlign w:val="center"/>
          </w:tcPr>
          <w:p>
            <w:pPr>
              <w:pStyle w:val="33"/>
              <w:rPr>
                <w:sz w:val="18"/>
                <w:szCs w:val="18"/>
              </w:rPr>
            </w:pPr>
            <w:r>
              <w:rPr>
                <w:rFonts w:hint="eastAsia"/>
                <w:sz w:val="18"/>
                <w:szCs w:val="18"/>
              </w:rPr>
              <w:t>344.75</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rFonts w:hint="eastAsia"/>
                <w:sz w:val="18"/>
                <w:szCs w:val="18"/>
              </w:rPr>
              <w:t>暂存于厂内危废暂存间</w:t>
            </w:r>
            <w:r>
              <w:rPr>
                <w:sz w:val="18"/>
                <w:szCs w:val="18"/>
              </w:rPr>
              <w:t>，委托有资质的单位进行处理处置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废润滑油、废机油</w:t>
            </w:r>
          </w:p>
        </w:tc>
        <w:tc>
          <w:tcPr>
            <w:tcW w:w="2304" w:type="dxa"/>
            <w:vAlign w:val="center"/>
          </w:tcPr>
          <w:p>
            <w:pPr>
              <w:pStyle w:val="33"/>
              <w:rPr>
                <w:sz w:val="18"/>
                <w:szCs w:val="18"/>
              </w:rPr>
            </w:pPr>
            <w:r>
              <w:rPr>
                <w:sz w:val="18"/>
                <w:szCs w:val="18"/>
              </w:rPr>
              <w:t>废润滑油、废机油</w:t>
            </w:r>
          </w:p>
        </w:tc>
        <w:tc>
          <w:tcPr>
            <w:tcW w:w="1612" w:type="dxa"/>
            <w:vAlign w:val="center"/>
          </w:tcPr>
          <w:p>
            <w:pPr>
              <w:pStyle w:val="33"/>
              <w:rPr>
                <w:sz w:val="18"/>
                <w:szCs w:val="18"/>
              </w:rPr>
            </w:pPr>
            <w:r>
              <w:rPr>
                <w:rFonts w:hint="eastAsia"/>
                <w:sz w:val="18"/>
                <w:szCs w:val="18"/>
              </w:rPr>
              <w:t>0.5</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rFonts w:ascii="Times New Roman" w:hAnsi="Times New Roman" w:eastAsia="宋体" w:cs="Times New Roman"/>
                <w:kern w:val="2"/>
                <w:sz w:val="18"/>
                <w:szCs w:val="18"/>
                <w:lang w:val="en-US" w:eastAsia="zh-CN" w:bidi="ar-SA"/>
              </w:rPr>
            </w:pPr>
            <w:r>
              <w:rPr>
                <w:rFonts w:hint="eastAsia"/>
                <w:sz w:val="18"/>
                <w:szCs w:val="18"/>
              </w:rPr>
              <w:t>废酸液</w:t>
            </w:r>
          </w:p>
        </w:tc>
        <w:tc>
          <w:tcPr>
            <w:tcW w:w="2304" w:type="dxa"/>
            <w:vAlign w:val="center"/>
          </w:tcPr>
          <w:p>
            <w:pPr>
              <w:pStyle w:val="33"/>
              <w:rPr>
                <w:rFonts w:ascii="Times New Roman" w:hAnsi="Times New Roman" w:eastAsia="宋体" w:cs="Times New Roman"/>
                <w:kern w:val="2"/>
                <w:sz w:val="18"/>
                <w:szCs w:val="18"/>
                <w:lang w:val="en-US" w:eastAsia="zh-CN" w:bidi="ar-SA"/>
              </w:rPr>
            </w:pPr>
            <w:r>
              <w:rPr>
                <w:rFonts w:hint="eastAsia"/>
                <w:sz w:val="18"/>
                <w:szCs w:val="18"/>
              </w:rPr>
              <w:t>废酸液</w:t>
            </w:r>
          </w:p>
        </w:tc>
        <w:tc>
          <w:tcPr>
            <w:tcW w:w="1612" w:type="dxa"/>
            <w:vAlign w:val="center"/>
          </w:tcPr>
          <w:p>
            <w:pPr>
              <w:pStyle w:val="33"/>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0.07</w:t>
            </w:r>
          </w:p>
        </w:tc>
        <w:tc>
          <w:tcPr>
            <w:tcW w:w="1383" w:type="dxa"/>
            <w:vAlign w:val="center"/>
          </w:tcPr>
          <w:p>
            <w:pPr>
              <w:pStyle w:val="58"/>
              <w:widowControl/>
              <w:spacing w:line="270" w:lineRule="exact"/>
              <w:rPr>
                <w:rFonts w:hint="eastAsia" w:ascii="Times New Roman" w:hAnsi="Times New Roman" w:eastAsia="宋体" w:cs="Times New Roman"/>
                <w:snapToGrid/>
                <w:color w:val="auto"/>
                <w:kern w:val="2"/>
                <w:sz w:val="18"/>
                <w:szCs w:val="18"/>
                <w:lang w:val="en-US" w:eastAsia="zh-CN" w:bidi="ar-SA"/>
              </w:rPr>
            </w:pPr>
            <w:r>
              <w:rPr>
                <w:rFonts w:hint="eastAsia"/>
                <w:snapToGrid/>
                <w:color w:val="auto"/>
                <w:sz w:val="18"/>
                <w:szCs w:val="18"/>
              </w:rPr>
              <w:t>0</w:t>
            </w:r>
          </w:p>
        </w:tc>
        <w:tc>
          <w:tcPr>
            <w:tcW w:w="3686" w:type="dxa"/>
            <w:vAlign w:val="center"/>
          </w:tcPr>
          <w:p>
            <w:pPr>
              <w:pStyle w:val="33"/>
              <w:rPr>
                <w:rFonts w:ascii="Times New Roman" w:hAnsi="Times New Roman" w:eastAsia="宋体" w:cs="Times New Roman"/>
                <w:kern w:val="2"/>
                <w:sz w:val="18"/>
                <w:szCs w:val="18"/>
                <w:lang w:val="en-US" w:eastAsia="zh-CN" w:bidi="ar-SA"/>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rFonts w:ascii="Times New Roman" w:hAnsi="Times New Roman" w:eastAsia="宋体" w:cs="Times New Roman"/>
                <w:kern w:val="2"/>
                <w:sz w:val="18"/>
                <w:szCs w:val="18"/>
                <w:lang w:val="en-US" w:eastAsia="zh-CN" w:bidi="ar-SA"/>
              </w:rPr>
            </w:pPr>
            <w:r>
              <w:rPr>
                <w:rFonts w:hint="eastAsia"/>
                <w:sz w:val="18"/>
                <w:szCs w:val="18"/>
              </w:rPr>
              <w:t>废碱液</w:t>
            </w:r>
          </w:p>
        </w:tc>
        <w:tc>
          <w:tcPr>
            <w:tcW w:w="2304" w:type="dxa"/>
            <w:vAlign w:val="center"/>
          </w:tcPr>
          <w:p>
            <w:pPr>
              <w:pStyle w:val="33"/>
              <w:rPr>
                <w:rFonts w:ascii="Times New Roman" w:hAnsi="Times New Roman" w:eastAsia="宋体" w:cs="Times New Roman"/>
                <w:kern w:val="2"/>
                <w:sz w:val="18"/>
                <w:szCs w:val="18"/>
                <w:lang w:val="en-US" w:eastAsia="zh-CN" w:bidi="ar-SA"/>
              </w:rPr>
            </w:pPr>
            <w:r>
              <w:rPr>
                <w:rFonts w:hint="eastAsia"/>
                <w:sz w:val="18"/>
                <w:szCs w:val="18"/>
              </w:rPr>
              <w:t>废碱液</w:t>
            </w:r>
          </w:p>
        </w:tc>
        <w:tc>
          <w:tcPr>
            <w:tcW w:w="1612" w:type="dxa"/>
            <w:vAlign w:val="center"/>
          </w:tcPr>
          <w:p>
            <w:pPr>
              <w:pStyle w:val="33"/>
              <w:rPr>
                <w:rFonts w:hint="eastAsia" w:ascii="Times New Roman" w:hAnsi="Times New Roman" w:eastAsia="宋体" w:cs="Times New Roman"/>
                <w:kern w:val="2"/>
                <w:sz w:val="18"/>
                <w:szCs w:val="18"/>
                <w:lang w:val="en-US" w:eastAsia="zh-CN" w:bidi="ar-SA"/>
              </w:rPr>
            </w:pPr>
            <w:r>
              <w:rPr>
                <w:rFonts w:hint="eastAsia"/>
                <w:sz w:val="18"/>
                <w:szCs w:val="18"/>
                <w:lang w:val="en-US" w:eastAsia="zh-CN"/>
              </w:rPr>
              <w:t>1</w:t>
            </w:r>
          </w:p>
        </w:tc>
        <w:tc>
          <w:tcPr>
            <w:tcW w:w="1383" w:type="dxa"/>
            <w:vAlign w:val="center"/>
          </w:tcPr>
          <w:p>
            <w:pPr>
              <w:pStyle w:val="58"/>
              <w:widowControl/>
              <w:spacing w:line="270" w:lineRule="exact"/>
              <w:rPr>
                <w:rFonts w:hint="eastAsia" w:ascii="Times New Roman" w:hAnsi="Times New Roman" w:eastAsia="宋体" w:cs="Times New Roman"/>
                <w:snapToGrid/>
                <w:color w:val="auto"/>
                <w:kern w:val="2"/>
                <w:sz w:val="18"/>
                <w:szCs w:val="18"/>
                <w:lang w:val="en-US" w:eastAsia="zh-CN" w:bidi="ar-SA"/>
              </w:rPr>
            </w:pPr>
            <w:r>
              <w:rPr>
                <w:rFonts w:hint="eastAsia"/>
                <w:snapToGrid/>
                <w:color w:val="auto"/>
                <w:sz w:val="18"/>
                <w:szCs w:val="18"/>
              </w:rPr>
              <w:t>0</w:t>
            </w:r>
          </w:p>
        </w:tc>
        <w:tc>
          <w:tcPr>
            <w:tcW w:w="3686" w:type="dxa"/>
            <w:vAlign w:val="center"/>
          </w:tcPr>
          <w:p>
            <w:pPr>
              <w:pStyle w:val="33"/>
              <w:rPr>
                <w:rFonts w:ascii="Times New Roman" w:hAnsi="Times New Roman" w:eastAsia="宋体" w:cs="Times New Roman"/>
                <w:kern w:val="2"/>
                <w:sz w:val="18"/>
                <w:szCs w:val="18"/>
                <w:lang w:val="en-US" w:eastAsia="zh-CN" w:bidi="ar-SA"/>
              </w:rPr>
            </w:pPr>
            <w:r>
              <w:rPr>
                <w:sz w:val="18"/>
                <w:szCs w:val="18"/>
              </w:rPr>
              <w:t>暂存在厂内危废暂存间，委托有资质的单位进行处理处置</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废过滤板</w:t>
            </w:r>
          </w:p>
        </w:tc>
        <w:tc>
          <w:tcPr>
            <w:tcW w:w="2304" w:type="dxa"/>
            <w:vAlign w:val="center"/>
          </w:tcPr>
          <w:p>
            <w:pPr>
              <w:pStyle w:val="33"/>
              <w:rPr>
                <w:sz w:val="18"/>
                <w:szCs w:val="18"/>
              </w:rPr>
            </w:pPr>
            <w:r>
              <w:rPr>
                <w:sz w:val="18"/>
                <w:szCs w:val="18"/>
              </w:rPr>
              <w:t>废过滤板</w:t>
            </w:r>
          </w:p>
        </w:tc>
        <w:tc>
          <w:tcPr>
            <w:tcW w:w="1612" w:type="dxa"/>
            <w:vAlign w:val="center"/>
          </w:tcPr>
          <w:p>
            <w:pPr>
              <w:pStyle w:val="33"/>
              <w:rPr>
                <w:sz w:val="18"/>
                <w:szCs w:val="18"/>
              </w:rPr>
            </w:pPr>
            <w:r>
              <w:rPr>
                <w:rFonts w:hint="eastAsia"/>
                <w:sz w:val="18"/>
                <w:szCs w:val="18"/>
              </w:rPr>
              <w:t>2.5</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rFonts w:hint="eastAsia"/>
                <w:sz w:val="18"/>
                <w:szCs w:val="18"/>
              </w:rPr>
              <w:t>由厂家回收</w:t>
            </w:r>
          </w:p>
        </w:tc>
        <w:tc>
          <w:tcPr>
            <w:tcW w:w="2070" w:type="dxa"/>
            <w:vMerge w:val="restart"/>
            <w:vAlign w:val="center"/>
          </w:tcPr>
          <w:p>
            <w:pPr>
              <w:pStyle w:val="58"/>
              <w:rPr>
                <w:color w:val="auto"/>
                <w:sz w:val="18"/>
                <w:szCs w:val="18"/>
              </w:rPr>
            </w:pPr>
            <w:r>
              <w:rPr>
                <w:rFonts w:hint="eastAsia"/>
                <w:color w:val="auto"/>
                <w:sz w:val="18"/>
                <w:szCs w:val="18"/>
              </w:rPr>
              <w:t>《一般工业固体废物贮存和填埋污染控制标准》（GB18599-2020）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不合格产品</w:t>
            </w:r>
          </w:p>
        </w:tc>
        <w:tc>
          <w:tcPr>
            <w:tcW w:w="2304" w:type="dxa"/>
            <w:vAlign w:val="center"/>
          </w:tcPr>
          <w:p>
            <w:pPr>
              <w:pStyle w:val="33"/>
              <w:rPr>
                <w:sz w:val="18"/>
                <w:szCs w:val="18"/>
              </w:rPr>
            </w:pPr>
            <w:r>
              <w:rPr>
                <w:sz w:val="18"/>
                <w:szCs w:val="18"/>
              </w:rPr>
              <w:t>不合格产品</w:t>
            </w:r>
          </w:p>
        </w:tc>
        <w:tc>
          <w:tcPr>
            <w:tcW w:w="1612" w:type="dxa"/>
            <w:vAlign w:val="center"/>
          </w:tcPr>
          <w:p>
            <w:pPr>
              <w:pStyle w:val="33"/>
              <w:rPr>
                <w:sz w:val="18"/>
                <w:szCs w:val="18"/>
              </w:rPr>
            </w:pPr>
            <w:r>
              <w:rPr>
                <w:rFonts w:hint="eastAsia"/>
                <w:sz w:val="18"/>
                <w:szCs w:val="18"/>
              </w:rPr>
              <w:t>720</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集中收集后作为原材料回用</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下脚料</w:t>
            </w:r>
          </w:p>
        </w:tc>
        <w:tc>
          <w:tcPr>
            <w:tcW w:w="2304" w:type="dxa"/>
            <w:vAlign w:val="center"/>
          </w:tcPr>
          <w:p>
            <w:pPr>
              <w:pStyle w:val="33"/>
              <w:rPr>
                <w:sz w:val="18"/>
                <w:szCs w:val="18"/>
              </w:rPr>
            </w:pPr>
            <w:r>
              <w:rPr>
                <w:sz w:val="18"/>
                <w:szCs w:val="18"/>
              </w:rPr>
              <w:t>下脚料</w:t>
            </w:r>
          </w:p>
        </w:tc>
        <w:tc>
          <w:tcPr>
            <w:tcW w:w="1612" w:type="dxa"/>
            <w:vAlign w:val="center"/>
          </w:tcPr>
          <w:p>
            <w:pPr>
              <w:pStyle w:val="33"/>
              <w:rPr>
                <w:sz w:val="18"/>
                <w:szCs w:val="18"/>
              </w:rPr>
            </w:pPr>
            <w:r>
              <w:rPr>
                <w:rFonts w:hint="eastAsia"/>
                <w:sz w:val="18"/>
                <w:szCs w:val="18"/>
              </w:rPr>
              <w:t>300</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集中收集后作为原材料回用</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废包装材料</w:t>
            </w:r>
          </w:p>
        </w:tc>
        <w:tc>
          <w:tcPr>
            <w:tcW w:w="2304" w:type="dxa"/>
            <w:vAlign w:val="center"/>
          </w:tcPr>
          <w:p>
            <w:pPr>
              <w:pStyle w:val="33"/>
              <w:rPr>
                <w:sz w:val="18"/>
                <w:szCs w:val="18"/>
              </w:rPr>
            </w:pPr>
            <w:r>
              <w:rPr>
                <w:sz w:val="18"/>
                <w:szCs w:val="18"/>
              </w:rPr>
              <w:t>废包装材料</w:t>
            </w:r>
          </w:p>
        </w:tc>
        <w:tc>
          <w:tcPr>
            <w:tcW w:w="1612" w:type="dxa"/>
            <w:vAlign w:val="center"/>
          </w:tcPr>
          <w:p>
            <w:pPr>
              <w:pStyle w:val="33"/>
              <w:rPr>
                <w:sz w:val="18"/>
                <w:szCs w:val="18"/>
              </w:rPr>
            </w:pPr>
            <w:r>
              <w:rPr>
                <w:rFonts w:hint="eastAsia"/>
                <w:sz w:val="18"/>
                <w:szCs w:val="18"/>
              </w:rPr>
              <w:t>1</w:t>
            </w:r>
          </w:p>
        </w:tc>
        <w:tc>
          <w:tcPr>
            <w:tcW w:w="1383" w:type="dxa"/>
            <w:vAlign w:val="center"/>
          </w:tcPr>
          <w:p>
            <w:pPr>
              <w:pStyle w:val="58"/>
              <w:rPr>
                <w:color w:val="auto"/>
                <w:sz w:val="18"/>
                <w:szCs w:val="18"/>
              </w:rPr>
            </w:pPr>
            <w:r>
              <w:rPr>
                <w:rFonts w:hint="eastAsia"/>
                <w:color w:val="auto"/>
                <w:sz w:val="18"/>
                <w:szCs w:val="18"/>
              </w:rPr>
              <w:t>0</w:t>
            </w:r>
          </w:p>
        </w:tc>
        <w:tc>
          <w:tcPr>
            <w:tcW w:w="3686" w:type="dxa"/>
            <w:vAlign w:val="center"/>
          </w:tcPr>
          <w:p>
            <w:pPr>
              <w:pStyle w:val="33"/>
              <w:rPr>
                <w:sz w:val="18"/>
                <w:szCs w:val="18"/>
              </w:rPr>
            </w:pPr>
            <w:r>
              <w:rPr>
                <w:sz w:val="18"/>
                <w:szCs w:val="18"/>
              </w:rPr>
              <w:t>收集后作外售处理</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rFonts w:hint="eastAsia"/>
                <w:sz w:val="18"/>
                <w:szCs w:val="18"/>
              </w:rPr>
              <w:t>初期雨水收集池和圆铸锭循环冷却水池污泥</w:t>
            </w:r>
          </w:p>
        </w:tc>
        <w:tc>
          <w:tcPr>
            <w:tcW w:w="2304" w:type="dxa"/>
            <w:vAlign w:val="center"/>
          </w:tcPr>
          <w:p>
            <w:pPr>
              <w:pStyle w:val="33"/>
              <w:rPr>
                <w:sz w:val="18"/>
                <w:szCs w:val="18"/>
              </w:rPr>
            </w:pPr>
            <w:r>
              <w:rPr>
                <w:rFonts w:hint="eastAsia"/>
                <w:sz w:val="18"/>
                <w:szCs w:val="18"/>
              </w:rPr>
              <w:t>初期雨水收集池和圆铸锭循环冷却水池污泥</w:t>
            </w:r>
          </w:p>
        </w:tc>
        <w:tc>
          <w:tcPr>
            <w:tcW w:w="1612" w:type="dxa"/>
            <w:vAlign w:val="center"/>
          </w:tcPr>
          <w:p>
            <w:pPr>
              <w:pStyle w:val="33"/>
              <w:rPr>
                <w:sz w:val="18"/>
                <w:szCs w:val="18"/>
              </w:rPr>
            </w:pPr>
            <w:r>
              <w:rPr>
                <w:rFonts w:hint="eastAsia"/>
                <w:sz w:val="18"/>
                <w:szCs w:val="18"/>
              </w:rPr>
              <w:t>0.5</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环卫部门定期清理</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 w:type="dxa"/>
            <w:vMerge w:val="continue"/>
            <w:vAlign w:val="center"/>
          </w:tcPr>
          <w:p>
            <w:pPr>
              <w:pStyle w:val="58"/>
              <w:rPr>
                <w:color w:val="auto"/>
                <w:sz w:val="18"/>
                <w:szCs w:val="18"/>
              </w:rPr>
            </w:pPr>
          </w:p>
        </w:tc>
        <w:tc>
          <w:tcPr>
            <w:tcW w:w="518" w:type="dxa"/>
            <w:vMerge w:val="continue"/>
            <w:vAlign w:val="center"/>
          </w:tcPr>
          <w:p>
            <w:pPr>
              <w:widowControl/>
              <w:spacing w:line="270" w:lineRule="exact"/>
              <w:jc w:val="center"/>
              <w:rPr>
                <w:sz w:val="18"/>
                <w:szCs w:val="18"/>
              </w:rPr>
            </w:pPr>
          </w:p>
        </w:tc>
        <w:tc>
          <w:tcPr>
            <w:tcW w:w="2277" w:type="dxa"/>
            <w:vAlign w:val="center"/>
          </w:tcPr>
          <w:p>
            <w:pPr>
              <w:pStyle w:val="33"/>
              <w:rPr>
                <w:sz w:val="18"/>
                <w:szCs w:val="18"/>
              </w:rPr>
            </w:pPr>
            <w:r>
              <w:rPr>
                <w:sz w:val="18"/>
                <w:szCs w:val="18"/>
              </w:rPr>
              <w:t>生活垃圾</w:t>
            </w:r>
          </w:p>
        </w:tc>
        <w:tc>
          <w:tcPr>
            <w:tcW w:w="2304" w:type="dxa"/>
            <w:vAlign w:val="center"/>
          </w:tcPr>
          <w:p>
            <w:pPr>
              <w:pStyle w:val="33"/>
              <w:rPr>
                <w:sz w:val="18"/>
                <w:szCs w:val="18"/>
              </w:rPr>
            </w:pPr>
            <w:r>
              <w:rPr>
                <w:sz w:val="18"/>
                <w:szCs w:val="18"/>
              </w:rPr>
              <w:t>生活垃圾</w:t>
            </w:r>
          </w:p>
        </w:tc>
        <w:tc>
          <w:tcPr>
            <w:tcW w:w="1612" w:type="dxa"/>
            <w:vAlign w:val="center"/>
          </w:tcPr>
          <w:p>
            <w:pPr>
              <w:pStyle w:val="33"/>
              <w:rPr>
                <w:sz w:val="18"/>
                <w:szCs w:val="18"/>
              </w:rPr>
            </w:pPr>
            <w:r>
              <w:rPr>
                <w:rFonts w:hint="eastAsia"/>
                <w:sz w:val="18"/>
                <w:szCs w:val="18"/>
              </w:rPr>
              <w:t>8.3</w:t>
            </w:r>
          </w:p>
        </w:tc>
        <w:tc>
          <w:tcPr>
            <w:tcW w:w="1383" w:type="dxa"/>
            <w:vAlign w:val="center"/>
          </w:tcPr>
          <w:p>
            <w:pPr>
              <w:pStyle w:val="58"/>
              <w:widowControl/>
              <w:spacing w:line="270" w:lineRule="exact"/>
              <w:rPr>
                <w:snapToGrid/>
                <w:color w:val="auto"/>
                <w:sz w:val="18"/>
                <w:szCs w:val="18"/>
              </w:rPr>
            </w:pPr>
            <w:r>
              <w:rPr>
                <w:rFonts w:hint="eastAsia"/>
                <w:snapToGrid/>
                <w:color w:val="auto"/>
                <w:sz w:val="18"/>
                <w:szCs w:val="18"/>
              </w:rPr>
              <w:t>0</w:t>
            </w:r>
          </w:p>
        </w:tc>
        <w:tc>
          <w:tcPr>
            <w:tcW w:w="3686" w:type="dxa"/>
            <w:vAlign w:val="center"/>
          </w:tcPr>
          <w:p>
            <w:pPr>
              <w:pStyle w:val="33"/>
              <w:rPr>
                <w:sz w:val="18"/>
                <w:szCs w:val="18"/>
              </w:rPr>
            </w:pPr>
            <w:r>
              <w:rPr>
                <w:sz w:val="18"/>
                <w:szCs w:val="18"/>
              </w:rPr>
              <w:t>环卫部门定期清理</w:t>
            </w:r>
          </w:p>
        </w:tc>
        <w:tc>
          <w:tcPr>
            <w:tcW w:w="2070" w:type="dxa"/>
            <w:vMerge w:val="continue"/>
            <w:vAlign w:val="center"/>
          </w:tcPr>
          <w:p>
            <w:pPr>
              <w:pStyle w:val="58"/>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1" w:type="dxa"/>
            <w:gridSpan w:val="4"/>
            <w:vAlign w:val="center"/>
          </w:tcPr>
          <w:p>
            <w:pPr>
              <w:pStyle w:val="58"/>
              <w:rPr>
                <w:color w:val="auto"/>
                <w:sz w:val="18"/>
                <w:szCs w:val="18"/>
              </w:rPr>
            </w:pPr>
            <w:r>
              <w:rPr>
                <w:color w:val="auto"/>
                <w:sz w:val="18"/>
                <w:szCs w:val="18"/>
              </w:rPr>
              <w:t>厂区防渗</w:t>
            </w:r>
          </w:p>
        </w:tc>
        <w:tc>
          <w:tcPr>
            <w:tcW w:w="8751" w:type="dxa"/>
            <w:gridSpan w:val="4"/>
            <w:vAlign w:val="center"/>
          </w:tcPr>
          <w:p>
            <w:pPr>
              <w:pStyle w:val="32"/>
              <w:spacing w:before="0" w:after="0"/>
              <w:rPr>
                <w:sz w:val="18"/>
                <w:szCs w:val="18"/>
              </w:rPr>
            </w:pPr>
            <w:r>
              <w:rPr>
                <w:rFonts w:hint="eastAsia"/>
                <w:sz w:val="18"/>
                <w:szCs w:val="18"/>
              </w:rPr>
              <w:t>采取分区防渗措施。</w:t>
            </w:r>
          </w:p>
          <w:p>
            <w:pPr>
              <w:pStyle w:val="32"/>
              <w:spacing w:before="0" w:after="0"/>
              <w:rPr>
                <w:sz w:val="18"/>
                <w:szCs w:val="18"/>
              </w:rPr>
            </w:pPr>
            <w:r>
              <w:rPr>
                <w:rFonts w:hint="eastAsia"/>
                <w:sz w:val="18"/>
                <w:szCs w:val="18"/>
              </w:rPr>
              <w:t>重点防渗区：氯气站、污水处理站、循环水池、初期雨水收集池、隔油池、化粪池、危废暂存间、铝灰分离车间等区域；对于重点防渗区，按照《环境影响评价技术导则-地下水环境》（HJ610-2016）中重点防渗区的防渗要求进行防渗设计，防渗层的防渗性能应等效于厚度≥6m，渗透系数≤1.0×10</w:t>
            </w:r>
            <w:r>
              <w:rPr>
                <w:rFonts w:hint="eastAsia"/>
                <w:sz w:val="18"/>
                <w:szCs w:val="18"/>
                <w:vertAlign w:val="superscript"/>
              </w:rPr>
              <w:t>-7</w:t>
            </w:r>
            <w:r>
              <w:rPr>
                <w:rFonts w:hint="eastAsia"/>
                <w:sz w:val="18"/>
                <w:szCs w:val="18"/>
              </w:rPr>
              <w:t>cm/s的黏土层的防渗性能。</w:t>
            </w:r>
          </w:p>
          <w:p>
            <w:pPr>
              <w:pStyle w:val="33"/>
              <w:rPr>
                <w:sz w:val="18"/>
                <w:szCs w:val="18"/>
              </w:rPr>
            </w:pPr>
            <w:r>
              <w:rPr>
                <w:rFonts w:hint="eastAsia"/>
                <w:sz w:val="18"/>
                <w:szCs w:val="18"/>
              </w:rPr>
              <w:t>一般防渗区：原材料库、加工车间、货场、成品仓库、综合站房、一般固废暂存间等区域；对于一般防渗区，按照《环境影响评价技术导则-地下水环境》（HJ610-2016）中一般防渗区的防渗要求进行防渗设计，防渗层的防渗性能应等效于厚度≥1.5m，渗透系数≤1.0×10</w:t>
            </w:r>
            <w:r>
              <w:rPr>
                <w:rFonts w:hint="eastAsia"/>
                <w:sz w:val="18"/>
                <w:szCs w:val="18"/>
                <w:vertAlign w:val="superscript"/>
              </w:rPr>
              <w:t>-7</w:t>
            </w:r>
            <w:r>
              <w:rPr>
                <w:rFonts w:hint="eastAsia"/>
                <w:sz w:val="18"/>
                <w:szCs w:val="18"/>
              </w:rPr>
              <w:t>cm/s的黏土层的防渗性能。</w:t>
            </w:r>
          </w:p>
          <w:p>
            <w:pPr>
              <w:pStyle w:val="33"/>
              <w:rPr>
                <w:sz w:val="18"/>
                <w:szCs w:val="18"/>
              </w:rPr>
            </w:pPr>
            <w:r>
              <w:rPr>
                <w:rFonts w:hint="eastAsia"/>
                <w:sz w:val="18"/>
                <w:szCs w:val="18"/>
              </w:rPr>
              <w:t>简单防渗区：办公室、配电室、厂区道路等区域。对于简单防渗区，不采取专门针对地下水污染的防治措施，地面可采用混凝土硬化。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1" w:type="dxa"/>
            <w:gridSpan w:val="4"/>
            <w:vAlign w:val="center"/>
          </w:tcPr>
          <w:p>
            <w:pPr>
              <w:pStyle w:val="58"/>
              <w:rPr>
                <w:color w:val="auto"/>
                <w:sz w:val="18"/>
                <w:szCs w:val="18"/>
              </w:rPr>
            </w:pPr>
            <w:r>
              <w:rPr>
                <w:color w:val="auto"/>
                <w:sz w:val="18"/>
                <w:szCs w:val="18"/>
              </w:rPr>
              <w:t>风险管理</w:t>
            </w:r>
          </w:p>
        </w:tc>
        <w:tc>
          <w:tcPr>
            <w:tcW w:w="8751" w:type="dxa"/>
            <w:gridSpan w:val="4"/>
            <w:vAlign w:val="center"/>
          </w:tcPr>
          <w:p>
            <w:pPr>
              <w:pStyle w:val="33"/>
              <w:rPr>
                <w:sz w:val="18"/>
                <w:szCs w:val="18"/>
              </w:rPr>
            </w:pPr>
            <w:r>
              <w:rPr>
                <w:sz w:val="18"/>
                <w:szCs w:val="18"/>
              </w:rPr>
              <w:t>设置有毒有害气体报警装置</w:t>
            </w:r>
            <w:r>
              <w:rPr>
                <w:rFonts w:hint="eastAsia"/>
                <w:sz w:val="18"/>
                <w:szCs w:val="18"/>
              </w:rPr>
              <w:t>、在氯气站内设置氯气吸收装置1套及50m</w:t>
            </w:r>
            <w:r>
              <w:rPr>
                <w:rFonts w:hint="eastAsia"/>
                <w:sz w:val="18"/>
                <w:szCs w:val="18"/>
                <w:vertAlign w:val="superscript"/>
              </w:rPr>
              <w:t>3</w:t>
            </w:r>
            <w:r>
              <w:rPr>
                <w:rFonts w:hint="eastAsia"/>
                <w:sz w:val="18"/>
                <w:szCs w:val="18"/>
              </w:rPr>
              <w:t>事故水池（碱液池）一座、在液氯贮罐区周边设0.5m的事故围堰。在厂区设置一座容积为80m³的事故水池。企业编制专门的应急预案报告，并到环保局进行备案。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91" w:type="dxa"/>
            <w:gridSpan w:val="4"/>
            <w:vAlign w:val="center"/>
          </w:tcPr>
          <w:p>
            <w:pPr>
              <w:pStyle w:val="58"/>
              <w:rPr>
                <w:color w:val="auto"/>
                <w:sz w:val="18"/>
                <w:szCs w:val="18"/>
              </w:rPr>
            </w:pPr>
            <w:r>
              <w:rPr>
                <w:color w:val="auto"/>
                <w:sz w:val="18"/>
                <w:szCs w:val="18"/>
              </w:rPr>
              <w:t>地下水跟踪监测</w:t>
            </w:r>
          </w:p>
        </w:tc>
        <w:tc>
          <w:tcPr>
            <w:tcW w:w="8751" w:type="dxa"/>
            <w:gridSpan w:val="4"/>
            <w:vAlign w:val="center"/>
          </w:tcPr>
          <w:p>
            <w:pPr>
              <w:pStyle w:val="32"/>
              <w:spacing w:before="0" w:after="0"/>
              <w:rPr>
                <w:sz w:val="18"/>
                <w:szCs w:val="18"/>
              </w:rPr>
            </w:pPr>
            <w:r>
              <w:rPr>
                <w:rFonts w:hint="eastAsia"/>
                <w:sz w:val="18"/>
                <w:szCs w:val="18"/>
              </w:rPr>
              <w:t>本项目将依托现有的水井作为本项目地下跟踪监控井，其中位于地下水侧方向的监测井为：GW5(碧云村民井)，地下水下游的监测井为：GW1(小听湖民井)、GW6(布标民井)、GW7(柏布榔民井)。</w:t>
            </w:r>
          </w:p>
          <w:p>
            <w:pPr>
              <w:pStyle w:val="33"/>
              <w:rPr>
                <w:sz w:val="18"/>
                <w:szCs w:val="18"/>
              </w:rPr>
            </w:pPr>
            <w:r>
              <w:rPr>
                <w:rFonts w:hint="eastAsia"/>
                <w:sz w:val="18"/>
                <w:szCs w:val="18"/>
              </w:rPr>
              <w:t>各跟踪监测井每年监测两次（丰、枯水期各1次），监测因子为：pH、总硬度、溶解性总固体、硫酸盐、氯化物、挥发性酚类、阴离子表面活性剂、耗氧量、氨氮、硫化物、亚硝酸盐、硝酸盐、氰化物、氟化物。</w:t>
            </w:r>
          </w:p>
          <w:p>
            <w:pPr>
              <w:pStyle w:val="58"/>
              <w:rPr>
                <w:color w:val="auto"/>
                <w:sz w:val="18"/>
                <w:szCs w:val="18"/>
              </w:rPr>
            </w:pPr>
          </w:p>
        </w:tc>
      </w:tr>
    </w:tbl>
    <w:p>
      <w:pPr>
        <w:pStyle w:val="7"/>
        <w:ind w:firstLine="480"/>
      </w:pPr>
    </w:p>
    <w:p>
      <w:pPr>
        <w:pStyle w:val="7"/>
        <w:ind w:firstLine="480"/>
      </w:pPr>
    </w:p>
    <w:p>
      <w:pPr>
        <w:pStyle w:val="7"/>
        <w:ind w:firstLine="480"/>
      </w:pPr>
    </w:p>
    <w:p>
      <w:pPr>
        <w:pStyle w:val="7"/>
        <w:ind w:firstLine="480"/>
        <w:sectPr>
          <w:pgSz w:w="16838" w:h="11906" w:orient="landscape"/>
          <w:pgMar w:top="1800" w:right="1440" w:bottom="1800" w:left="1440" w:header="851" w:footer="992" w:gutter="0"/>
          <w:cols w:space="425" w:num="1"/>
          <w:docGrid w:type="lines" w:linePitch="312" w:charSpace="0"/>
        </w:sectPr>
      </w:pPr>
    </w:p>
    <w:p>
      <w:pPr>
        <w:pStyle w:val="5"/>
      </w:pPr>
      <w:bookmarkStart w:id="190" w:name="_Toc1218"/>
      <w:bookmarkStart w:id="191" w:name="_Toc22589"/>
      <w:bookmarkStart w:id="192" w:name="_Toc3793"/>
      <w:r>
        <w:rPr>
          <w:rFonts w:hint="eastAsia"/>
        </w:rPr>
        <w:t>1</w:t>
      </w:r>
      <w:r>
        <w:rPr>
          <w:rFonts w:hint="eastAsia"/>
          <w:lang w:val="en-US" w:eastAsia="zh-CN"/>
        </w:rPr>
        <w:t>1</w:t>
      </w:r>
      <w:r>
        <w:rPr>
          <w:rFonts w:hint="eastAsia"/>
        </w:rPr>
        <w:t>.</w:t>
      </w:r>
      <w:r>
        <w:rPr>
          <w:rFonts w:hint="eastAsia"/>
          <w:lang w:val="en-US" w:eastAsia="zh-CN"/>
        </w:rPr>
        <w:t>10</w:t>
      </w:r>
      <w:r>
        <w:rPr>
          <w:rFonts w:hint="eastAsia"/>
        </w:rPr>
        <w:t>竣工验收</w:t>
      </w:r>
      <w:bookmarkEnd w:id="190"/>
      <w:bookmarkEnd w:id="191"/>
      <w:bookmarkEnd w:id="192"/>
    </w:p>
    <w:p>
      <w:pPr>
        <w:pStyle w:val="7"/>
        <w:ind w:firstLine="480"/>
        <w:sectPr>
          <w:pgSz w:w="11906" w:h="16838"/>
          <w:pgMar w:top="1440" w:right="1800" w:bottom="1440" w:left="1800" w:header="851" w:footer="992" w:gutter="0"/>
          <w:cols w:space="425" w:num="1"/>
          <w:docGrid w:type="lines" w:linePitch="312" w:charSpace="0"/>
        </w:sectPr>
      </w:pPr>
      <w:r>
        <w:rPr>
          <w:rFonts w:hint="eastAsia"/>
        </w:rPr>
        <w:t>本工程所有环保设施均应与项目同时设计、同时施工、同时投产，本项目分两阶段建设，分两期验收，其环境保护竣工验收内容见表1</w:t>
      </w:r>
      <w:r>
        <w:rPr>
          <w:rFonts w:hint="eastAsia"/>
          <w:lang w:val="en-US" w:eastAsia="zh-CN"/>
        </w:rPr>
        <w:t>1</w:t>
      </w:r>
      <w:r>
        <w:rPr>
          <w:rFonts w:hint="eastAsia"/>
        </w:rPr>
        <w:t>.</w:t>
      </w:r>
      <w:r>
        <w:rPr>
          <w:rFonts w:hint="eastAsia"/>
          <w:lang w:val="en-US" w:eastAsia="zh-CN"/>
        </w:rPr>
        <w:t>10</w:t>
      </w:r>
      <w:r>
        <w:rPr>
          <w:rFonts w:hint="eastAsia"/>
        </w:rPr>
        <w:t>-1、1</w:t>
      </w:r>
      <w:r>
        <w:rPr>
          <w:rFonts w:hint="eastAsia"/>
          <w:lang w:val="en-US" w:eastAsia="zh-CN"/>
        </w:rPr>
        <w:t>1</w:t>
      </w:r>
      <w:r>
        <w:rPr>
          <w:rFonts w:hint="eastAsia"/>
        </w:rPr>
        <w:t>.</w:t>
      </w:r>
      <w:r>
        <w:rPr>
          <w:rFonts w:hint="eastAsia"/>
          <w:lang w:val="en-US" w:eastAsia="zh-CN"/>
        </w:rPr>
        <w:t>10</w:t>
      </w:r>
      <w:r>
        <w:rPr>
          <w:rFonts w:hint="eastAsia"/>
        </w:rPr>
        <w:t>-2。</w:t>
      </w:r>
    </w:p>
    <w:p>
      <w:pPr>
        <w:pStyle w:val="31"/>
      </w:pPr>
      <w:r>
        <w:rPr>
          <w:rFonts w:hint="eastAsia"/>
        </w:rPr>
        <w:t>表</w:t>
      </w:r>
      <w:r>
        <w:rPr>
          <w:rFonts w:hint="eastAsia"/>
          <w:lang w:val="en-US" w:eastAsia="zh-CN"/>
        </w:rPr>
        <w:t>11.10-1</w:t>
      </w:r>
      <w:r>
        <w:rPr>
          <w:rFonts w:hint="eastAsia"/>
        </w:rPr>
        <w:t xml:space="preserve">  拟建项目（一期工程）环境保护“三同时”验收一览表</w:t>
      </w:r>
    </w:p>
    <w:tbl>
      <w:tblPr>
        <w:tblStyle w:val="27"/>
        <w:tblW w:w="50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9"/>
        <w:gridCol w:w="853"/>
        <w:gridCol w:w="1870"/>
        <w:gridCol w:w="1023"/>
        <w:gridCol w:w="3596"/>
        <w:gridCol w:w="5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top w:val="single" w:color="auto" w:sz="4" w:space="0"/>
              <w:left w:val="single" w:color="auto" w:sz="4" w:space="0"/>
              <w:bottom w:val="single" w:color="auto" w:sz="4" w:space="0"/>
              <w:right w:val="single" w:color="auto" w:sz="4" w:space="0"/>
            </w:tcBorders>
            <w:vAlign w:val="center"/>
          </w:tcPr>
          <w:p>
            <w:pPr>
              <w:pStyle w:val="33"/>
            </w:pPr>
            <w:r>
              <w:t>分类</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序号</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处理对象</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处理措施</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验收考核标准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right w:val="single" w:color="auto" w:sz="4" w:space="0"/>
            </w:tcBorders>
            <w:vAlign w:val="center"/>
          </w:tcPr>
          <w:p>
            <w:pPr>
              <w:pStyle w:val="33"/>
            </w:pPr>
            <w:r>
              <w:t>废气</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熔保炉废气</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套，石灰粉+布袋除尘器+3</w:t>
            </w:r>
            <w:r>
              <w:rPr>
                <w:rFonts w:hint="eastAsia"/>
              </w:rPr>
              <w:t>5</w:t>
            </w:r>
            <w:r>
              <w:t>m烟囱排放</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《工业炉窑大气污染物排放标准》（GB9078-1996）二级标准、《大气污染物综合排放标准》（GB16297-1996）二级标准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2</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铝灰分离机废气</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套，集气罩+布袋除尘器+20m烟囱排放</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《大气污染物综合排放标准》（GB16297-1996）二级标准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3</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均质炉废气</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3</w:t>
            </w:r>
            <w:r>
              <w:t>套，25m烟囱排放</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《工业炉窑大气污染物排放标准》（GB9078-1996）二级标准、《大气污染物综合排放标准》（GB16297-1996）二级标准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bottom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4</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油烟废气</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油烟净化装置1套，排口位于该幢建筑物楼顶</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《饮食业油烟排放标准》（GB18483-2001）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right w:val="single" w:color="auto" w:sz="4" w:space="0"/>
            </w:tcBorders>
            <w:vAlign w:val="center"/>
          </w:tcPr>
          <w:p>
            <w:pPr>
              <w:pStyle w:val="33"/>
            </w:pPr>
            <w:r>
              <w:t>废水</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初期雨水收集池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1座，容积640m</w:t>
            </w:r>
            <w:r>
              <w:rPr>
                <w:vertAlign w:val="superscript"/>
              </w:rPr>
              <w:t>3</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收集初期雨水，回用不外排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循环水池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2座，</w:t>
            </w:r>
            <w:r>
              <w:rPr>
                <w:rFonts w:hint="eastAsia"/>
              </w:rPr>
              <w:t>每座</w:t>
            </w:r>
            <w:r>
              <w:t>容积</w:t>
            </w:r>
            <w:r>
              <w:rPr>
                <w:rFonts w:hint="eastAsia"/>
              </w:rPr>
              <w:t>3920</w:t>
            </w:r>
            <w:r>
              <w:t>m</w:t>
            </w:r>
            <w:r>
              <w:rPr>
                <w:vertAlign w:val="superscript"/>
              </w:rPr>
              <w:t>3</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收集冷却循环系统排水，进入市政管网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化粪池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2座，</w:t>
            </w:r>
            <w:r>
              <w:rPr>
                <w:rFonts w:hint="eastAsia"/>
              </w:rPr>
              <w:t>每座</w:t>
            </w:r>
            <w:r>
              <w:t>容积</w:t>
            </w:r>
            <w:r>
              <w:rPr>
                <w:rFonts w:hint="eastAsia"/>
              </w:rPr>
              <w:t>15</w:t>
            </w:r>
            <w:r>
              <w:t>m</w:t>
            </w:r>
            <w:r>
              <w:rPr>
                <w:vertAlign w:val="superscript"/>
              </w:rPr>
              <w:t>3</w:t>
            </w:r>
          </w:p>
        </w:tc>
        <w:tc>
          <w:tcPr>
            <w:tcW w:w="1962" w:type="pct"/>
            <w:vMerge w:val="restart"/>
            <w:tcBorders>
              <w:top w:val="single" w:color="auto" w:sz="4" w:space="0"/>
              <w:left w:val="single" w:color="auto" w:sz="4" w:space="0"/>
              <w:right w:val="single" w:color="auto" w:sz="4" w:space="0"/>
            </w:tcBorders>
            <w:vAlign w:val="center"/>
          </w:tcPr>
          <w:p>
            <w:pPr>
              <w:pStyle w:val="33"/>
            </w:pPr>
            <w:r>
              <w:rPr>
                <w:rFonts w:hint="eastAsia"/>
              </w:rPr>
              <w:t>食堂污水经隔油池处理汇同生活污水排入化粪池处理后进入</w:t>
            </w:r>
            <w:r>
              <w:t>市政管网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4</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隔油池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座，容积</w:t>
            </w:r>
            <w:r>
              <w:rPr>
                <w:rFonts w:hint="eastAsia"/>
              </w:rPr>
              <w:t>3</w:t>
            </w:r>
            <w:r>
              <w:t>m</w:t>
            </w:r>
            <w:r>
              <w:rPr>
                <w:vertAlign w:val="superscript"/>
              </w:rPr>
              <w:t>3</w:t>
            </w:r>
          </w:p>
        </w:tc>
        <w:tc>
          <w:tcPr>
            <w:tcW w:w="1962" w:type="pct"/>
            <w:vMerge w:val="continue"/>
            <w:tcBorders>
              <w:left w:val="single" w:color="auto" w:sz="4" w:space="0"/>
              <w:bottom w:val="single" w:color="auto" w:sz="4" w:space="0"/>
              <w:right w:val="single" w:color="auto" w:sz="4" w:space="0"/>
            </w:tcBorders>
            <w:vAlign w:val="center"/>
          </w:tcPr>
          <w:p>
            <w:pPr>
              <w:pStyle w:val="33"/>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5</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事故水池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1座，容积</w:t>
            </w:r>
            <w:r>
              <w:rPr>
                <w:rFonts w:hint="eastAsia"/>
              </w:rPr>
              <w:t>80</w:t>
            </w:r>
            <w:r>
              <w:t>m</w:t>
            </w:r>
            <w:r>
              <w:rPr>
                <w:vertAlign w:val="superscript"/>
              </w:rPr>
              <w:t>3</w:t>
            </w:r>
            <w:r>
              <w:t>；</w:t>
            </w:r>
            <w:r>
              <w:rPr>
                <w:rFonts w:hint="eastAsia" w:ascii="宋体" w:hAnsi="宋体"/>
                <w:szCs w:val="21"/>
              </w:rPr>
              <w:t>一二期工程共用</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收集事故废水、消防事故水，确保各类废水不外排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6</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污水处理站</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座</w:t>
            </w:r>
            <w:r>
              <w:rPr>
                <w:rFonts w:hint="eastAsia"/>
              </w:rPr>
              <w:t>，处理规模1m</w:t>
            </w:r>
            <w:r>
              <w:rPr>
                <w:rFonts w:hint="eastAsia"/>
                <w:vertAlign w:val="superscript"/>
              </w:rPr>
              <w:t>3</w:t>
            </w:r>
            <w:r>
              <w:rPr>
                <w:rFonts w:hint="eastAsia"/>
              </w:rPr>
              <w:t>/h</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处理板锭</w:t>
            </w:r>
            <w:r>
              <w:t>冷却循环系统排水，</w:t>
            </w:r>
            <w:r>
              <w:rPr>
                <w:rFonts w:hint="eastAsia"/>
              </w:rPr>
              <w:t>达《污水综合排放标准》（GB8978-1996）中的一级排放标准后</w:t>
            </w:r>
            <w:r>
              <w:t>进入市政管网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vMerge w:val="restart"/>
            <w:tcBorders>
              <w:top w:val="single" w:color="auto" w:sz="4" w:space="0"/>
              <w:left w:val="single" w:color="auto" w:sz="4" w:space="0"/>
              <w:right w:val="single" w:color="auto" w:sz="4" w:space="0"/>
            </w:tcBorders>
            <w:vAlign w:val="center"/>
          </w:tcPr>
          <w:p>
            <w:pPr>
              <w:pStyle w:val="33"/>
            </w:pPr>
            <w:r>
              <w:rPr>
                <w:rFonts w:hint="eastAsia"/>
              </w:rPr>
              <w:t>7</w:t>
            </w:r>
          </w:p>
        </w:tc>
        <w:tc>
          <w:tcPr>
            <w:tcW w:w="649" w:type="pct"/>
            <w:vMerge w:val="restart"/>
            <w:tcBorders>
              <w:top w:val="single" w:color="auto" w:sz="4" w:space="0"/>
              <w:left w:val="single" w:color="auto" w:sz="4" w:space="0"/>
              <w:right w:val="single" w:color="auto" w:sz="2" w:space="0"/>
            </w:tcBorders>
            <w:vAlign w:val="center"/>
          </w:tcPr>
          <w:p>
            <w:pPr>
              <w:pStyle w:val="33"/>
            </w:pPr>
            <w:r>
              <w:t>地下水污染防治</w:t>
            </w:r>
          </w:p>
        </w:tc>
        <w:tc>
          <w:tcPr>
            <w:tcW w:w="355" w:type="pct"/>
            <w:vMerge w:val="restart"/>
            <w:tcBorders>
              <w:top w:val="single" w:color="auto" w:sz="4" w:space="0"/>
              <w:left w:val="single" w:color="auto" w:sz="2" w:space="0"/>
              <w:right w:val="single" w:color="auto" w:sz="4" w:space="0"/>
            </w:tcBorders>
            <w:vAlign w:val="center"/>
          </w:tcPr>
          <w:p>
            <w:pPr>
              <w:pStyle w:val="33"/>
            </w:pPr>
            <w:r>
              <w:rPr>
                <w:rFonts w:hint="eastAsia"/>
              </w:rPr>
              <w:t>采取分区防渗</w:t>
            </w:r>
          </w:p>
        </w:tc>
        <w:tc>
          <w:tcPr>
            <w:tcW w:w="1248" w:type="pct"/>
            <w:tcBorders>
              <w:top w:val="single" w:color="auto" w:sz="4" w:space="0"/>
              <w:left w:val="single" w:color="auto" w:sz="2" w:space="0"/>
              <w:bottom w:val="single" w:color="auto" w:sz="4" w:space="0"/>
              <w:right w:val="single" w:color="auto" w:sz="4" w:space="0"/>
            </w:tcBorders>
            <w:vAlign w:val="center"/>
          </w:tcPr>
          <w:p>
            <w:pPr>
              <w:pStyle w:val="32"/>
              <w:spacing w:before="0" w:after="0"/>
            </w:pPr>
            <w:r>
              <w:rPr>
                <w:rFonts w:hint="eastAsia"/>
                <w:szCs w:val="21"/>
              </w:rPr>
              <w:t>重点防渗区：氯气站、污水处理站、循环水池、初期雨水收集池、化粪池、隔油池、危废暂存间、铝灰分离车间等区域</w:t>
            </w:r>
          </w:p>
        </w:tc>
        <w:tc>
          <w:tcPr>
            <w:tcW w:w="196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szCs w:val="21"/>
              </w:rPr>
              <w:t>按照《环境影响评价技术导则-地下水环境》（HJ610-2016）中重点防渗区的防渗要求进行防渗设计，防渗层的防渗性能应等效于厚度≥6m，渗透系数≤1.0×10</w:t>
            </w:r>
            <w:r>
              <w:rPr>
                <w:rFonts w:hint="eastAsia"/>
                <w:szCs w:val="21"/>
                <w:vertAlign w:val="superscript"/>
              </w:rPr>
              <w:t>-7</w:t>
            </w:r>
            <w:r>
              <w:rPr>
                <w:rFonts w:hint="eastAsia"/>
                <w:szCs w:val="21"/>
              </w:rPr>
              <w:t>cm/s的黏土层的防渗性能。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vMerge w:val="continue"/>
            <w:tcBorders>
              <w:left w:val="single" w:color="auto" w:sz="4" w:space="0"/>
              <w:right w:val="single" w:color="auto" w:sz="4" w:space="0"/>
            </w:tcBorders>
            <w:vAlign w:val="center"/>
          </w:tcPr>
          <w:p>
            <w:pPr>
              <w:pStyle w:val="33"/>
            </w:pPr>
          </w:p>
        </w:tc>
        <w:tc>
          <w:tcPr>
            <w:tcW w:w="649" w:type="pct"/>
            <w:vMerge w:val="continue"/>
            <w:tcBorders>
              <w:left w:val="single" w:color="auto" w:sz="4" w:space="0"/>
              <w:right w:val="single" w:color="auto" w:sz="2" w:space="0"/>
            </w:tcBorders>
            <w:vAlign w:val="center"/>
          </w:tcPr>
          <w:p>
            <w:pPr>
              <w:pStyle w:val="33"/>
            </w:pPr>
          </w:p>
        </w:tc>
        <w:tc>
          <w:tcPr>
            <w:tcW w:w="355" w:type="pct"/>
            <w:vMerge w:val="continue"/>
            <w:tcBorders>
              <w:left w:val="single" w:color="auto" w:sz="2" w:space="0"/>
              <w:right w:val="single" w:color="auto" w:sz="4" w:space="0"/>
            </w:tcBorders>
            <w:vAlign w:val="center"/>
          </w:tcPr>
          <w:p>
            <w:pPr>
              <w:pStyle w:val="33"/>
            </w:pPr>
          </w:p>
        </w:tc>
        <w:tc>
          <w:tcPr>
            <w:tcW w:w="1248" w:type="pct"/>
            <w:tcBorders>
              <w:top w:val="single" w:color="auto" w:sz="4" w:space="0"/>
              <w:left w:val="single" w:color="auto" w:sz="2" w:space="0"/>
              <w:bottom w:val="single" w:color="auto" w:sz="4" w:space="0"/>
              <w:right w:val="single" w:color="auto" w:sz="4" w:space="0"/>
            </w:tcBorders>
            <w:vAlign w:val="center"/>
          </w:tcPr>
          <w:p>
            <w:pPr>
              <w:pStyle w:val="33"/>
              <w:rPr>
                <w:szCs w:val="21"/>
              </w:rPr>
            </w:pPr>
            <w:r>
              <w:rPr>
                <w:rFonts w:hint="eastAsia"/>
                <w:szCs w:val="21"/>
              </w:rPr>
              <w:t>一般防渗区：原材料库、加工车间、货场、成品仓库、综合站房、一般固废暂存间等区域</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rPr>
                <w:szCs w:val="21"/>
              </w:rPr>
            </w:pPr>
            <w:r>
              <w:rPr>
                <w:rFonts w:hint="eastAsia"/>
                <w:szCs w:val="21"/>
              </w:rPr>
              <w:t>按照《环境影响评价技术导则-地下水环境》（HJ610-2016）中一般防渗区的防渗要求进行防渗设计，防渗层的防渗性能应等效于厚度≥1.5m，渗透系数≤1.0×10</w:t>
            </w:r>
            <w:r>
              <w:rPr>
                <w:rFonts w:hint="eastAsia"/>
                <w:szCs w:val="21"/>
                <w:vertAlign w:val="superscript"/>
              </w:rPr>
              <w:t>-7</w:t>
            </w:r>
            <w:r>
              <w:rPr>
                <w:rFonts w:hint="eastAsia"/>
                <w:szCs w:val="21"/>
              </w:rPr>
              <w:t>cm/s的黏土层的防渗性能。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rPr>
                <w:szCs w:val="21"/>
              </w:rPr>
            </w:pPr>
          </w:p>
        </w:tc>
        <w:tc>
          <w:tcPr>
            <w:tcW w:w="296" w:type="pct"/>
            <w:vMerge w:val="continue"/>
            <w:tcBorders>
              <w:left w:val="single" w:color="auto" w:sz="4" w:space="0"/>
              <w:right w:val="single" w:color="auto" w:sz="4" w:space="0"/>
            </w:tcBorders>
            <w:vAlign w:val="center"/>
          </w:tcPr>
          <w:p>
            <w:pPr>
              <w:pStyle w:val="33"/>
              <w:rPr>
                <w:szCs w:val="21"/>
              </w:rPr>
            </w:pPr>
          </w:p>
        </w:tc>
        <w:tc>
          <w:tcPr>
            <w:tcW w:w="649" w:type="pct"/>
            <w:vMerge w:val="continue"/>
            <w:tcBorders>
              <w:left w:val="single" w:color="auto" w:sz="4" w:space="0"/>
              <w:right w:val="single" w:color="auto" w:sz="2" w:space="0"/>
            </w:tcBorders>
            <w:vAlign w:val="center"/>
          </w:tcPr>
          <w:p>
            <w:pPr>
              <w:pStyle w:val="33"/>
              <w:rPr>
                <w:szCs w:val="21"/>
              </w:rPr>
            </w:pPr>
          </w:p>
        </w:tc>
        <w:tc>
          <w:tcPr>
            <w:tcW w:w="355" w:type="pct"/>
            <w:vMerge w:val="continue"/>
            <w:tcBorders>
              <w:left w:val="single" w:color="auto" w:sz="2" w:space="0"/>
              <w:bottom w:val="single" w:color="auto" w:sz="4" w:space="0"/>
              <w:right w:val="single" w:color="auto" w:sz="4" w:space="0"/>
            </w:tcBorders>
            <w:vAlign w:val="center"/>
          </w:tcPr>
          <w:p>
            <w:pPr>
              <w:pStyle w:val="33"/>
              <w:rPr>
                <w:szCs w:val="21"/>
              </w:rPr>
            </w:pPr>
          </w:p>
        </w:tc>
        <w:tc>
          <w:tcPr>
            <w:tcW w:w="1248" w:type="pct"/>
            <w:tcBorders>
              <w:top w:val="single" w:color="auto" w:sz="4" w:space="0"/>
              <w:left w:val="single" w:color="auto" w:sz="2" w:space="0"/>
              <w:bottom w:val="single" w:color="auto" w:sz="4" w:space="0"/>
              <w:right w:val="single" w:color="auto" w:sz="4" w:space="0"/>
            </w:tcBorders>
            <w:vAlign w:val="center"/>
          </w:tcPr>
          <w:p>
            <w:pPr>
              <w:pStyle w:val="33"/>
              <w:rPr>
                <w:szCs w:val="21"/>
              </w:rPr>
            </w:pPr>
            <w:r>
              <w:rPr>
                <w:rFonts w:hint="eastAsia"/>
                <w:szCs w:val="21"/>
              </w:rPr>
              <w:t>办公室、配电室、厂区道路等区域</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rPr>
                <w:szCs w:val="21"/>
              </w:rPr>
            </w:pPr>
            <w:r>
              <w:rPr>
                <w:rFonts w:hint="eastAsia"/>
                <w:szCs w:val="21"/>
              </w:rPr>
              <w:t>地面用混凝土硬化。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bottom w:val="single" w:color="auto" w:sz="4" w:space="0"/>
              <w:right w:val="single" w:color="auto" w:sz="4" w:space="0"/>
            </w:tcBorders>
            <w:vAlign w:val="center"/>
          </w:tcPr>
          <w:p>
            <w:pPr>
              <w:pStyle w:val="33"/>
            </w:pPr>
          </w:p>
        </w:tc>
        <w:tc>
          <w:tcPr>
            <w:tcW w:w="296" w:type="pct"/>
            <w:vMerge w:val="continue"/>
            <w:tcBorders>
              <w:left w:val="single" w:color="auto" w:sz="4" w:space="0"/>
              <w:bottom w:val="single" w:color="auto" w:sz="4" w:space="0"/>
              <w:right w:val="single" w:color="auto" w:sz="4" w:space="0"/>
            </w:tcBorders>
            <w:vAlign w:val="center"/>
          </w:tcPr>
          <w:p>
            <w:pPr>
              <w:pStyle w:val="33"/>
            </w:pPr>
          </w:p>
        </w:tc>
        <w:tc>
          <w:tcPr>
            <w:tcW w:w="649" w:type="pct"/>
            <w:vMerge w:val="continue"/>
            <w:tcBorders>
              <w:left w:val="single" w:color="auto" w:sz="4" w:space="0"/>
              <w:bottom w:val="single" w:color="auto" w:sz="4" w:space="0"/>
              <w:right w:val="single" w:color="auto" w:sz="2" w:space="0"/>
            </w:tcBorders>
            <w:vAlign w:val="center"/>
          </w:tcPr>
          <w:p>
            <w:pPr>
              <w:pStyle w:val="33"/>
            </w:pPr>
          </w:p>
        </w:tc>
        <w:tc>
          <w:tcPr>
            <w:tcW w:w="355" w:type="pct"/>
            <w:tcBorders>
              <w:top w:val="single" w:color="auto" w:sz="4" w:space="0"/>
              <w:left w:val="single" w:color="auto" w:sz="2" w:space="0"/>
              <w:bottom w:val="single" w:color="auto" w:sz="4" w:space="0"/>
              <w:right w:val="single" w:color="auto" w:sz="4" w:space="0"/>
            </w:tcBorders>
            <w:vAlign w:val="center"/>
          </w:tcPr>
          <w:p>
            <w:pPr>
              <w:pStyle w:val="33"/>
            </w:pPr>
            <w:r>
              <w:rPr>
                <w:rFonts w:hint="eastAsia"/>
              </w:rPr>
              <w:t>跟踪检测</w:t>
            </w:r>
          </w:p>
        </w:tc>
        <w:tc>
          <w:tcPr>
            <w:tcW w:w="1248" w:type="pct"/>
            <w:tcBorders>
              <w:top w:val="single" w:color="auto" w:sz="4" w:space="0"/>
              <w:left w:val="single" w:color="auto" w:sz="2" w:space="0"/>
              <w:bottom w:val="single" w:color="auto" w:sz="4" w:space="0"/>
              <w:right w:val="single" w:color="auto" w:sz="4" w:space="0"/>
            </w:tcBorders>
            <w:vAlign w:val="center"/>
          </w:tcPr>
          <w:p>
            <w:pPr>
              <w:pStyle w:val="33"/>
            </w:pPr>
            <w:r>
              <w:rPr>
                <w:rFonts w:hint="eastAsia"/>
              </w:rPr>
              <w:t>地下水跟踪监测井4口</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位于地下水侧方向的监测井为：GW5(碧云村民井)，地下水下游的监测井为：GW1(小听湖民井)、GW6(布标民井)、GW7(柏布榔民井)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right w:val="single" w:color="auto" w:sz="4" w:space="0"/>
            </w:tcBorders>
            <w:vAlign w:val="center"/>
          </w:tcPr>
          <w:p>
            <w:pPr>
              <w:pStyle w:val="33"/>
            </w:pPr>
            <w:r>
              <w:t>固体废物</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一般固废堆放区</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1间，面积100m</w:t>
            </w:r>
            <w:r>
              <w:rPr>
                <w:rFonts w:hint="eastAsia"/>
                <w:vertAlign w:val="superscript"/>
              </w:rPr>
              <w:t>2</w:t>
            </w:r>
            <w:r>
              <w:rPr>
                <w:rFonts w:hint="eastAsia"/>
              </w:rPr>
              <w:t>，</w:t>
            </w:r>
            <w:r>
              <w:rPr>
                <w:rFonts w:hint="eastAsia" w:ascii="宋体" w:hAnsi="宋体"/>
                <w:szCs w:val="21"/>
              </w:rPr>
              <w:t>一二期工程共用</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须达到环评提出的防渗标准及要求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2</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危废暂存间</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1间，面积200m</w:t>
            </w:r>
            <w:r>
              <w:rPr>
                <w:rFonts w:hint="eastAsia"/>
                <w:vertAlign w:val="superscript"/>
              </w:rPr>
              <w:t>2</w:t>
            </w:r>
            <w:r>
              <w:rPr>
                <w:rFonts w:hint="eastAsia"/>
              </w:rPr>
              <w:t>，</w:t>
            </w:r>
            <w:r>
              <w:rPr>
                <w:rFonts w:hint="eastAsia" w:ascii="宋体" w:hAnsi="宋体"/>
                <w:szCs w:val="21"/>
              </w:rPr>
              <w:t>一二期工程共用</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须达到环评提出的防风、防雨淋、防渗标准及要求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bottom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szCs w:val="21"/>
              </w:rPr>
              <w:t>生活垃圾收集桶</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15个</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生活垃圾分类收集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top w:val="single" w:color="auto" w:sz="4" w:space="0"/>
              <w:left w:val="single" w:color="auto" w:sz="4" w:space="0"/>
              <w:bottom w:val="single" w:color="auto" w:sz="4" w:space="0"/>
              <w:right w:val="single" w:color="auto" w:sz="4" w:space="0"/>
            </w:tcBorders>
            <w:vAlign w:val="center"/>
          </w:tcPr>
          <w:p>
            <w:pPr>
              <w:pStyle w:val="33"/>
            </w:pPr>
            <w:r>
              <w:t>噪声</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噪声</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设备减振，厂房吸声、隔声</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达到GB12348－2008《工业企业厂界环境噪声排放标准》3类标准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right w:val="single" w:color="auto" w:sz="4" w:space="0"/>
            </w:tcBorders>
            <w:vAlign w:val="center"/>
          </w:tcPr>
          <w:p>
            <w:pPr>
              <w:pStyle w:val="33"/>
            </w:pPr>
            <w:r>
              <w:rPr>
                <w:rFonts w:hint="eastAsia"/>
              </w:rPr>
              <w:t>环境风险</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w:t>
            </w:r>
          </w:p>
        </w:tc>
        <w:tc>
          <w:tcPr>
            <w:tcW w:w="2252" w:type="pct"/>
            <w:gridSpan w:val="3"/>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氯气站内设置氯气吸收装置1套</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w:t>
            </w:r>
          </w:p>
        </w:tc>
        <w:tc>
          <w:tcPr>
            <w:tcW w:w="2252" w:type="pct"/>
            <w:gridSpan w:val="3"/>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氯气站内设置50m</w:t>
            </w:r>
            <w:r>
              <w:rPr>
                <w:rFonts w:hint="eastAsia"/>
                <w:vertAlign w:val="superscript"/>
              </w:rPr>
              <w:t>3</w:t>
            </w:r>
            <w:r>
              <w:rPr>
                <w:rFonts w:hint="eastAsia"/>
              </w:rPr>
              <w:t>事故水池（碱液池）1座</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bottom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2252" w:type="pct"/>
            <w:gridSpan w:val="3"/>
            <w:tcBorders>
              <w:top w:val="single" w:color="auto" w:sz="4" w:space="0"/>
              <w:left w:val="single" w:color="auto" w:sz="4" w:space="0"/>
              <w:bottom w:val="single" w:color="auto" w:sz="4" w:space="0"/>
              <w:right w:val="single" w:color="auto" w:sz="4" w:space="0"/>
            </w:tcBorders>
            <w:vAlign w:val="center"/>
          </w:tcPr>
          <w:p>
            <w:pPr>
              <w:pStyle w:val="33"/>
            </w:pPr>
            <w:r>
              <w:rPr>
                <w:rFonts w:hint="eastAsia"/>
              </w:rPr>
              <w:t>液氯贮罐区周边设0.5m的事故围堰</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left w:val="single" w:color="auto" w:sz="4" w:space="0"/>
              <w:bottom w:val="single" w:color="auto" w:sz="4" w:space="0"/>
              <w:right w:val="single" w:color="auto" w:sz="4" w:space="0"/>
            </w:tcBorders>
            <w:vAlign w:val="center"/>
          </w:tcPr>
          <w:p>
            <w:pPr>
              <w:pStyle w:val="33"/>
            </w:pPr>
            <w:r>
              <w:rPr>
                <w:rFonts w:hint="eastAsia"/>
              </w:rPr>
              <w:t>绿化</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w:t>
            </w:r>
          </w:p>
        </w:tc>
        <w:tc>
          <w:tcPr>
            <w:tcW w:w="2252" w:type="pct"/>
            <w:gridSpan w:val="3"/>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绿化面积4800m</w:t>
            </w:r>
            <w:r>
              <w:rPr>
                <w:rFonts w:hint="eastAsia"/>
                <w:vertAlign w:val="superscript"/>
              </w:rPr>
              <w:t>2</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top w:val="single" w:color="auto" w:sz="4" w:space="0"/>
              <w:left w:val="single" w:color="auto" w:sz="4" w:space="0"/>
              <w:bottom w:val="single" w:color="auto" w:sz="4" w:space="0"/>
              <w:right w:val="single" w:color="auto" w:sz="4" w:space="0"/>
            </w:tcBorders>
            <w:vAlign w:val="center"/>
          </w:tcPr>
          <w:p>
            <w:pPr>
              <w:pStyle w:val="33"/>
            </w:pPr>
            <w:r>
              <w:t>环境管理</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4214" w:type="pct"/>
            <w:gridSpan w:val="4"/>
            <w:tcBorders>
              <w:top w:val="single" w:color="auto" w:sz="4" w:space="0"/>
              <w:left w:val="single" w:color="auto" w:sz="4" w:space="0"/>
              <w:bottom w:val="single" w:color="auto" w:sz="4" w:space="0"/>
              <w:right w:val="single" w:color="auto" w:sz="4" w:space="0"/>
            </w:tcBorders>
            <w:vAlign w:val="center"/>
          </w:tcPr>
          <w:p>
            <w:pPr>
              <w:pStyle w:val="33"/>
            </w:pPr>
            <w:r>
              <w:t>编制设备维护保养检修项目与备品备件计划；加强环保设施管理，确保污染防治设备完好率达100%，处理效果达到设计和排放标准要求；制定环境管理计划，及时对环保设备进行维护、修理、改造；按照GMP建立并运行环境管理体系，环境管理手册、程序文件及作业文件齐备。</w:t>
            </w:r>
          </w:p>
        </w:tc>
      </w:tr>
    </w:tbl>
    <w:p>
      <w:pPr>
        <w:pStyle w:val="7"/>
        <w:ind w:firstLine="480"/>
      </w:pPr>
    </w:p>
    <w:p>
      <w:pPr>
        <w:pStyle w:val="31"/>
      </w:pPr>
      <w:r>
        <w:rPr>
          <w:rFonts w:hint="eastAsia"/>
        </w:rPr>
        <w:t>表1</w:t>
      </w:r>
      <w:r>
        <w:rPr>
          <w:rFonts w:hint="eastAsia"/>
          <w:lang w:val="en-US" w:eastAsia="zh-CN"/>
        </w:rPr>
        <w:t>1.10</w:t>
      </w:r>
      <w:r>
        <w:rPr>
          <w:rFonts w:hint="eastAsia"/>
        </w:rPr>
        <w:t>-2  拟建项目（二期工程）环境保护“三同时”验收一览表</w:t>
      </w:r>
    </w:p>
    <w:tbl>
      <w:tblPr>
        <w:tblStyle w:val="27"/>
        <w:tblW w:w="50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9"/>
        <w:gridCol w:w="853"/>
        <w:gridCol w:w="1870"/>
        <w:gridCol w:w="1023"/>
        <w:gridCol w:w="3596"/>
        <w:gridCol w:w="5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top w:val="single" w:color="auto" w:sz="4" w:space="0"/>
              <w:left w:val="single" w:color="auto" w:sz="4" w:space="0"/>
              <w:bottom w:val="single" w:color="auto" w:sz="4" w:space="0"/>
              <w:right w:val="single" w:color="auto" w:sz="4" w:space="0"/>
            </w:tcBorders>
            <w:vAlign w:val="center"/>
          </w:tcPr>
          <w:p>
            <w:pPr>
              <w:pStyle w:val="33"/>
            </w:pPr>
            <w:r>
              <w:t>分类</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序号</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处理对象</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处理措施</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验收考核标准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bottom w:val="single" w:color="auto" w:sz="4" w:space="0"/>
              <w:right w:val="single" w:color="auto" w:sz="4" w:space="0"/>
            </w:tcBorders>
            <w:vAlign w:val="center"/>
          </w:tcPr>
          <w:p>
            <w:pPr>
              <w:pStyle w:val="33"/>
            </w:pPr>
            <w:r>
              <w:t>废气</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熔保炉废气</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套，布袋除尘器+30m烟囱排放</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《工业炉窑大气污染物排放标准》（GB9078-1996）二级标准、《大气污染物综合排放标准》（GB16297-1996）二级标准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top w:val="single" w:color="auto" w:sz="4" w:space="0"/>
              <w:left w:val="single" w:color="auto" w:sz="4" w:space="0"/>
              <w:bottom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2</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铝灰分离机废气</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套，集气罩+布袋除尘器+20m烟囱排放</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《大气污染物综合排放标准》（GB16297-1996）二级标准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right w:val="single" w:color="auto" w:sz="4" w:space="0"/>
            </w:tcBorders>
            <w:vAlign w:val="center"/>
          </w:tcPr>
          <w:p>
            <w:pPr>
              <w:pStyle w:val="33"/>
            </w:pPr>
            <w:r>
              <w:t>废水</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初期雨水收集池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1座，容积</w:t>
            </w:r>
            <w:r>
              <w:rPr>
                <w:rFonts w:hint="eastAsia"/>
              </w:rPr>
              <w:t>110</w:t>
            </w:r>
            <w:r>
              <w:t>m</w:t>
            </w:r>
            <w:r>
              <w:rPr>
                <w:vertAlign w:val="superscript"/>
              </w:rPr>
              <w:t>3</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收集初期雨水，回用不外排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2</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rPr>
              <w:t>铸轧板</w:t>
            </w:r>
            <w:r>
              <w:t>循环水池</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w:t>
            </w:r>
            <w:r>
              <w:t>座，容积</w:t>
            </w:r>
            <w:r>
              <w:rPr>
                <w:rFonts w:hint="eastAsia"/>
              </w:rPr>
              <w:t>572</w:t>
            </w:r>
            <w:r>
              <w:t>m</w:t>
            </w:r>
            <w:r>
              <w:rPr>
                <w:vertAlign w:val="superscript"/>
              </w:rPr>
              <w:t>3</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收集冷却循环系统排水，进入市政管网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vMerge w:val="restart"/>
            <w:tcBorders>
              <w:top w:val="single" w:color="auto" w:sz="4" w:space="0"/>
              <w:left w:val="single" w:color="auto" w:sz="4" w:space="0"/>
              <w:right w:val="single" w:color="auto" w:sz="4" w:space="0"/>
            </w:tcBorders>
            <w:vAlign w:val="center"/>
          </w:tcPr>
          <w:p>
            <w:pPr>
              <w:pStyle w:val="33"/>
            </w:pPr>
            <w:r>
              <w:rPr>
                <w:rFonts w:hint="eastAsia"/>
              </w:rPr>
              <w:t>5</w:t>
            </w:r>
          </w:p>
        </w:tc>
        <w:tc>
          <w:tcPr>
            <w:tcW w:w="649" w:type="pct"/>
            <w:vMerge w:val="restart"/>
            <w:tcBorders>
              <w:top w:val="single" w:color="auto" w:sz="4" w:space="0"/>
              <w:left w:val="single" w:color="auto" w:sz="4" w:space="0"/>
              <w:right w:val="single" w:color="auto" w:sz="2" w:space="0"/>
            </w:tcBorders>
            <w:vAlign w:val="center"/>
          </w:tcPr>
          <w:p>
            <w:pPr>
              <w:pStyle w:val="33"/>
            </w:pPr>
            <w:r>
              <w:t>地下水污染防治</w:t>
            </w:r>
          </w:p>
        </w:tc>
        <w:tc>
          <w:tcPr>
            <w:tcW w:w="355" w:type="pct"/>
            <w:vMerge w:val="restart"/>
            <w:tcBorders>
              <w:top w:val="single" w:color="auto" w:sz="4" w:space="0"/>
              <w:left w:val="single" w:color="auto" w:sz="2" w:space="0"/>
              <w:right w:val="single" w:color="auto" w:sz="4" w:space="0"/>
            </w:tcBorders>
            <w:vAlign w:val="center"/>
          </w:tcPr>
          <w:p>
            <w:pPr>
              <w:pStyle w:val="33"/>
            </w:pPr>
            <w:r>
              <w:rPr>
                <w:rFonts w:hint="eastAsia"/>
              </w:rPr>
              <w:t>采取分区防渗</w:t>
            </w:r>
          </w:p>
        </w:tc>
        <w:tc>
          <w:tcPr>
            <w:tcW w:w="1248" w:type="pct"/>
            <w:tcBorders>
              <w:top w:val="single" w:color="auto" w:sz="4" w:space="0"/>
              <w:left w:val="single" w:color="auto" w:sz="2" w:space="0"/>
              <w:bottom w:val="single" w:color="auto" w:sz="4" w:space="0"/>
              <w:right w:val="single" w:color="auto" w:sz="4" w:space="0"/>
            </w:tcBorders>
            <w:vAlign w:val="center"/>
          </w:tcPr>
          <w:p>
            <w:pPr>
              <w:pStyle w:val="32"/>
              <w:spacing w:before="0" w:after="0"/>
            </w:pPr>
            <w:r>
              <w:rPr>
                <w:rFonts w:hint="eastAsia"/>
                <w:szCs w:val="21"/>
              </w:rPr>
              <w:t>重点防渗区：循环水池、初期雨水收集池、铝灰分离车间等区域</w:t>
            </w:r>
          </w:p>
        </w:tc>
        <w:tc>
          <w:tcPr>
            <w:tcW w:w="1962" w:type="pct"/>
            <w:tcBorders>
              <w:top w:val="single" w:color="auto" w:sz="4" w:space="0"/>
              <w:left w:val="single" w:color="auto" w:sz="4" w:space="0"/>
              <w:bottom w:val="single" w:color="auto" w:sz="4" w:space="0"/>
              <w:right w:val="single" w:color="auto" w:sz="4" w:space="0"/>
            </w:tcBorders>
            <w:vAlign w:val="center"/>
          </w:tcPr>
          <w:p>
            <w:pPr>
              <w:pStyle w:val="32"/>
              <w:spacing w:before="0" w:after="0"/>
            </w:pPr>
            <w:r>
              <w:rPr>
                <w:rFonts w:hint="eastAsia"/>
                <w:szCs w:val="21"/>
              </w:rPr>
              <w:t>按照《环境影响评价技术导则-地下水环境》（HJ610-2016）中重点防渗区的防渗要求进行防渗设计，防渗层的防渗性能应等效于厚度≥6m，渗透系数≤1.0×10-7cm/s的黏土层的防渗性能。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vMerge w:val="continue"/>
            <w:tcBorders>
              <w:left w:val="single" w:color="auto" w:sz="4" w:space="0"/>
              <w:right w:val="single" w:color="auto" w:sz="4" w:space="0"/>
            </w:tcBorders>
            <w:vAlign w:val="center"/>
          </w:tcPr>
          <w:p>
            <w:pPr>
              <w:pStyle w:val="33"/>
            </w:pPr>
          </w:p>
        </w:tc>
        <w:tc>
          <w:tcPr>
            <w:tcW w:w="649" w:type="pct"/>
            <w:vMerge w:val="continue"/>
            <w:tcBorders>
              <w:left w:val="single" w:color="auto" w:sz="4" w:space="0"/>
              <w:right w:val="single" w:color="auto" w:sz="2" w:space="0"/>
            </w:tcBorders>
            <w:vAlign w:val="center"/>
          </w:tcPr>
          <w:p>
            <w:pPr>
              <w:pStyle w:val="33"/>
            </w:pPr>
          </w:p>
        </w:tc>
        <w:tc>
          <w:tcPr>
            <w:tcW w:w="355" w:type="pct"/>
            <w:vMerge w:val="continue"/>
            <w:tcBorders>
              <w:left w:val="single" w:color="auto" w:sz="2" w:space="0"/>
              <w:right w:val="single" w:color="auto" w:sz="4" w:space="0"/>
            </w:tcBorders>
            <w:vAlign w:val="center"/>
          </w:tcPr>
          <w:p>
            <w:pPr>
              <w:pStyle w:val="33"/>
            </w:pPr>
          </w:p>
        </w:tc>
        <w:tc>
          <w:tcPr>
            <w:tcW w:w="1248" w:type="pct"/>
            <w:tcBorders>
              <w:top w:val="single" w:color="auto" w:sz="4" w:space="0"/>
              <w:left w:val="single" w:color="auto" w:sz="2" w:space="0"/>
              <w:bottom w:val="single" w:color="auto" w:sz="4" w:space="0"/>
              <w:right w:val="single" w:color="auto" w:sz="4" w:space="0"/>
            </w:tcBorders>
            <w:vAlign w:val="center"/>
          </w:tcPr>
          <w:p>
            <w:pPr>
              <w:pStyle w:val="33"/>
              <w:rPr>
                <w:szCs w:val="21"/>
              </w:rPr>
            </w:pPr>
            <w:r>
              <w:rPr>
                <w:rFonts w:hint="eastAsia"/>
                <w:szCs w:val="21"/>
              </w:rPr>
              <w:t>一般防渗区：加工车间、货场、成品仓库、综合站房、一般固废暂存间等区域</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rPr>
                <w:szCs w:val="21"/>
              </w:rPr>
            </w:pPr>
            <w:r>
              <w:rPr>
                <w:rFonts w:hint="eastAsia"/>
                <w:szCs w:val="21"/>
              </w:rPr>
              <w:t>按照《环境影响评价技术导则-地下水环境》（HJ610-2016）中一般防渗区的防渗要求进行防渗设计，防渗层的防渗性能应等效于厚度≥1.5m，渗透系数≤1.0×10-7cm/s的黏土层的防渗性能。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rPr>
                <w:szCs w:val="21"/>
              </w:rPr>
            </w:pPr>
          </w:p>
        </w:tc>
        <w:tc>
          <w:tcPr>
            <w:tcW w:w="296" w:type="pct"/>
            <w:vMerge w:val="continue"/>
            <w:tcBorders>
              <w:left w:val="single" w:color="auto" w:sz="4" w:space="0"/>
              <w:right w:val="single" w:color="auto" w:sz="4" w:space="0"/>
            </w:tcBorders>
            <w:vAlign w:val="center"/>
          </w:tcPr>
          <w:p>
            <w:pPr>
              <w:pStyle w:val="33"/>
              <w:rPr>
                <w:szCs w:val="21"/>
              </w:rPr>
            </w:pPr>
          </w:p>
        </w:tc>
        <w:tc>
          <w:tcPr>
            <w:tcW w:w="649" w:type="pct"/>
            <w:vMerge w:val="continue"/>
            <w:tcBorders>
              <w:left w:val="single" w:color="auto" w:sz="4" w:space="0"/>
              <w:right w:val="single" w:color="auto" w:sz="2" w:space="0"/>
            </w:tcBorders>
            <w:vAlign w:val="center"/>
          </w:tcPr>
          <w:p>
            <w:pPr>
              <w:pStyle w:val="33"/>
              <w:rPr>
                <w:szCs w:val="21"/>
              </w:rPr>
            </w:pPr>
          </w:p>
        </w:tc>
        <w:tc>
          <w:tcPr>
            <w:tcW w:w="355" w:type="pct"/>
            <w:vMerge w:val="continue"/>
            <w:tcBorders>
              <w:left w:val="single" w:color="auto" w:sz="2" w:space="0"/>
              <w:bottom w:val="single" w:color="auto" w:sz="4" w:space="0"/>
              <w:right w:val="single" w:color="auto" w:sz="4" w:space="0"/>
            </w:tcBorders>
            <w:vAlign w:val="center"/>
          </w:tcPr>
          <w:p>
            <w:pPr>
              <w:pStyle w:val="33"/>
              <w:rPr>
                <w:szCs w:val="21"/>
              </w:rPr>
            </w:pPr>
          </w:p>
        </w:tc>
        <w:tc>
          <w:tcPr>
            <w:tcW w:w="1248" w:type="pct"/>
            <w:tcBorders>
              <w:top w:val="single" w:color="auto" w:sz="4" w:space="0"/>
              <w:left w:val="single" w:color="auto" w:sz="2" w:space="0"/>
              <w:bottom w:val="single" w:color="auto" w:sz="4" w:space="0"/>
              <w:right w:val="single" w:color="auto" w:sz="4" w:space="0"/>
            </w:tcBorders>
            <w:vAlign w:val="center"/>
          </w:tcPr>
          <w:p>
            <w:pPr>
              <w:pStyle w:val="33"/>
              <w:rPr>
                <w:szCs w:val="21"/>
              </w:rPr>
            </w:pPr>
            <w:r>
              <w:rPr>
                <w:rFonts w:hint="eastAsia"/>
                <w:szCs w:val="21"/>
              </w:rPr>
              <w:t>办公室、配电室、厂区道路等区域</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rPr>
                <w:szCs w:val="21"/>
              </w:rPr>
            </w:pPr>
            <w:r>
              <w:rPr>
                <w:rFonts w:hint="eastAsia"/>
                <w:szCs w:val="21"/>
              </w:rPr>
              <w:t>地面用混凝土硬化。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bottom w:val="single" w:color="auto" w:sz="4" w:space="0"/>
              <w:right w:val="single" w:color="auto" w:sz="4" w:space="0"/>
            </w:tcBorders>
            <w:vAlign w:val="center"/>
          </w:tcPr>
          <w:p>
            <w:pPr>
              <w:pStyle w:val="33"/>
            </w:pPr>
          </w:p>
        </w:tc>
        <w:tc>
          <w:tcPr>
            <w:tcW w:w="296" w:type="pct"/>
            <w:vMerge w:val="continue"/>
            <w:tcBorders>
              <w:left w:val="single" w:color="auto" w:sz="4" w:space="0"/>
              <w:bottom w:val="single" w:color="auto" w:sz="4" w:space="0"/>
              <w:right w:val="single" w:color="auto" w:sz="4" w:space="0"/>
            </w:tcBorders>
            <w:vAlign w:val="center"/>
          </w:tcPr>
          <w:p>
            <w:pPr>
              <w:pStyle w:val="33"/>
            </w:pPr>
          </w:p>
        </w:tc>
        <w:tc>
          <w:tcPr>
            <w:tcW w:w="649" w:type="pct"/>
            <w:vMerge w:val="continue"/>
            <w:tcBorders>
              <w:left w:val="single" w:color="auto" w:sz="4" w:space="0"/>
              <w:bottom w:val="single" w:color="auto" w:sz="4" w:space="0"/>
              <w:right w:val="single" w:color="auto" w:sz="2" w:space="0"/>
            </w:tcBorders>
            <w:vAlign w:val="center"/>
          </w:tcPr>
          <w:p>
            <w:pPr>
              <w:pStyle w:val="33"/>
            </w:pPr>
          </w:p>
        </w:tc>
        <w:tc>
          <w:tcPr>
            <w:tcW w:w="355" w:type="pct"/>
            <w:tcBorders>
              <w:top w:val="single" w:color="auto" w:sz="4" w:space="0"/>
              <w:left w:val="single" w:color="auto" w:sz="2" w:space="0"/>
              <w:bottom w:val="single" w:color="auto" w:sz="4" w:space="0"/>
              <w:right w:val="single" w:color="auto" w:sz="4" w:space="0"/>
            </w:tcBorders>
            <w:vAlign w:val="center"/>
          </w:tcPr>
          <w:p>
            <w:pPr>
              <w:pStyle w:val="33"/>
            </w:pPr>
            <w:r>
              <w:rPr>
                <w:rFonts w:hint="eastAsia"/>
              </w:rPr>
              <w:t>跟踪检测</w:t>
            </w:r>
          </w:p>
        </w:tc>
        <w:tc>
          <w:tcPr>
            <w:tcW w:w="1248" w:type="pct"/>
            <w:tcBorders>
              <w:top w:val="single" w:color="auto" w:sz="4" w:space="0"/>
              <w:left w:val="single" w:color="auto" w:sz="2" w:space="0"/>
              <w:bottom w:val="single" w:color="auto" w:sz="4" w:space="0"/>
              <w:right w:val="single" w:color="auto" w:sz="4" w:space="0"/>
            </w:tcBorders>
            <w:vAlign w:val="center"/>
          </w:tcPr>
          <w:p>
            <w:pPr>
              <w:pStyle w:val="33"/>
            </w:pPr>
            <w:r>
              <w:rPr>
                <w:rFonts w:hint="eastAsia"/>
              </w:rPr>
              <w:t>地下水跟踪监测井4口</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szCs w:val="21"/>
              </w:rPr>
              <w:t>位于地下水侧方向的监测井为：GW5(碧云村民井)，地下水下游的监测井为：GW1(小听湖民井)、GW6(布标民井)、GW7(柏布榔民井)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restart"/>
            <w:tcBorders>
              <w:top w:val="single" w:color="auto" w:sz="4" w:space="0"/>
              <w:left w:val="single" w:color="auto" w:sz="4" w:space="0"/>
              <w:right w:val="single" w:color="auto" w:sz="4" w:space="0"/>
            </w:tcBorders>
            <w:vAlign w:val="center"/>
          </w:tcPr>
          <w:p>
            <w:pPr>
              <w:pStyle w:val="33"/>
            </w:pPr>
            <w:r>
              <w:t>固体废物</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一般固废堆放区</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1间，面积100m</w:t>
            </w:r>
            <w:r>
              <w:rPr>
                <w:rFonts w:hint="eastAsia"/>
                <w:vertAlign w:val="superscript"/>
              </w:rPr>
              <w:t>2</w:t>
            </w:r>
            <w:r>
              <w:rPr>
                <w:rFonts w:hint="eastAsia"/>
              </w:rPr>
              <w:t>，</w:t>
            </w:r>
            <w:r>
              <w:rPr>
                <w:rFonts w:hint="eastAsia" w:ascii="宋体" w:hAnsi="宋体"/>
                <w:szCs w:val="21"/>
              </w:rPr>
              <w:t>一二期工程共用</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须达到环评提出的防渗标准及要求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2</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危废暂存间</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1间，面积200m</w:t>
            </w:r>
            <w:r>
              <w:rPr>
                <w:rFonts w:hint="eastAsia"/>
                <w:vertAlign w:val="superscript"/>
              </w:rPr>
              <w:t>2</w:t>
            </w:r>
            <w:r>
              <w:rPr>
                <w:rFonts w:hint="eastAsia"/>
              </w:rPr>
              <w:t>，</w:t>
            </w:r>
            <w:r>
              <w:rPr>
                <w:rFonts w:hint="eastAsia" w:ascii="宋体" w:hAnsi="宋体"/>
                <w:szCs w:val="21"/>
              </w:rPr>
              <w:t>一二期工程共用</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须达到环评提出的防风、防雨淋、防渗标准及要求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vMerge w:val="continue"/>
            <w:tcBorders>
              <w:left w:val="single" w:color="auto" w:sz="4" w:space="0"/>
              <w:bottom w:val="single" w:color="auto" w:sz="4" w:space="0"/>
              <w:right w:val="single" w:color="auto" w:sz="4" w:space="0"/>
            </w:tcBorders>
            <w:vAlign w:val="center"/>
          </w:tcPr>
          <w:p>
            <w:pPr>
              <w:pStyle w:val="33"/>
            </w:pP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3</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rPr>
                <w:rFonts w:hint="eastAsia"/>
                <w:szCs w:val="21"/>
              </w:rPr>
              <w:t>生活垃圾收集桶</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rPr>
                <w:rFonts w:hint="eastAsia"/>
              </w:rPr>
              <w:t>15个</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生活垃圾分类收集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top w:val="single" w:color="auto" w:sz="4" w:space="0"/>
              <w:left w:val="single" w:color="auto" w:sz="4" w:space="0"/>
              <w:bottom w:val="single" w:color="auto" w:sz="4" w:space="0"/>
              <w:right w:val="single" w:color="auto" w:sz="4" w:space="0"/>
            </w:tcBorders>
            <w:vAlign w:val="center"/>
          </w:tcPr>
          <w:p>
            <w:pPr>
              <w:pStyle w:val="33"/>
            </w:pPr>
            <w:r>
              <w:t>噪声</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649" w:type="pct"/>
            <w:tcBorders>
              <w:top w:val="single" w:color="auto" w:sz="4" w:space="0"/>
              <w:left w:val="single" w:color="auto" w:sz="4" w:space="0"/>
              <w:bottom w:val="single" w:color="auto" w:sz="4" w:space="0"/>
              <w:right w:val="single" w:color="auto" w:sz="2" w:space="0"/>
            </w:tcBorders>
            <w:vAlign w:val="center"/>
          </w:tcPr>
          <w:p>
            <w:pPr>
              <w:pStyle w:val="33"/>
            </w:pPr>
            <w:r>
              <w:t>噪声</w:t>
            </w:r>
          </w:p>
        </w:tc>
        <w:tc>
          <w:tcPr>
            <w:tcW w:w="1603" w:type="pct"/>
            <w:gridSpan w:val="2"/>
            <w:tcBorders>
              <w:top w:val="single" w:color="auto" w:sz="4" w:space="0"/>
              <w:left w:val="single" w:color="auto" w:sz="2" w:space="0"/>
              <w:bottom w:val="single" w:color="auto" w:sz="4" w:space="0"/>
              <w:right w:val="single" w:color="auto" w:sz="4" w:space="0"/>
            </w:tcBorders>
            <w:vAlign w:val="center"/>
          </w:tcPr>
          <w:p>
            <w:pPr>
              <w:pStyle w:val="33"/>
            </w:pPr>
            <w:r>
              <w:t>设备减振，厂房吸声、隔声</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t>达到GB12348－2008《工业企业厂界环境噪声排放标准》3类标准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left w:val="single" w:color="auto" w:sz="4" w:space="0"/>
              <w:bottom w:val="single" w:color="auto" w:sz="4" w:space="0"/>
              <w:right w:val="single" w:color="auto" w:sz="4" w:space="0"/>
            </w:tcBorders>
            <w:vAlign w:val="center"/>
          </w:tcPr>
          <w:p>
            <w:pPr>
              <w:pStyle w:val="33"/>
            </w:pPr>
            <w:r>
              <w:rPr>
                <w:rFonts w:hint="eastAsia"/>
              </w:rPr>
              <w:t>绿化</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1</w:t>
            </w:r>
          </w:p>
        </w:tc>
        <w:tc>
          <w:tcPr>
            <w:tcW w:w="2252" w:type="pct"/>
            <w:gridSpan w:val="3"/>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绿化面积900m</w:t>
            </w:r>
            <w:r>
              <w:rPr>
                <w:rFonts w:hint="eastAsia"/>
                <w:vertAlign w:val="superscript"/>
              </w:rPr>
              <w:t>2</w:t>
            </w:r>
          </w:p>
        </w:tc>
        <w:tc>
          <w:tcPr>
            <w:tcW w:w="1962"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pct"/>
            <w:tcBorders>
              <w:top w:val="single" w:color="auto" w:sz="4" w:space="0"/>
              <w:left w:val="single" w:color="auto" w:sz="4" w:space="0"/>
              <w:bottom w:val="single" w:color="auto" w:sz="4" w:space="0"/>
              <w:right w:val="single" w:color="auto" w:sz="4" w:space="0"/>
            </w:tcBorders>
            <w:vAlign w:val="center"/>
          </w:tcPr>
          <w:p>
            <w:pPr>
              <w:pStyle w:val="33"/>
            </w:pPr>
            <w:r>
              <w:t>环境管理</w:t>
            </w:r>
          </w:p>
        </w:tc>
        <w:tc>
          <w:tcPr>
            <w:tcW w:w="296" w:type="pct"/>
            <w:tcBorders>
              <w:top w:val="single" w:color="auto" w:sz="4" w:space="0"/>
              <w:left w:val="single" w:color="auto" w:sz="4" w:space="0"/>
              <w:bottom w:val="single" w:color="auto" w:sz="4" w:space="0"/>
              <w:right w:val="single" w:color="auto" w:sz="4" w:space="0"/>
            </w:tcBorders>
            <w:vAlign w:val="center"/>
          </w:tcPr>
          <w:p>
            <w:pPr>
              <w:pStyle w:val="33"/>
            </w:pPr>
            <w:r>
              <w:t>1</w:t>
            </w:r>
          </w:p>
        </w:tc>
        <w:tc>
          <w:tcPr>
            <w:tcW w:w="4214" w:type="pct"/>
            <w:gridSpan w:val="4"/>
            <w:tcBorders>
              <w:top w:val="single" w:color="auto" w:sz="4" w:space="0"/>
              <w:left w:val="single" w:color="auto" w:sz="4" w:space="0"/>
              <w:bottom w:val="single" w:color="auto" w:sz="4" w:space="0"/>
              <w:right w:val="single" w:color="auto" w:sz="4" w:space="0"/>
            </w:tcBorders>
            <w:vAlign w:val="center"/>
          </w:tcPr>
          <w:p>
            <w:pPr>
              <w:pStyle w:val="33"/>
            </w:pPr>
            <w:r>
              <w:t>编制设备维护保养检修项目与备品备件计划；加强环保设施管理，确保污染防治设备完好率达100%，处理效果达到设计和排放标准要求；制定环境管理计划，及时对环保设备进行维护、修理、改造；按照GMP建立并运行环境管理体系，环境管理手册、程序文件及作业文件齐备。</w:t>
            </w:r>
          </w:p>
        </w:tc>
      </w:tr>
    </w:tbl>
    <w:p>
      <w:pPr>
        <w:pStyle w:val="7"/>
        <w:ind w:firstLine="480"/>
        <w:sectPr>
          <w:pgSz w:w="16838" w:h="11906" w:orient="landscape"/>
          <w:pgMar w:top="1800" w:right="1440" w:bottom="1800" w:left="1440" w:header="851" w:footer="992" w:gutter="0"/>
          <w:cols w:space="425" w:num="1"/>
          <w:docGrid w:type="lines" w:linePitch="312" w:charSpace="0"/>
        </w:sectPr>
      </w:pPr>
    </w:p>
    <w:p>
      <w:pPr>
        <w:pStyle w:val="4"/>
      </w:pPr>
      <w:bookmarkStart w:id="193" w:name="_Toc16104"/>
      <w:r>
        <w:rPr>
          <w:rFonts w:hint="eastAsia"/>
        </w:rPr>
        <w:t>1</w:t>
      </w:r>
      <w:r>
        <w:rPr>
          <w:rFonts w:hint="eastAsia"/>
          <w:lang w:val="en-US" w:eastAsia="zh-CN"/>
        </w:rPr>
        <w:t>2</w:t>
      </w:r>
      <w:r>
        <w:rPr>
          <w:rFonts w:hint="eastAsia"/>
        </w:rPr>
        <w:t xml:space="preserve"> 环境影响评价结论</w:t>
      </w:r>
      <w:bookmarkEnd w:id="193"/>
    </w:p>
    <w:p>
      <w:pPr>
        <w:pStyle w:val="5"/>
      </w:pPr>
      <w:bookmarkStart w:id="194" w:name="_Toc12050"/>
      <w:r>
        <w:rPr>
          <w:rFonts w:hint="eastAsia"/>
        </w:rPr>
        <w:t>1</w:t>
      </w:r>
      <w:r>
        <w:rPr>
          <w:rFonts w:hint="eastAsia"/>
          <w:lang w:val="en-US" w:eastAsia="zh-CN"/>
        </w:rPr>
        <w:t>2</w:t>
      </w:r>
      <w:r>
        <w:rPr>
          <w:rFonts w:hint="eastAsia"/>
        </w:rPr>
        <w:t>.1项目基本情况</w:t>
      </w:r>
      <w:bookmarkEnd w:id="194"/>
    </w:p>
    <w:p>
      <w:pPr>
        <w:pStyle w:val="7"/>
        <w:ind w:firstLine="480"/>
      </w:pPr>
      <w:r>
        <w:rPr>
          <w:rFonts w:hint="eastAsia"/>
        </w:rPr>
        <w:t>“年产38万吨新能源汽车轻量化铝合金材料项目”位于</w:t>
      </w:r>
      <w:r>
        <w:t>砚山工业园</w:t>
      </w:r>
      <w:r>
        <w:rPr>
          <w:rFonts w:hint="eastAsia"/>
        </w:rPr>
        <w:t>布标片区，东邻云南宏泰新型材料有限公司（魏桥电解铝厂），北侧紧邻“云南创新合金有限公司年产120万吨高端铝合金棒材项目”地块，项目占地面积123845m</w:t>
      </w:r>
      <w:r>
        <w:rPr>
          <w:rFonts w:hint="eastAsia"/>
          <w:vertAlign w:val="superscript"/>
        </w:rPr>
        <w:t>2</w:t>
      </w:r>
      <w:r>
        <w:rPr>
          <w:rFonts w:hint="eastAsia"/>
        </w:rPr>
        <w:t>。</w:t>
      </w:r>
    </w:p>
    <w:p>
      <w:pPr>
        <w:pStyle w:val="7"/>
        <w:ind w:firstLine="480"/>
      </w:pPr>
      <w:r>
        <w:rPr>
          <w:rFonts w:hint="eastAsia"/>
        </w:rPr>
        <w:t>项目分二期建设，其中一期工程新建一期生产车间、综合楼、宿舍楼、氯气站、循环水池及其他公辅设施；购置安装熔保炉、铸造机、均质炉、除尘器等主要设备；一期工程达到年产高端铝合金圆铸锭16万吨、铝合金板锭16万吨规模。二期工程新建二期生产车间、循环水池及其他公辅设施。购置安装熔保炉、保温炉、铸轧机、除尘器等主要设备；二期工程达到年产高档铝合金铸轧板6万吨规模。项目总投资118065.06万元；其中一期总投资91358.06万元，二期总投资26707万元。项目环保投资545.5万元，占总投资0.46%。</w:t>
      </w:r>
    </w:p>
    <w:p>
      <w:pPr>
        <w:pStyle w:val="5"/>
      </w:pPr>
      <w:bookmarkStart w:id="195" w:name="_Toc19511"/>
      <w:r>
        <w:rPr>
          <w:rFonts w:hint="eastAsia"/>
        </w:rPr>
        <w:t>1</w:t>
      </w:r>
      <w:r>
        <w:rPr>
          <w:rFonts w:hint="eastAsia"/>
          <w:lang w:val="en-US" w:eastAsia="zh-CN"/>
        </w:rPr>
        <w:t>2</w:t>
      </w:r>
      <w:r>
        <w:rPr>
          <w:rFonts w:hint="eastAsia"/>
        </w:rPr>
        <w:t>.2产业政策符合性</w:t>
      </w:r>
      <w:bookmarkEnd w:id="195"/>
    </w:p>
    <w:p>
      <w:pPr>
        <w:pStyle w:val="7"/>
        <w:ind w:firstLine="480"/>
      </w:pPr>
      <w:r>
        <w:rPr>
          <w:rFonts w:hint="eastAsia"/>
        </w:rPr>
        <w:t>本项目不属于《产业结构调整指导目录(2019年本)》中“鼓励类”、“淘汰类”及“限制类”项目，属于允许类项目，因此本项目建设符合国家产业政策。项目于2021年12月20日取得云南省固定资产投资项目备案证（见附件），项目代码：2112-532622-04-01-519393。本项目为高端铝合金型材生产项目，采用了国内先进生产工艺并采取了有针对性的污染物治理措施，同时项目的建设提高了电解铝下游行业铝精深加工率，增加了吨铝附加值，符合《国务院关于印发打赢蓝天保卫战三年行动计划的通知》（国发〔2018〕22号）。本项目的建设符合云南省砚山县工业园区的发展规划和产业定位，选址合理。</w:t>
      </w:r>
    </w:p>
    <w:p>
      <w:pPr>
        <w:pStyle w:val="5"/>
      </w:pPr>
      <w:bookmarkStart w:id="196" w:name="_Toc7951"/>
      <w:r>
        <w:rPr>
          <w:rFonts w:hint="eastAsia"/>
        </w:rPr>
        <w:t>1</w:t>
      </w:r>
      <w:r>
        <w:rPr>
          <w:rFonts w:hint="eastAsia"/>
          <w:lang w:val="en-US" w:eastAsia="zh-CN"/>
        </w:rPr>
        <w:t>2</w:t>
      </w:r>
      <w:r>
        <w:rPr>
          <w:rFonts w:hint="eastAsia"/>
        </w:rPr>
        <w:t>.3工业园区规划</w:t>
      </w:r>
      <w:bookmarkEnd w:id="196"/>
    </w:p>
    <w:p>
      <w:pPr>
        <w:pStyle w:val="7"/>
        <w:ind w:firstLine="480"/>
      </w:pPr>
      <w:r>
        <w:rPr>
          <w:rFonts w:hint="eastAsia"/>
        </w:rPr>
        <w:t>“砚山工业园区总体规划【修编】（2019-2035）”规划范围包括“一园三片”，一园：即砚山工业园区，三片区：布标片区、三星坝片区和二道箐片区，总规划用地面积为21.69平方公里，位于县城北侧和东侧（下风向），并在砚山工业园区布标片区范围内，项目区域土地已规划为工业用地，根据《砚山工业园区总体规划【修编】（2019-2035）》：园区重点发展水电铝材一体化产业、电子信息产业、特色食品制造产业，打造成为基础设施配套完善、资源循环利用率高、生态环境较好的新型工业园区。</w:t>
      </w:r>
    </w:p>
    <w:p>
      <w:pPr>
        <w:pStyle w:val="7"/>
        <w:ind w:firstLine="480"/>
      </w:pPr>
      <w:r>
        <w:rPr>
          <w:rFonts w:hint="eastAsia"/>
        </w:rPr>
        <w:t>本项目为铝合金型材生产项目，建设厂址位于砚山工业园区布标片区中“绿色铝创新产业园”规划范围内，其厂址布局及生产规模符合《砚山工业园区总体规划【修编】（2019-2035）》中水电铝材一体化产业的规划定位、符合园区规划。</w:t>
      </w:r>
    </w:p>
    <w:p>
      <w:pPr>
        <w:pStyle w:val="7"/>
        <w:ind w:firstLine="480"/>
      </w:pPr>
      <w:r>
        <w:rPr>
          <w:rFonts w:hint="eastAsia"/>
        </w:rPr>
        <w:t>《砚山工业园区总体规划【修编】（2019-2035）环境影响报告书》由云南省环境科学研究编制完成，2019年12月11日，云南省生态环境厅出具了《云南省生态环境厅关于砚山工业园区总体规划【修编】（2019-2035）环境影响报告书》审查意见的函（云环函【2020】7号）。</w:t>
      </w:r>
    </w:p>
    <w:p>
      <w:pPr>
        <w:pStyle w:val="5"/>
      </w:pPr>
      <w:bookmarkStart w:id="197" w:name="_Toc3617"/>
      <w:r>
        <w:rPr>
          <w:rFonts w:hint="eastAsia"/>
        </w:rPr>
        <w:t>1</w:t>
      </w:r>
      <w:r>
        <w:rPr>
          <w:rFonts w:hint="eastAsia"/>
          <w:lang w:val="en-US" w:eastAsia="zh-CN"/>
        </w:rPr>
        <w:t>2</w:t>
      </w:r>
      <w:r>
        <w:rPr>
          <w:rFonts w:hint="eastAsia"/>
        </w:rPr>
        <w:t>.</w:t>
      </w:r>
      <w:r>
        <w:rPr>
          <w:rFonts w:hint="eastAsia"/>
          <w:lang w:val="en-US" w:eastAsia="zh-CN"/>
        </w:rPr>
        <w:t>4</w:t>
      </w:r>
      <w:r>
        <w:rPr>
          <w:rFonts w:hint="eastAsia"/>
        </w:rPr>
        <w:t>环境质量现状</w:t>
      </w:r>
      <w:bookmarkEnd w:id="197"/>
    </w:p>
    <w:p>
      <w:pPr>
        <w:pStyle w:val="7"/>
        <w:ind w:firstLine="482"/>
        <w:rPr>
          <w:b/>
          <w:bCs/>
        </w:rPr>
      </w:pPr>
      <w:r>
        <w:rPr>
          <w:rFonts w:hint="eastAsia"/>
          <w:b/>
          <w:bCs/>
        </w:rPr>
        <w:t>1、环境空气质量现状</w:t>
      </w:r>
    </w:p>
    <w:p>
      <w:pPr>
        <w:pStyle w:val="7"/>
        <w:ind w:firstLine="480"/>
      </w:pPr>
      <w:r>
        <w:rPr>
          <w:rFonts w:hint="eastAsia"/>
        </w:rPr>
        <w:t>根据20</w:t>
      </w:r>
      <w:r>
        <w:rPr>
          <w:rFonts w:hint="eastAsia"/>
          <w:lang w:val="en-US" w:eastAsia="zh-CN"/>
        </w:rPr>
        <w:t>20</w:t>
      </w:r>
      <w:r>
        <w:rPr>
          <w:rFonts w:hint="eastAsia"/>
        </w:rPr>
        <w:t>年砚山县常规监测站点（砚山县民族中学）的监测数据，本项目评价区域涉及的行政区为达标区。</w:t>
      </w:r>
    </w:p>
    <w:p>
      <w:pPr>
        <w:pStyle w:val="7"/>
        <w:ind w:firstLine="480"/>
      </w:pPr>
      <w:r>
        <w:rPr>
          <w:rFonts w:hint="eastAsia"/>
        </w:rPr>
        <w:t>根据环评期间监测结果对项目区空气环境质量进行了一期监测，根据监测分析统计结果评价区内各监测点SO</w:t>
      </w:r>
      <w:r>
        <w:rPr>
          <w:rFonts w:hint="eastAsia"/>
          <w:vertAlign w:val="subscript"/>
        </w:rPr>
        <w:t>2</w:t>
      </w:r>
      <w:r>
        <w:rPr>
          <w:rFonts w:hint="eastAsia"/>
        </w:rPr>
        <w:t>、NO</w:t>
      </w:r>
      <w:r>
        <w:rPr>
          <w:rFonts w:hint="eastAsia"/>
          <w:vertAlign w:val="subscript"/>
        </w:rPr>
        <w:t>2</w:t>
      </w:r>
      <w:r>
        <w:rPr>
          <w:rFonts w:hint="eastAsia"/>
        </w:rPr>
        <w:t>及氟化物小时浓度监测结果均未出现超标。SO</w:t>
      </w:r>
      <w:r>
        <w:rPr>
          <w:rFonts w:hint="eastAsia"/>
          <w:vertAlign w:val="subscript"/>
        </w:rPr>
        <w:t>2</w:t>
      </w:r>
      <w:r>
        <w:rPr>
          <w:rFonts w:hint="eastAsia"/>
        </w:rPr>
        <w:t>小时浓度值在0.002～0.020mg/m</w:t>
      </w:r>
      <w:r>
        <w:rPr>
          <w:rFonts w:hint="eastAsia"/>
          <w:vertAlign w:val="superscript"/>
        </w:rPr>
        <w:t>3</w:t>
      </w:r>
      <w:r>
        <w:rPr>
          <w:rFonts w:hint="eastAsia"/>
        </w:rPr>
        <w:t>之间；NO</w:t>
      </w:r>
      <w:r>
        <w:rPr>
          <w:rFonts w:hint="eastAsia"/>
          <w:vertAlign w:val="subscript"/>
        </w:rPr>
        <w:t>2</w:t>
      </w:r>
      <w:r>
        <w:rPr>
          <w:rFonts w:hint="eastAsia"/>
        </w:rPr>
        <w:t>小时浓度值在0.016～0.043mg/m</w:t>
      </w:r>
      <w:r>
        <w:rPr>
          <w:rFonts w:hint="eastAsia"/>
          <w:vertAlign w:val="superscript"/>
        </w:rPr>
        <w:t>3</w:t>
      </w:r>
      <w:r>
        <w:rPr>
          <w:rFonts w:hint="eastAsia"/>
        </w:rPr>
        <w:t>之间，氟化物小时浓度值在0.5L～0.9mg/m</w:t>
      </w:r>
      <w:r>
        <w:rPr>
          <w:rFonts w:hint="eastAsia"/>
          <w:vertAlign w:val="superscript"/>
        </w:rPr>
        <w:t>3</w:t>
      </w:r>
      <w:r>
        <w:rPr>
          <w:rFonts w:hint="eastAsia"/>
        </w:rPr>
        <w:t>之间。</w:t>
      </w:r>
    </w:p>
    <w:p>
      <w:pPr>
        <w:pStyle w:val="7"/>
        <w:ind w:firstLine="480"/>
      </w:pPr>
      <w:r>
        <w:rPr>
          <w:rFonts w:hint="eastAsia"/>
        </w:rPr>
        <w:t>各监测点SO</w:t>
      </w:r>
      <w:r>
        <w:rPr>
          <w:rFonts w:hint="eastAsia"/>
          <w:vertAlign w:val="subscript"/>
        </w:rPr>
        <w:t>2</w:t>
      </w:r>
      <w:r>
        <w:rPr>
          <w:rFonts w:hint="eastAsia"/>
        </w:rPr>
        <w:t>、NO</w:t>
      </w:r>
      <w:r>
        <w:rPr>
          <w:rFonts w:hint="eastAsia"/>
          <w:vertAlign w:val="subscript"/>
        </w:rPr>
        <w:t>2</w:t>
      </w:r>
      <w:r>
        <w:rPr>
          <w:rFonts w:hint="eastAsia"/>
        </w:rPr>
        <w:t>、TSP、PM</w:t>
      </w:r>
      <w:r>
        <w:rPr>
          <w:rFonts w:hint="eastAsia"/>
          <w:vertAlign w:val="subscript"/>
        </w:rPr>
        <w:t>10</w:t>
      </w:r>
      <w:r>
        <w:rPr>
          <w:rFonts w:hint="eastAsia"/>
        </w:rPr>
        <w:t>、PM</w:t>
      </w:r>
      <w:r>
        <w:rPr>
          <w:rFonts w:hint="eastAsia"/>
          <w:vertAlign w:val="subscript"/>
        </w:rPr>
        <w:t>2.5</w:t>
      </w:r>
      <w:r>
        <w:rPr>
          <w:rFonts w:hint="eastAsia"/>
        </w:rPr>
        <w:t>、氟化物日均浓度监测结果均未出现超标。SO</w:t>
      </w:r>
      <w:r>
        <w:rPr>
          <w:rFonts w:hint="eastAsia"/>
          <w:vertAlign w:val="subscript"/>
        </w:rPr>
        <w:t>2</w:t>
      </w:r>
      <w:r>
        <w:rPr>
          <w:rFonts w:hint="eastAsia"/>
        </w:rPr>
        <w:t>日均浓度值在0.007～0.014mg/m</w:t>
      </w:r>
      <w:r>
        <w:rPr>
          <w:rFonts w:hint="eastAsia"/>
          <w:vertAlign w:val="superscript"/>
        </w:rPr>
        <w:t>3</w:t>
      </w:r>
      <w:r>
        <w:rPr>
          <w:rFonts w:hint="eastAsia"/>
        </w:rPr>
        <w:t>之间；NO</w:t>
      </w:r>
      <w:r>
        <w:rPr>
          <w:rFonts w:hint="eastAsia"/>
          <w:vertAlign w:val="subscript"/>
        </w:rPr>
        <w:t>2</w:t>
      </w:r>
      <w:r>
        <w:rPr>
          <w:rFonts w:hint="eastAsia"/>
        </w:rPr>
        <w:t>日均浓度值在0.023～0.033mg/m</w:t>
      </w:r>
      <w:r>
        <w:rPr>
          <w:rFonts w:hint="eastAsia"/>
          <w:vertAlign w:val="superscript"/>
        </w:rPr>
        <w:t>3</w:t>
      </w:r>
      <w:r>
        <w:rPr>
          <w:rFonts w:hint="eastAsia"/>
        </w:rPr>
        <w:t>之间；TSP日均浓度值在0.070～0.105mg/m</w:t>
      </w:r>
      <w:r>
        <w:rPr>
          <w:rFonts w:hint="eastAsia"/>
          <w:vertAlign w:val="superscript"/>
        </w:rPr>
        <w:t>3</w:t>
      </w:r>
      <w:r>
        <w:rPr>
          <w:rFonts w:hint="eastAsia"/>
        </w:rPr>
        <w:t>之间；PM</w:t>
      </w:r>
      <w:r>
        <w:rPr>
          <w:rFonts w:hint="eastAsia"/>
          <w:vertAlign w:val="subscript"/>
        </w:rPr>
        <w:t>10</w:t>
      </w:r>
      <w:r>
        <w:rPr>
          <w:rFonts w:hint="eastAsia"/>
        </w:rPr>
        <w:t>日均浓度值在0.030～0.034mg/m</w:t>
      </w:r>
      <w:r>
        <w:rPr>
          <w:rFonts w:hint="eastAsia"/>
          <w:vertAlign w:val="superscript"/>
        </w:rPr>
        <w:t>3</w:t>
      </w:r>
      <w:r>
        <w:rPr>
          <w:rFonts w:hint="eastAsia"/>
        </w:rPr>
        <w:t>之间；PM</w:t>
      </w:r>
      <w:r>
        <w:rPr>
          <w:rFonts w:hint="eastAsia"/>
          <w:vertAlign w:val="subscript"/>
        </w:rPr>
        <w:t>2.5</w:t>
      </w:r>
      <w:r>
        <w:rPr>
          <w:rFonts w:hint="eastAsia"/>
        </w:rPr>
        <w:t>日均浓度值在0.011～0.016mg/m</w:t>
      </w:r>
      <w:r>
        <w:rPr>
          <w:rFonts w:hint="eastAsia"/>
          <w:vertAlign w:val="superscript"/>
        </w:rPr>
        <w:t>3</w:t>
      </w:r>
      <w:r>
        <w:rPr>
          <w:rFonts w:hint="eastAsia"/>
        </w:rPr>
        <w:t>之间；氟化物日均浓度值为0.35～0.73μg/m</w:t>
      </w:r>
      <w:r>
        <w:rPr>
          <w:rFonts w:hint="eastAsia"/>
          <w:vertAlign w:val="superscript"/>
        </w:rPr>
        <w:t>3</w:t>
      </w:r>
      <w:r>
        <w:rPr>
          <w:rFonts w:hint="eastAsia"/>
        </w:rPr>
        <w:t>；各点氟化物挂片最大浓度值为0.558μg/（dm</w:t>
      </w:r>
      <w:r>
        <w:rPr>
          <w:rFonts w:hint="eastAsia"/>
          <w:vertAlign w:val="superscript"/>
        </w:rPr>
        <w:t>2</w:t>
      </w:r>
      <w:r>
        <w:rPr>
          <w:rFonts w:hint="eastAsia"/>
        </w:rPr>
        <w:t>·d）、未出现超标。</w:t>
      </w:r>
    </w:p>
    <w:p>
      <w:pPr>
        <w:pStyle w:val="7"/>
        <w:ind w:firstLine="480"/>
      </w:pPr>
      <w:r>
        <w:rPr>
          <w:rFonts w:hint="eastAsia"/>
        </w:rPr>
        <w:t>各监测点Cl</w:t>
      </w:r>
      <w:r>
        <w:rPr>
          <w:rFonts w:hint="eastAsia"/>
          <w:vertAlign w:val="subscript"/>
        </w:rPr>
        <w:t>2</w:t>
      </w:r>
      <w:r>
        <w:rPr>
          <w:rFonts w:hint="eastAsia"/>
        </w:rPr>
        <w:t>、HCl浓度监测结果均达标。</w:t>
      </w:r>
    </w:p>
    <w:p>
      <w:pPr>
        <w:pStyle w:val="7"/>
        <w:ind w:firstLine="482"/>
        <w:rPr>
          <w:b/>
          <w:bCs/>
        </w:rPr>
      </w:pPr>
      <w:r>
        <w:rPr>
          <w:rFonts w:hint="eastAsia"/>
          <w:b/>
          <w:bCs/>
        </w:rPr>
        <w:t>2、地表水环境质量现状</w:t>
      </w:r>
    </w:p>
    <w:p>
      <w:pPr>
        <w:pStyle w:val="7"/>
        <w:ind w:firstLine="480"/>
      </w:pPr>
      <w:r>
        <w:rPr>
          <w:rFonts w:hint="eastAsia"/>
        </w:rPr>
        <w:t>听湖水库的综合水质并不能达到其水环境功能II类，主要影响因子为总磷、总氮和高锰酸盐指数，从指标来看，属于生活污染源对其的影响。</w:t>
      </w:r>
    </w:p>
    <w:p>
      <w:pPr>
        <w:pStyle w:val="7"/>
        <w:ind w:firstLine="482"/>
        <w:rPr>
          <w:b/>
          <w:bCs/>
        </w:rPr>
      </w:pPr>
      <w:r>
        <w:rPr>
          <w:rFonts w:hint="eastAsia"/>
          <w:b/>
          <w:bCs/>
        </w:rPr>
        <w:t>3、地下水环境质量现状</w:t>
      </w:r>
    </w:p>
    <w:p>
      <w:pPr>
        <w:pStyle w:val="7"/>
        <w:ind w:firstLine="480"/>
      </w:pPr>
      <w:r>
        <w:rPr>
          <w:rFonts w:hint="eastAsia"/>
        </w:rPr>
        <w:t>根据环评期间监测结果本次项目区及周边8个地下水现状监测数据可以看出，项目周边地下水各监测因子均满足《地下水质量标准》（GB/T14848-2017）Ⅲ类标准。</w:t>
      </w:r>
    </w:p>
    <w:p>
      <w:pPr>
        <w:pStyle w:val="7"/>
        <w:ind w:firstLine="482"/>
        <w:rPr>
          <w:b/>
          <w:bCs/>
        </w:rPr>
      </w:pPr>
      <w:r>
        <w:rPr>
          <w:rFonts w:hint="eastAsia"/>
          <w:b/>
          <w:bCs/>
        </w:rPr>
        <w:t>4、声环境质量现状</w:t>
      </w:r>
    </w:p>
    <w:p>
      <w:pPr>
        <w:pStyle w:val="7"/>
        <w:ind w:firstLine="480"/>
      </w:pPr>
      <w:r>
        <w:rPr>
          <w:rFonts w:hint="eastAsia"/>
        </w:rPr>
        <w:t>根据环评期间监测结果工业园区声环境质量满足（GB3096-2008）《声环境质量标准》3类区标准要求，敏感点声环境质量满足（GB3096-2008）《声环境质量标准》2类区标准要求。</w:t>
      </w:r>
    </w:p>
    <w:p>
      <w:pPr>
        <w:pStyle w:val="7"/>
        <w:ind w:firstLine="482"/>
        <w:rPr>
          <w:b/>
          <w:bCs/>
        </w:rPr>
      </w:pPr>
      <w:r>
        <w:rPr>
          <w:rFonts w:hint="eastAsia"/>
          <w:b/>
          <w:bCs/>
        </w:rPr>
        <w:t>5、土壤环境质量现状</w:t>
      </w:r>
    </w:p>
    <w:p>
      <w:pPr>
        <w:pStyle w:val="7"/>
        <w:ind w:firstLine="480"/>
      </w:pPr>
      <w:r>
        <w:rPr>
          <w:rFonts w:hint="eastAsia"/>
        </w:rPr>
        <w:t>各监测点采样监测的各监测因子均分别满足《建土壤环境质量设用地土壤污染风险管控标准(试行)》(GB36600-2018)中第二类用地标准中筛选值要求、《土壤环境质量 农用地土壤污染风险管控标准（试行）》（GB15618-2018）中风险筛选值的要求。</w:t>
      </w:r>
    </w:p>
    <w:p>
      <w:pPr>
        <w:pStyle w:val="5"/>
      </w:pPr>
      <w:bookmarkStart w:id="198" w:name="_Toc5833"/>
      <w:r>
        <w:rPr>
          <w:rFonts w:hint="eastAsia"/>
        </w:rPr>
        <w:t>1</w:t>
      </w:r>
      <w:r>
        <w:rPr>
          <w:rFonts w:hint="eastAsia"/>
          <w:lang w:val="en-US" w:eastAsia="zh-CN"/>
        </w:rPr>
        <w:t>2</w:t>
      </w:r>
      <w:r>
        <w:rPr>
          <w:rFonts w:hint="eastAsia"/>
        </w:rPr>
        <w:t>.</w:t>
      </w:r>
      <w:r>
        <w:rPr>
          <w:rFonts w:hint="eastAsia"/>
          <w:lang w:val="en-US" w:eastAsia="zh-CN"/>
        </w:rPr>
        <w:t>5</w:t>
      </w:r>
      <w:r>
        <w:rPr>
          <w:rFonts w:hint="eastAsia"/>
        </w:rPr>
        <w:t>环境影响分析结论</w:t>
      </w:r>
      <w:bookmarkEnd w:id="198"/>
    </w:p>
    <w:p>
      <w:pPr>
        <w:pStyle w:val="7"/>
        <w:ind w:firstLine="482"/>
        <w:rPr>
          <w:b/>
          <w:bCs/>
          <w:highlight w:val="none"/>
        </w:rPr>
      </w:pPr>
      <w:r>
        <w:rPr>
          <w:rFonts w:hint="eastAsia"/>
          <w:b/>
          <w:bCs/>
          <w:highlight w:val="none"/>
        </w:rPr>
        <w:t>1、对环境空气质量影响</w:t>
      </w:r>
    </w:p>
    <w:p>
      <w:pPr>
        <w:pStyle w:val="7"/>
        <w:bidi w:val="0"/>
      </w:pPr>
      <w:r>
        <w:rPr>
          <w:rFonts w:hint="eastAsia"/>
          <w:lang w:val="en-US" w:eastAsia="zh-CN"/>
        </w:rPr>
        <w:t>（1）</w:t>
      </w:r>
      <w:r>
        <w:t>正常排放情况下，</w:t>
      </w:r>
      <w:r>
        <w:rPr>
          <w:rFonts w:hint="eastAsia"/>
        </w:rPr>
        <w:t>所有</w:t>
      </w:r>
      <w:r>
        <w:t>环境空气保护目标</w:t>
      </w:r>
      <w:r>
        <w:rPr>
          <w:rFonts w:hint="eastAsia"/>
        </w:rPr>
        <w:t>N</w:t>
      </w:r>
      <w:r>
        <w:t>O</w:t>
      </w:r>
      <w:r>
        <w:rPr>
          <w:vertAlign w:val="subscript"/>
        </w:rPr>
        <w:t>2</w:t>
      </w:r>
      <w:r>
        <w:rPr>
          <w:rFonts w:hint="eastAsia"/>
        </w:rPr>
        <w:t>、</w:t>
      </w:r>
      <w:r>
        <w:t>SO</w:t>
      </w:r>
      <w:r>
        <w:rPr>
          <w:vertAlign w:val="subscript"/>
        </w:rPr>
        <w:t>2</w:t>
      </w:r>
      <w:r>
        <w:t>、</w:t>
      </w:r>
      <w:r>
        <w:rPr>
          <w:rFonts w:hint="eastAsia"/>
        </w:rPr>
        <w:t>TSP、</w:t>
      </w:r>
      <w:r>
        <w:t>PM10、PM</w:t>
      </w:r>
      <w:r>
        <w:rPr>
          <w:vertAlign w:val="subscript"/>
        </w:rPr>
        <w:t>2.5</w:t>
      </w:r>
      <w:r>
        <w:rPr>
          <w:rFonts w:hint="eastAsia"/>
        </w:rPr>
        <w:t>、氟化物、HCl、Cl</w:t>
      </w:r>
      <w:r>
        <w:rPr>
          <w:vertAlign w:val="subscript"/>
        </w:rPr>
        <w:t>2</w:t>
      </w:r>
      <w:r>
        <w:rPr>
          <w:rFonts w:hint="eastAsia"/>
        </w:rPr>
        <w:t>短期</w:t>
      </w:r>
      <w:r>
        <w:t>贡献值占标率均</w:t>
      </w:r>
      <w:r>
        <w:rPr>
          <w:rFonts w:hint="eastAsia"/>
        </w:rPr>
        <w:t>＜</w:t>
      </w:r>
      <w:r>
        <w:t>100%</w:t>
      </w:r>
      <w:r>
        <w:rPr>
          <w:rFonts w:hint="eastAsia"/>
        </w:rPr>
        <w:t>、一类区</w:t>
      </w:r>
      <w:r>
        <w:t>环境空气保护目标</w:t>
      </w:r>
      <w:r>
        <w:rPr>
          <w:rFonts w:hint="eastAsia"/>
        </w:rPr>
        <w:t>年均浓度贡献值</w:t>
      </w:r>
      <w:r>
        <w:t>占标率均</w:t>
      </w:r>
      <w:r>
        <w:rPr>
          <w:rFonts w:hint="eastAsia"/>
        </w:rPr>
        <w:t>＜10</w:t>
      </w:r>
      <w:r>
        <w:t>%</w:t>
      </w:r>
      <w:r>
        <w:rPr>
          <w:rFonts w:hint="eastAsia"/>
        </w:rPr>
        <w:t>、二类区</w:t>
      </w:r>
      <w:r>
        <w:t>环境空气保护目标</w:t>
      </w:r>
      <w:r>
        <w:rPr>
          <w:rFonts w:hint="eastAsia"/>
        </w:rPr>
        <w:t>年均浓度贡献值</w:t>
      </w:r>
      <w:r>
        <w:t>占标率均</w:t>
      </w:r>
      <w:r>
        <w:rPr>
          <w:rFonts w:hint="eastAsia"/>
        </w:rPr>
        <w:t>＜</w:t>
      </w:r>
      <w:r>
        <w:t>3</w:t>
      </w:r>
      <w:r>
        <w:rPr>
          <w:rFonts w:hint="eastAsia"/>
        </w:rPr>
        <w:t>0</w:t>
      </w:r>
      <w:r>
        <w:t>%</w:t>
      </w:r>
      <w:r>
        <w:rPr>
          <w:rFonts w:hint="eastAsia"/>
        </w:rPr>
        <w:t>；网格点N</w:t>
      </w:r>
      <w:r>
        <w:t>O</w:t>
      </w:r>
      <w:r>
        <w:rPr>
          <w:vertAlign w:val="subscript"/>
        </w:rPr>
        <w:t>2</w:t>
      </w:r>
      <w:r>
        <w:rPr>
          <w:rFonts w:hint="eastAsia"/>
        </w:rPr>
        <w:t>、</w:t>
      </w:r>
      <w:r>
        <w:t>SO</w:t>
      </w:r>
      <w:r>
        <w:rPr>
          <w:vertAlign w:val="subscript"/>
        </w:rPr>
        <w:t>2</w:t>
      </w:r>
      <w:r>
        <w:t>、</w:t>
      </w:r>
      <w:r>
        <w:rPr>
          <w:rFonts w:hint="eastAsia"/>
        </w:rPr>
        <w:t>TSP、</w:t>
      </w:r>
      <w:r>
        <w:t>PM</w:t>
      </w:r>
      <w:r>
        <w:rPr>
          <w:vertAlign w:val="subscript"/>
        </w:rPr>
        <w:t>10</w:t>
      </w:r>
      <w:r>
        <w:t>、PM</w:t>
      </w:r>
      <w:r>
        <w:rPr>
          <w:vertAlign w:val="subscript"/>
        </w:rPr>
        <w:t>2.5</w:t>
      </w:r>
      <w:r>
        <w:rPr>
          <w:rFonts w:hint="eastAsia"/>
        </w:rPr>
        <w:t>、氟化物、HCl、Cl</w:t>
      </w:r>
      <w:r>
        <w:rPr>
          <w:vertAlign w:val="subscript"/>
        </w:rPr>
        <w:t>2</w:t>
      </w:r>
      <w:r>
        <w:rPr>
          <w:rFonts w:hint="eastAsia"/>
        </w:rPr>
        <w:t>短期浓度</w:t>
      </w:r>
      <w:r>
        <w:t>贡献值占标率</w:t>
      </w:r>
      <w:r>
        <w:rPr>
          <w:rFonts w:hint="eastAsia"/>
        </w:rPr>
        <w:t>均＜</w:t>
      </w:r>
      <w:r>
        <w:t>100%</w:t>
      </w:r>
      <w:r>
        <w:rPr>
          <w:rFonts w:hint="eastAsia"/>
        </w:rPr>
        <w:t>，年均浓度在一类区网格点</w:t>
      </w:r>
      <w:r>
        <w:t>贡献值占标率</w:t>
      </w:r>
      <w:r>
        <w:rPr>
          <w:rFonts w:hint="eastAsia"/>
        </w:rPr>
        <w:t>均＜1</w:t>
      </w:r>
      <w:r>
        <w:t>0%</w:t>
      </w:r>
      <w:r>
        <w:rPr>
          <w:rFonts w:hint="eastAsia"/>
        </w:rPr>
        <w:t>、在二类区网格点</w:t>
      </w:r>
      <w:r>
        <w:t>贡献值占标率为</w:t>
      </w:r>
      <w:r>
        <w:rPr>
          <w:rFonts w:hint="eastAsia"/>
        </w:rPr>
        <w:t>＜3</w:t>
      </w:r>
      <w:r>
        <w:t>0%。</w:t>
      </w:r>
    </w:p>
    <w:p>
      <w:pPr>
        <w:pStyle w:val="7"/>
        <w:bidi w:val="0"/>
      </w:pPr>
      <w:r>
        <w:rPr>
          <w:rFonts w:hint="eastAsia"/>
          <w:lang w:val="en-US" w:eastAsia="zh-CN"/>
        </w:rPr>
        <w:t>（2）</w:t>
      </w:r>
      <w:r>
        <w:t>正常排放情况下，叠加</w:t>
      </w:r>
      <w:r>
        <w:rPr>
          <w:rFonts w:hint="eastAsia"/>
        </w:rPr>
        <w:t>在建项目</w:t>
      </w:r>
      <w:r>
        <w:rPr>
          <w:rFonts w:hint="eastAsia"/>
          <w:lang w:val="en-US" w:eastAsia="zh-CN"/>
        </w:rPr>
        <w:t>及</w:t>
      </w:r>
      <w:r>
        <w:rPr>
          <w:rFonts w:hint="eastAsia"/>
        </w:rPr>
        <w:t>环境质量</w:t>
      </w:r>
      <w:r>
        <w:t>现状浓度后，</w:t>
      </w:r>
      <w:r>
        <w:rPr>
          <w:rFonts w:hint="eastAsia"/>
        </w:rPr>
        <w:t>N</w:t>
      </w:r>
      <w:r>
        <w:t>O</w:t>
      </w:r>
      <w:r>
        <w:rPr>
          <w:vertAlign w:val="subscript"/>
        </w:rPr>
        <w:t>2</w:t>
      </w:r>
      <w:r>
        <w:rPr>
          <w:rFonts w:hint="eastAsia"/>
        </w:rPr>
        <w:t>、</w:t>
      </w:r>
      <w:r>
        <w:t>SO</w:t>
      </w:r>
      <w:r>
        <w:rPr>
          <w:vertAlign w:val="subscript"/>
        </w:rPr>
        <w:t>2</w:t>
      </w:r>
      <w:r>
        <w:t>、</w:t>
      </w:r>
      <w:r>
        <w:rPr>
          <w:rFonts w:hint="eastAsia"/>
        </w:rPr>
        <w:t>TSP、</w:t>
      </w:r>
      <w:r>
        <w:t>PM</w:t>
      </w:r>
      <w:r>
        <w:rPr>
          <w:vertAlign w:val="subscript"/>
        </w:rPr>
        <w:t>10</w:t>
      </w:r>
      <w:r>
        <w:t>、PM</w:t>
      </w:r>
      <w:r>
        <w:rPr>
          <w:vertAlign w:val="subscript"/>
        </w:rPr>
        <w:t>2.5</w:t>
      </w:r>
      <w:r>
        <w:rPr>
          <w:rFonts w:hint="eastAsia"/>
        </w:rPr>
        <w:t>、氟化物、HCl、Cl</w:t>
      </w:r>
      <w:r>
        <w:rPr>
          <w:vertAlign w:val="subscript"/>
        </w:rPr>
        <w:t>2</w:t>
      </w:r>
      <w:r>
        <w:t>在所有环境空气保护目标</w:t>
      </w:r>
      <w:r>
        <w:rPr>
          <w:rFonts w:hint="eastAsia"/>
        </w:rPr>
        <w:t>和</w:t>
      </w:r>
      <w:r>
        <w:t>网格点</w:t>
      </w:r>
      <w:r>
        <w:rPr>
          <w:rFonts w:hint="eastAsia"/>
        </w:rPr>
        <w:t>的</w:t>
      </w:r>
      <w:r>
        <w:t>小时浓度预测值、日均</w:t>
      </w:r>
      <w:r>
        <w:rPr>
          <w:rFonts w:hint="eastAsia"/>
        </w:rPr>
        <w:t>（保证率）</w:t>
      </w:r>
      <w:r>
        <w:t>浓度预测值、年均浓度预测值均达到环境质量标准要求。</w:t>
      </w:r>
    </w:p>
    <w:p>
      <w:pPr>
        <w:pStyle w:val="7"/>
        <w:bidi w:val="0"/>
      </w:pPr>
      <w:r>
        <w:rPr>
          <w:rFonts w:hint="eastAsia"/>
          <w:lang w:val="en-US" w:eastAsia="zh-CN"/>
        </w:rPr>
        <w:t>（3）</w:t>
      </w:r>
      <w:r>
        <w:rPr>
          <w:rFonts w:hint="eastAsia"/>
        </w:rPr>
        <w:t>非正常情况下，氟化物</w:t>
      </w:r>
      <w:r>
        <w:t>、HCl、Cl</w:t>
      </w:r>
      <w:r>
        <w:rPr>
          <w:vertAlign w:val="subscript"/>
        </w:rPr>
        <w:t>2</w:t>
      </w:r>
      <w:r>
        <w:t>小时浓度环境空气保护目标和网格点虽达标，但较正常排放贡献值占标率都大幅增加；TSP小时浓度环境空气保护目标达标，但网格点超标，所以非正常排放对环境影响较大，环评要求建设单位加强管理和设备维护，杜绝非正常排放发生。</w:t>
      </w:r>
    </w:p>
    <w:p>
      <w:pPr>
        <w:pStyle w:val="7"/>
        <w:bidi w:val="0"/>
      </w:pPr>
      <w:r>
        <w:rPr>
          <w:rFonts w:hint="eastAsia"/>
          <w:lang w:val="en-US" w:eastAsia="zh-CN"/>
        </w:rPr>
        <w:t>（4）</w:t>
      </w:r>
      <w:r>
        <w:rPr>
          <w:rFonts w:hint="eastAsia"/>
        </w:rPr>
        <w:t>正常排放情况下，SO</w:t>
      </w:r>
      <w:r>
        <w:rPr>
          <w:rFonts w:hint="eastAsia"/>
          <w:vertAlign w:val="subscript"/>
        </w:rPr>
        <w:t>2</w:t>
      </w:r>
      <w:r>
        <w:rPr>
          <w:rFonts w:hint="eastAsia"/>
        </w:rPr>
        <w:t>、NOx、</w:t>
      </w:r>
      <w:r>
        <w:t>TSP</w:t>
      </w:r>
      <w:r>
        <w:rPr>
          <w:rFonts w:hint="eastAsia"/>
        </w:rPr>
        <w:t>、氟化物、HCl、Cl</w:t>
      </w:r>
      <w:r>
        <w:rPr>
          <w:vertAlign w:val="subscript"/>
        </w:rPr>
        <w:t>2</w:t>
      </w:r>
      <w:r>
        <w:rPr>
          <w:rFonts w:hint="eastAsia"/>
        </w:rPr>
        <w:t>在</w:t>
      </w:r>
      <w:r>
        <w:t>厂界各预测点浓度限值达到《大气污染物综合排放标准》（GB16297-1996）</w:t>
      </w:r>
      <w:r>
        <w:rPr>
          <w:rFonts w:hint="eastAsia"/>
        </w:rPr>
        <w:t>无组织排放</w:t>
      </w:r>
      <w:r>
        <w:t>要求。</w:t>
      </w:r>
    </w:p>
    <w:p>
      <w:pPr>
        <w:pStyle w:val="7"/>
        <w:bidi w:val="0"/>
      </w:pPr>
      <w:r>
        <w:rPr>
          <w:rFonts w:hint="eastAsia"/>
          <w:lang w:val="en-US" w:eastAsia="zh-CN"/>
        </w:rPr>
        <w:t>（5）</w:t>
      </w:r>
      <w:r>
        <w:rPr>
          <w:rFonts w:hint="eastAsia"/>
        </w:rPr>
        <w:t>本项目一期工程熔保炉系统、一期工程</w:t>
      </w:r>
      <w:r>
        <w:t>铝灰分离系统</w:t>
      </w:r>
      <w:r>
        <w:rPr>
          <w:rFonts w:hint="eastAsia"/>
        </w:rPr>
        <w:t>、二期工程</w:t>
      </w:r>
      <w:r>
        <w:t>铝灰分离</w:t>
      </w:r>
      <w:r>
        <w:rPr>
          <w:rFonts w:hint="eastAsia"/>
        </w:rPr>
        <w:t>车间需设置</w:t>
      </w:r>
      <w:r>
        <w:t>50</w:t>
      </w:r>
      <w:r>
        <w:rPr>
          <w:rFonts w:hint="eastAsia"/>
        </w:rPr>
        <w:t>米的卫生防护距离，二期工程熔保炉系统需设置</w:t>
      </w:r>
      <w:r>
        <w:t>10</w:t>
      </w:r>
      <w:r>
        <w:rPr>
          <w:rFonts w:hint="eastAsia"/>
        </w:rPr>
        <w:t>0米的卫生防护距离，卫生防护距离范围内不适宜建设对环境空气质量要求较高的项目及居民点。</w:t>
      </w:r>
    </w:p>
    <w:p>
      <w:pPr>
        <w:spacing w:line="360" w:lineRule="auto"/>
        <w:ind w:firstLine="480" w:firstLineChars="200"/>
        <w:rPr>
          <w:color w:val="auto"/>
        </w:rPr>
      </w:pPr>
      <w:r>
        <w:rPr>
          <w:rFonts w:hint="eastAsia" w:ascii="宋体" w:hAnsi="宋体"/>
          <w:color w:val="auto"/>
        </w:rPr>
        <w:t>本项目排放的大气污染物对环境的影响可以接受，</w:t>
      </w:r>
      <w:r>
        <w:rPr>
          <w:rFonts w:ascii="宋体" w:hAnsi="宋体"/>
          <w:color w:val="auto"/>
        </w:rPr>
        <w:t>符合导则的要求。</w:t>
      </w:r>
    </w:p>
    <w:p>
      <w:pPr>
        <w:pStyle w:val="7"/>
        <w:ind w:firstLine="482"/>
        <w:rPr>
          <w:b/>
          <w:bCs/>
        </w:rPr>
      </w:pPr>
      <w:r>
        <w:rPr>
          <w:rFonts w:hint="eastAsia"/>
          <w:b/>
          <w:bCs/>
        </w:rPr>
        <w:t>2、对地表水环境的影响</w:t>
      </w:r>
    </w:p>
    <w:p>
      <w:pPr>
        <w:pStyle w:val="7"/>
        <w:ind w:firstLine="480"/>
      </w:pPr>
      <w:r>
        <w:rPr>
          <w:rFonts w:hint="eastAsia"/>
        </w:rPr>
        <w:t>本项目生活污水经隔油池、化粪池处理后能达《污水排入城镇下水道水质标准》（GB/T31962-2015）表1、A等级标准；冷却循环系统定期排水能够满足《污水综合排放标准》（GB8978-1996）一级标准；废水经市政污水管网进入砚山县第一污水处理厂进一步处理后达到《城镇污水处理厂污染物排放标准》（GB18918-2002）一级A标准后排入公革河。初期雨水经过收集池沉淀处理后能够满足《城市污水再生利用 城市杂用水水质标准》(GB/TI8920-2002) 中城市绿化及道路清扫以及《城市污水再生利用工业用水水质》（GB/T19923-2005）的相应标准，可直接用于厂区绿化及道路清扫，剩余部分用于冷却循环补充水，不外排。在对化粪池、隔油池、初期雨水收集池、收集管道及厂区地面做好防渗处理的前提下，项目废水排放对周围地表水环境影响很小。</w:t>
      </w:r>
    </w:p>
    <w:p>
      <w:pPr>
        <w:pStyle w:val="7"/>
        <w:ind w:firstLine="480"/>
      </w:pPr>
      <w:r>
        <w:rPr>
          <w:rFonts w:hint="eastAsia"/>
        </w:rPr>
        <w:t>项目的污废水能够进入砚山县第一污水处理厂处理，不会对砚山县第一污水处理厂造成大的影响。</w:t>
      </w:r>
    </w:p>
    <w:p>
      <w:pPr>
        <w:pStyle w:val="7"/>
        <w:ind w:firstLine="482"/>
        <w:rPr>
          <w:b/>
          <w:bCs/>
        </w:rPr>
      </w:pPr>
      <w:r>
        <w:rPr>
          <w:rFonts w:hint="eastAsia"/>
          <w:b/>
          <w:bCs/>
        </w:rPr>
        <w:t>3、对地下水环境的影响</w:t>
      </w:r>
    </w:p>
    <w:p>
      <w:pPr>
        <w:pStyle w:val="7"/>
        <w:ind w:firstLine="480"/>
      </w:pPr>
      <w:r>
        <w:rPr>
          <w:rFonts w:hint="eastAsia"/>
        </w:rPr>
        <w:t>（1）项目场区地下水类型主要为松散岩类孔隙水，含水层岩性主要为第四系砂砾石和含砾粘土，主要接受大气降雨的垂直入渗补给。项目区处于地下水的补给径流区，地下水总体上由西北向东南径流。</w:t>
      </w:r>
    </w:p>
    <w:p>
      <w:pPr>
        <w:pStyle w:val="7"/>
        <w:ind w:firstLine="480"/>
      </w:pPr>
      <w:r>
        <w:rPr>
          <w:rFonts w:hint="eastAsia"/>
        </w:rPr>
        <w:t>（2）项目运行过程中对地下水环境存在潜在污染风险的区域主要有原材料库、生产车间、氯气站、循环水池、污水处理站、危废暂存间、货场、成品仓库、综合站房等。</w:t>
      </w:r>
    </w:p>
    <w:p>
      <w:pPr>
        <w:pStyle w:val="7"/>
        <w:ind w:firstLine="480"/>
      </w:pPr>
      <w:r>
        <w:rPr>
          <w:rFonts w:hint="eastAsia"/>
        </w:rPr>
        <w:t>（3）拟建项目为铝制品加工项目，项目的主体生产设施和装置基本置于地面上，属于相对污废水渗漏或泄漏易于发现和易处理的区域，且在原材料库、生产车间、化粪池、隔油池、初期雨水收集池、天然气站、氯气站、危废暂存间、货场、成品仓库、综合站房等区域建设过程中做好污染防渗措施，运行期加强维护和管理的情况下，污废水、固废等发生渗漏或泄漏的可能性较小，项目的建设运营对地下水环境的影响是可控的。</w:t>
      </w:r>
    </w:p>
    <w:p>
      <w:pPr>
        <w:pStyle w:val="7"/>
        <w:ind w:firstLine="480"/>
      </w:pPr>
      <w:r>
        <w:rPr>
          <w:rFonts w:hint="eastAsia"/>
        </w:rPr>
        <w:t>（4）厂区采取分区防渗措施，对氯气站、化粪池、隔油池、初期雨水收集池、危废暂存间等区域划分为重点防渗区；原材料库、加工车间、货场、成品仓库、综合站房等区域划分为一般防渗区；办公室、技术中心、食堂和活动室、职工倒班房、厂区道路等区域划分为简单防渗区。</w:t>
      </w:r>
    </w:p>
    <w:p>
      <w:pPr>
        <w:pStyle w:val="7"/>
        <w:ind w:firstLine="480"/>
      </w:pPr>
      <w:r>
        <w:rPr>
          <w:rFonts w:hint="eastAsia"/>
        </w:rPr>
        <w:t>总体来说，拟建项目为铝制品加工项目，项目的主体生产设施和装置基本置于地面上，属于相对污废水渗漏或泄漏易于发现和易处理的区域，在建设过程中做好厂区的污染防渗措施，运行期加强维护和管理的情况下，污废水、固废等发生渗漏或泄漏的可能性较小，项目的建设运营对地下水环境的影响是可控的，对地下水环境的影响从环保上来说是可接受的。</w:t>
      </w:r>
    </w:p>
    <w:p>
      <w:pPr>
        <w:pStyle w:val="7"/>
        <w:ind w:firstLine="482"/>
        <w:rPr>
          <w:b/>
          <w:bCs/>
        </w:rPr>
      </w:pPr>
      <w:r>
        <w:rPr>
          <w:rFonts w:hint="eastAsia"/>
          <w:b/>
          <w:bCs/>
        </w:rPr>
        <w:t>4、对声环境的影响</w:t>
      </w:r>
    </w:p>
    <w:p>
      <w:pPr>
        <w:pStyle w:val="7"/>
        <w:ind w:firstLine="480"/>
      </w:pPr>
      <w:r>
        <w:rPr>
          <w:rFonts w:hint="eastAsia"/>
        </w:rPr>
        <w:t>本工程噪声源对厂界噪声的贡献值均较低。各点的昼、夜间噪声预测值均可满足《工业企业厂界环境噪声排放标准》(GB12348</w:t>
      </w:r>
      <w:r>
        <w:rPr>
          <w:rFonts w:hint="eastAsia"/>
          <w:lang w:val="en-US" w:eastAsia="zh-CN"/>
        </w:rPr>
        <w:t>-</w:t>
      </w:r>
      <w:r>
        <w:rPr>
          <w:rFonts w:hint="eastAsia"/>
        </w:rPr>
        <w:t>2008)3类标准。</w:t>
      </w:r>
    </w:p>
    <w:p>
      <w:pPr>
        <w:pStyle w:val="7"/>
        <w:ind w:firstLine="480"/>
      </w:pPr>
      <w:r>
        <w:rPr>
          <w:rFonts w:hint="eastAsia"/>
        </w:rPr>
        <w:t>项目营运期厂区噪声经采取措施、距离衰减后，周边最近的声环境敏感点为项目西侧厂界9</w:t>
      </w:r>
      <w:r>
        <w:rPr>
          <w:rFonts w:hint="eastAsia"/>
          <w:lang w:val="en-US" w:eastAsia="zh-CN"/>
        </w:rPr>
        <w:t>5</w:t>
      </w:r>
      <w:r>
        <w:rPr>
          <w:rFonts w:hint="eastAsia"/>
        </w:rPr>
        <w:t>m处的布标村，其噪声小于《声环境质量标准》（GB3096-2008）2类区标准限值。因此，本项目产生的噪声对区域声环境影响不大，不会改变区域声环境功能。项目应采取在厂界四周种植高大乔木或灌木林起到隔声作用，以减缓项目噪声对周围环境的影响。</w:t>
      </w:r>
    </w:p>
    <w:p>
      <w:pPr>
        <w:pStyle w:val="7"/>
        <w:ind w:firstLine="482"/>
        <w:rPr>
          <w:b/>
          <w:bCs/>
        </w:rPr>
      </w:pPr>
      <w:r>
        <w:rPr>
          <w:rFonts w:hint="eastAsia"/>
          <w:b/>
          <w:bCs/>
        </w:rPr>
        <w:t>5、固废处置</w:t>
      </w:r>
    </w:p>
    <w:p>
      <w:pPr>
        <w:pStyle w:val="7"/>
        <w:ind w:firstLine="480"/>
      </w:pPr>
      <w:r>
        <w:rPr>
          <w:rFonts w:hint="eastAsia"/>
        </w:rPr>
        <w:t>本项目在采取一定防治措施后，与《危险废物贮存污染控制标准》（GB18597-2001）及其2013修改单中危险废物贮存设施的选址要求相符。通过严格的管理和分类，产生的固体废物可得到妥善的处置，则对环境造成的影响较小。</w:t>
      </w:r>
    </w:p>
    <w:p>
      <w:pPr>
        <w:pStyle w:val="7"/>
        <w:ind w:firstLine="482"/>
        <w:rPr>
          <w:b/>
          <w:bCs/>
        </w:rPr>
      </w:pPr>
      <w:r>
        <w:rPr>
          <w:rFonts w:hint="eastAsia"/>
          <w:b/>
          <w:bCs/>
        </w:rPr>
        <w:t>6、对生态环境的影响</w:t>
      </w:r>
    </w:p>
    <w:p>
      <w:pPr>
        <w:pStyle w:val="7"/>
        <w:ind w:firstLine="480"/>
        <w:rPr>
          <w:rFonts w:hint="eastAsia"/>
        </w:rPr>
      </w:pPr>
      <w:r>
        <w:rPr>
          <w:rFonts w:hint="eastAsia"/>
        </w:rPr>
        <w:t>本项目占地类型为工业园区的建设用地，厂址区域内无保护类动、植物分布，项目的建设、运行不会对当地生态结构、生态平衡造成不利影响。</w:t>
      </w:r>
    </w:p>
    <w:p>
      <w:pPr>
        <w:pStyle w:val="7"/>
        <w:ind w:firstLine="482"/>
        <w:rPr>
          <w:b/>
          <w:bCs/>
        </w:rPr>
      </w:pPr>
      <w:r>
        <w:rPr>
          <w:rFonts w:hint="eastAsia"/>
          <w:lang w:val="en-US" w:eastAsia="zh-CN"/>
        </w:rPr>
        <w:t>7、</w:t>
      </w:r>
      <w:r>
        <w:rPr>
          <w:rFonts w:hint="eastAsia"/>
          <w:b/>
          <w:bCs/>
        </w:rPr>
        <w:t>对</w:t>
      </w:r>
      <w:r>
        <w:rPr>
          <w:rFonts w:hint="eastAsia"/>
          <w:b/>
          <w:bCs/>
          <w:lang w:val="en-US" w:eastAsia="zh-CN"/>
        </w:rPr>
        <w:t>土壤</w:t>
      </w:r>
      <w:r>
        <w:rPr>
          <w:rFonts w:hint="eastAsia"/>
          <w:b/>
          <w:bCs/>
        </w:rPr>
        <w:t>环境的影响</w:t>
      </w:r>
    </w:p>
    <w:p>
      <w:pPr>
        <w:pStyle w:val="7"/>
        <w:ind w:firstLine="480"/>
        <w:rPr>
          <w:rFonts w:hint="eastAsia"/>
          <w:lang w:val="en-US" w:eastAsia="zh-CN"/>
        </w:rPr>
      </w:pPr>
      <w:r>
        <w:rPr>
          <w:rFonts w:hint="eastAsia"/>
          <w:lang w:val="en-US" w:eastAsia="zh-CN"/>
        </w:rPr>
        <w:t>本项目占地范围及评价范围内各监测点位的各监测项目的监测值均低于相应标准的风险筛选值，对人体健康的风险可忽略。本项目评价范围内土壤环境质量现状良好。本次评价通过定量的办法，从大气沉降分析项目运营对土壤环境的影响，企业运行20年，项目评价范围内土壤中的氟化物沉降量为4.21mg/kg，20年土壤中积累氟化物预测值为1232.21mg/kg。20年土壤中积累氟化物增量为4.21mg/kg，占预测值0.34%；每年平均输入量0.211mg/kg，20年增长率为0.018%。项目建设对土壤环境影响较小。</w:t>
      </w:r>
    </w:p>
    <w:p>
      <w:pPr>
        <w:pStyle w:val="7"/>
        <w:ind w:firstLine="480"/>
        <w:rPr>
          <w:rFonts w:hint="eastAsia"/>
          <w:lang w:val="en-US" w:eastAsia="zh-CN"/>
        </w:rPr>
      </w:pPr>
      <w:r>
        <w:rPr>
          <w:rFonts w:hint="eastAsia"/>
          <w:lang w:val="en-US" w:eastAsia="zh-CN"/>
        </w:rPr>
        <w:t>本项目生产运营期大气沉降途径对土壤环境的影响是可接受的。本次评价要求项目采取严格有效的污染防控措施和完善的监测与应急处理方案，有效地发现和防范非正常情况的发生，使影响程度降低至土壤环境可以接受的程度。</w:t>
      </w:r>
    </w:p>
    <w:p>
      <w:pPr>
        <w:pStyle w:val="7"/>
        <w:ind w:firstLine="482"/>
        <w:rPr>
          <w:b/>
          <w:bCs/>
        </w:rPr>
      </w:pPr>
      <w:r>
        <w:rPr>
          <w:rFonts w:hint="eastAsia"/>
          <w:b/>
          <w:bCs/>
          <w:lang w:val="en-US" w:eastAsia="zh-CN"/>
        </w:rPr>
        <w:t>8、</w:t>
      </w:r>
      <w:r>
        <w:rPr>
          <w:rFonts w:hint="eastAsia"/>
          <w:b/>
          <w:bCs/>
        </w:rPr>
        <w:t>环境风险防范</w:t>
      </w:r>
    </w:p>
    <w:p>
      <w:pPr>
        <w:pStyle w:val="7"/>
        <w:ind w:firstLine="480"/>
      </w:pPr>
      <w:r>
        <w:rPr>
          <w:rFonts w:hint="eastAsia"/>
        </w:rPr>
        <w:t>（1）项目涉及易燃易爆物质，具有一定的潜在危险性。</w:t>
      </w:r>
    </w:p>
    <w:p>
      <w:pPr>
        <w:pStyle w:val="7"/>
        <w:ind w:firstLine="480"/>
      </w:pPr>
      <w:r>
        <w:rPr>
          <w:rFonts w:hint="eastAsia"/>
        </w:rPr>
        <w:t>（2）本工程在生产、储存等过程存在泄漏、火灾、爆炸事故风险，在采取严格的防护措施后，事故发生概率很小。</w:t>
      </w:r>
    </w:p>
    <w:p>
      <w:pPr>
        <w:pStyle w:val="7"/>
        <w:ind w:firstLine="480"/>
      </w:pPr>
      <w:r>
        <w:rPr>
          <w:rFonts w:hint="eastAsia"/>
        </w:rPr>
        <w:t>（3）项目具有潜在的事故风险，应从建设、生产、储运等方面积极采取防护措施。如车间应安装通风设施、采用防火、防爆的灯具、电器等。为了防范事故和减少危害，需根据企业实际情况制定专项的应急预案，并到当地有关部门备案。当出现事故时，采取紧急的工程应急措施，以控制事故和减少对环境造成的危害。</w:t>
      </w:r>
    </w:p>
    <w:p>
      <w:pPr>
        <w:pStyle w:val="7"/>
        <w:ind w:firstLine="480"/>
      </w:pPr>
      <w:r>
        <w:rPr>
          <w:rFonts w:hint="eastAsia"/>
        </w:rPr>
        <w:t>（4）报告要求该项目竣工投入生产或者使用前，生产经营单位应当组织对安全设施进行竣工验收，安全设施竣工验收合格后，方可投入生产和使用。</w:t>
      </w:r>
    </w:p>
    <w:p>
      <w:pPr>
        <w:pStyle w:val="7"/>
        <w:ind w:firstLine="480"/>
        <w:rPr>
          <w:rFonts w:hint="eastAsia"/>
        </w:rPr>
      </w:pPr>
      <w:r>
        <w:rPr>
          <w:rFonts w:hint="eastAsia"/>
        </w:rPr>
        <w:t>严格落实“报告书”提出的风险防范措施，本项目的环境风险是可控制的。</w:t>
      </w:r>
    </w:p>
    <w:p>
      <w:pPr>
        <w:pStyle w:val="5"/>
        <w:bidi w:val="0"/>
        <w:rPr>
          <w:rFonts w:hint="eastAsia"/>
        </w:rPr>
      </w:pPr>
      <w:bookmarkStart w:id="199" w:name="_Toc5417"/>
      <w:r>
        <w:rPr>
          <w:rFonts w:hint="eastAsia"/>
          <w:lang w:val="en-US" w:eastAsia="zh-CN"/>
        </w:rPr>
        <w:t>12.6</w:t>
      </w:r>
      <w:r>
        <w:rPr>
          <w:rFonts w:hint="eastAsia"/>
        </w:rPr>
        <w:t>碳排放评价结论</w:t>
      </w:r>
      <w:bookmarkEnd w:id="199"/>
    </w:p>
    <w:p>
      <w:pPr>
        <w:pStyle w:val="7"/>
        <w:bidi w:val="0"/>
        <w:rPr>
          <w:rFonts w:hint="eastAsia"/>
          <w:lang w:val="en-US" w:eastAsia="zh-CN"/>
        </w:rPr>
      </w:pPr>
      <w:r>
        <w:rPr>
          <w:rFonts w:hint="eastAsia"/>
          <w:lang w:val="en-US" w:eastAsia="zh-CN"/>
        </w:rPr>
        <w:t>本项目主要排放源为燃料燃烧排放、工购入电力排放。其中燃料燃烧排放量为82206.844tCO</w:t>
      </w:r>
      <w:r>
        <w:rPr>
          <w:rFonts w:hint="eastAsia"/>
          <w:vertAlign w:val="subscript"/>
          <w:lang w:val="en-US" w:eastAsia="zh-CN"/>
        </w:rPr>
        <w:t>2</w:t>
      </w:r>
      <w:r>
        <w:rPr>
          <w:rFonts w:hint="eastAsia"/>
          <w:lang w:val="en-US" w:eastAsia="zh-CN"/>
        </w:rPr>
        <w:t>/a，购入电力的碳排放量为2598.848tCO</w:t>
      </w:r>
      <w:r>
        <w:rPr>
          <w:rFonts w:hint="eastAsia"/>
          <w:vertAlign w:val="subscript"/>
          <w:lang w:val="en-US" w:eastAsia="zh-CN"/>
        </w:rPr>
        <w:t>2</w:t>
      </w:r>
      <w:r>
        <w:rPr>
          <w:rFonts w:hint="eastAsia"/>
          <w:lang w:val="en-US" w:eastAsia="zh-CN"/>
        </w:rPr>
        <w:t>/a，碳排放总量为84805.692tCO</w:t>
      </w:r>
      <w:r>
        <w:rPr>
          <w:rFonts w:hint="eastAsia"/>
          <w:vertAlign w:val="subscript"/>
          <w:lang w:val="en-US" w:eastAsia="zh-CN"/>
        </w:rPr>
        <w:t>2</w:t>
      </w:r>
      <w:r>
        <w:rPr>
          <w:rFonts w:hint="eastAsia"/>
          <w:lang w:val="en-US" w:eastAsia="zh-CN"/>
        </w:rPr>
        <w:t>/a。</w:t>
      </w:r>
    </w:p>
    <w:p>
      <w:pPr>
        <w:pStyle w:val="7"/>
        <w:ind w:firstLine="480"/>
        <w:rPr>
          <w:rFonts w:hint="eastAsia"/>
        </w:rPr>
      </w:pPr>
      <w:r>
        <w:rPr>
          <w:rFonts w:hint="eastAsia"/>
          <w:lang w:val="en-US" w:eastAsia="zh-CN"/>
        </w:rPr>
        <w:t>项目在工艺设计、设备选型、电气系统、节能管理等方面，采用的碳减排措施具有技术经济可行性；符合《关于加快建立健全绿色低碳循环发展经济体系的指导意见》（国发〔2021〕4号）等碳排放相关政策，与生态环境分区管控方案相符，符合区域环境准入要求，符合园区产业定位，不在园区的生态环境准入负面清单范围内。建设项目的碳排放水平可接受。</w:t>
      </w:r>
    </w:p>
    <w:p>
      <w:pPr>
        <w:pStyle w:val="5"/>
      </w:pPr>
      <w:bookmarkStart w:id="200" w:name="_Toc17205"/>
      <w:r>
        <w:rPr>
          <w:rFonts w:hint="eastAsia"/>
        </w:rPr>
        <w:t>1</w:t>
      </w:r>
      <w:r>
        <w:rPr>
          <w:rFonts w:hint="eastAsia"/>
          <w:lang w:val="en-US" w:eastAsia="zh-CN"/>
        </w:rPr>
        <w:t>2</w:t>
      </w:r>
      <w:r>
        <w:rPr>
          <w:rFonts w:hint="eastAsia"/>
        </w:rPr>
        <w:t>.</w:t>
      </w:r>
      <w:r>
        <w:rPr>
          <w:rFonts w:hint="eastAsia"/>
          <w:lang w:val="en-US" w:eastAsia="zh-CN"/>
        </w:rPr>
        <w:t>7</w:t>
      </w:r>
      <w:r>
        <w:rPr>
          <w:rFonts w:hint="eastAsia"/>
        </w:rPr>
        <w:t>公众意见采纳情况</w:t>
      </w:r>
      <w:bookmarkEnd w:id="200"/>
    </w:p>
    <w:p>
      <w:pPr>
        <w:pStyle w:val="7"/>
        <w:ind w:firstLine="480"/>
      </w:pPr>
      <w:r>
        <w:rPr>
          <w:rFonts w:hint="eastAsia"/>
        </w:rPr>
        <w:t>建设单位按照生态环境部发布的《环境影响评价公众参与办法》（部令第4号）中有关规定，在相关政府网站、报纸和张贴公告等方式进行了本项目环境影响评价公众参与信息公示、征求意见稿公示等，以及走访周边村庄发放公众参与意见表，广泛收集了周边村民对本项目建设的意见。项目公示期间公众参与调查发放了</w:t>
      </w:r>
      <w:r>
        <w:rPr>
          <w:rFonts w:hint="eastAsia"/>
          <w:highlight w:val="none"/>
          <w:lang w:val="en-US" w:eastAsia="zh-CN"/>
        </w:rPr>
        <w:t>50</w:t>
      </w:r>
      <w:r>
        <w:rPr>
          <w:rFonts w:hint="eastAsia"/>
          <w:highlight w:val="none"/>
        </w:rPr>
        <w:t>份个人调查问卷和</w:t>
      </w:r>
      <w:r>
        <w:rPr>
          <w:rFonts w:hint="eastAsia"/>
          <w:highlight w:val="none"/>
          <w:lang w:val="en-US" w:eastAsia="zh-CN"/>
        </w:rPr>
        <w:t>9</w:t>
      </w:r>
      <w:r>
        <w:rPr>
          <w:rFonts w:hint="eastAsia"/>
          <w:highlight w:val="none"/>
        </w:rPr>
        <w:t>份团体问卷，收回</w:t>
      </w:r>
      <w:r>
        <w:rPr>
          <w:rFonts w:hint="eastAsia"/>
          <w:highlight w:val="none"/>
          <w:lang w:val="en-US" w:eastAsia="zh-CN"/>
        </w:rPr>
        <w:t>59</w:t>
      </w:r>
      <w:r>
        <w:rPr>
          <w:rFonts w:hint="eastAsia"/>
          <w:highlight w:val="none"/>
        </w:rPr>
        <w:t>份有效问卷，回收率为100%。调查结果显示100%的调查团体和个人调查者表示支持本项目建设，无反对意</w:t>
      </w:r>
      <w:r>
        <w:rPr>
          <w:rFonts w:hint="eastAsia"/>
        </w:rPr>
        <w:t>见，公示期间也未收到相关反馈信息。具体调查内容见《年产38万吨新能源汽车轻量化铝合金材料项目环境影响评价公众参与说明》。</w:t>
      </w:r>
    </w:p>
    <w:p>
      <w:pPr>
        <w:pStyle w:val="5"/>
      </w:pPr>
      <w:bookmarkStart w:id="201" w:name="_Toc9981"/>
      <w:r>
        <w:rPr>
          <w:rFonts w:hint="eastAsia"/>
        </w:rPr>
        <w:t>1</w:t>
      </w:r>
      <w:r>
        <w:rPr>
          <w:rFonts w:hint="eastAsia"/>
          <w:lang w:val="en-US" w:eastAsia="zh-CN"/>
        </w:rPr>
        <w:t>2</w:t>
      </w:r>
      <w:r>
        <w:rPr>
          <w:rFonts w:hint="eastAsia"/>
        </w:rPr>
        <w:t>.</w:t>
      </w:r>
      <w:r>
        <w:rPr>
          <w:rFonts w:hint="eastAsia"/>
          <w:lang w:val="en-US" w:eastAsia="zh-CN"/>
        </w:rPr>
        <w:t>8</w:t>
      </w:r>
      <w:r>
        <w:rPr>
          <w:rFonts w:hint="eastAsia"/>
        </w:rPr>
        <w:t>结论</w:t>
      </w:r>
      <w:bookmarkEnd w:id="201"/>
    </w:p>
    <w:p>
      <w:pPr>
        <w:pStyle w:val="7"/>
        <w:ind w:firstLine="480"/>
      </w:pPr>
      <w:r>
        <w:rPr>
          <w:rFonts w:hint="eastAsia"/>
        </w:rPr>
        <w:t>本项目符合国家产业政策、项目厂址布局及生产规模符合《砚山工业园区总体规划【修编】（2019-2035）》中产业的规划定位、符合园区规划，符合园区规划环评及审查意见要求。</w:t>
      </w:r>
    </w:p>
    <w:p>
      <w:pPr>
        <w:pStyle w:val="7"/>
        <w:ind w:firstLine="480"/>
      </w:pPr>
      <w:r>
        <w:rPr>
          <w:rFonts w:hint="eastAsia"/>
        </w:rPr>
        <w:t>严格落实本《报告书》提出的各项污染控制措施、环境风险防范措施的条件下，本项目在企业布局和生产规模；质量、工艺和装备；资源综合利用的要求。</w:t>
      </w:r>
    </w:p>
    <w:p>
      <w:pPr>
        <w:pStyle w:val="7"/>
        <w:ind w:firstLine="480"/>
      </w:pPr>
      <w:r>
        <w:rPr>
          <w:rFonts w:hint="eastAsia"/>
        </w:rPr>
        <w:t>工程采用具有先进水平的生产设备和工艺方案，污染物治理措施先进、合理、可靠，废气污染物可达标排放；初期雨水可实现回用不排放；生产过程中产生的固体废弃物安全处置率100%。建设项目对环境影响可接受，项目的建设、运行对“卫生防护距离”以外的区域的空气环境质量影响不大、对关心点的影响不大，不会改变项目所处区域的环境功能要求。项目厂址可行。</w:t>
      </w:r>
    </w:p>
    <w:p>
      <w:pPr>
        <w:pStyle w:val="7"/>
        <w:ind w:firstLine="480"/>
      </w:pPr>
      <w:r>
        <w:rPr>
          <w:rFonts w:hint="eastAsia"/>
        </w:rPr>
        <w:t>环境影响评价过程中，建设单位开展了两次公众参与调查，调查过程中无个人和团体提成反对意见。</w:t>
      </w:r>
    </w:p>
    <w:p>
      <w:pPr>
        <w:pStyle w:val="7"/>
        <w:ind w:firstLine="480"/>
      </w:pPr>
      <w:r>
        <w:rPr>
          <w:rFonts w:hint="eastAsia"/>
        </w:rPr>
        <w:t xml:space="preserve">项目建设过程必须严格落实安全生产和污染控制措施的“三同时”，生产运行过程中必须严格落实各项环境风险防范措施，从设置“卫生防护距离”、环境风险防范、事故处置、应急预案四个层面制定并建立、健全和完善环境风险防范及管理体系。严格落实“报告书”提出的环境风险防范措施，确保项目区周边环境和公众的安全。 </w:t>
      </w:r>
    </w:p>
    <w:p>
      <w:pPr>
        <w:pStyle w:val="7"/>
        <w:ind w:firstLine="480"/>
      </w:pPr>
      <w:r>
        <w:rPr>
          <w:rFonts w:hint="eastAsia"/>
        </w:rPr>
        <w:t>项目建设在按安全、环保“三同时”要求严格落实本《报告书》提出的各项污染控制措施、风险防范措施的条件下，项目建设符合我国社会、经济、环境保护协调发展方针。从环境保护角度分析、符合环境影响评价原则、项目建设可行。</w:t>
      </w:r>
    </w:p>
    <w:p>
      <w:pPr>
        <w:pStyle w:val="7"/>
        <w:ind w:firstLine="480"/>
      </w:pPr>
      <w:r>
        <w:rPr>
          <w:rFonts w:hint="eastAsia"/>
        </w:rPr>
        <w:t>同时，本次环评建议砚山县政府应根据《砚山县人民政府关于云南绿色铝创新产业园建设项目房屋征收及搬迁安置工作实施方案的批复》（砚政复[2019]499号）要求，尽快完成园区规划范围内已有处暑村和小听湖村109户、534人的搬迁安置工作，确保本项目投产前该项搬迁安置工作完成，有效减小本项目运营期间对周边环境保护目标的影响。</w:t>
      </w:r>
    </w:p>
    <w:p>
      <w:pPr>
        <w:pStyle w:val="7"/>
        <w:ind w:firstLine="0" w:firstLineChars="0"/>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swiss"/>
    <w:pitch w:val="default"/>
    <w:sig w:usb0="FFFFFFFF" w:usb1="E9FFFFFF" w:usb2="0000003F" w:usb3="00000000" w:csb0="603F01FF" w:csb1="FFFF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UnicodeMS">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FZSSK--GBK1-0">
    <w:altName w:val="AMGDT"/>
    <w:panose1 w:val="00000000000000000000"/>
    <w:charset w:val="00"/>
    <w:family w:val="auto"/>
    <w:pitch w:val="default"/>
    <w:sig w:usb0="00000000" w:usb1="00000000" w:usb2="00000000" w:usb3="00000000" w:csb0="00000000" w:csb1="00000000"/>
  </w:font>
  <w:font w:name="华文新魏">
    <w:panose1 w:val="02010800040101010101"/>
    <w:charset w:val="86"/>
    <w:family w:val="auto"/>
    <w:pitch w:val="default"/>
    <w:sig w:usb0="00000001" w:usb1="080F0000" w:usb2="00000000" w:usb3="00000000" w:csb0="00040000" w:csb1="00000000"/>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roman"/>
    <w:pitch w:val="default"/>
    <w:sig w:usb0="00000000" w:usb1="00000000" w:usb2="0000001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IV</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bVWnMqAgAAV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CbVWnMqAgAAVQQAAA4AAAAAAAAAAQAgAAAAHwEAAGRycy9lMm9Eb2MueG1sUEsFBgAAAAAGAAYA&#10;WQEAALsFA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IV</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248778"/>
    </w:sdtPr>
    <w:sdtContent>
      <w:p>
        <w:pPr>
          <w:pStyle w:val="19"/>
          <w:jc w:val="center"/>
        </w:pPr>
        <w:r>
          <w:fldChar w:fldCharType="begin"/>
        </w:r>
        <w:r>
          <w:instrText xml:space="preserve">PAGE   \* MERGEFORMAT</w:instrText>
        </w:r>
        <w:r>
          <w:fldChar w:fldCharType="separate"/>
        </w:r>
        <w:r>
          <w:rPr>
            <w:lang w:val="zh-CN"/>
          </w:rPr>
          <w:t>110</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pPr>
    <w:r>
      <w:fldChar w:fldCharType="begin"/>
    </w:r>
    <w:r>
      <w:instrText xml:space="preserve">PAGE  </w:instrText>
    </w:r>
    <w:r>
      <w:fldChar w:fldCharType="separate"/>
    </w:r>
    <w:r>
      <w:t>129</w:t>
    </w:r>
    <w:r>
      <w:fldChar w:fldCharType="end"/>
    </w:r>
  </w:p>
  <w:p>
    <w:pPr>
      <w:ind w:right="360"/>
      <w:rPr>
        <w:rFonts w:eastAsia="楷体_GB2312"/>
        <w:i/>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pPr>
    <w:r>
      <w:fldChar w:fldCharType="begin"/>
    </w:r>
    <w:r>
      <w:instrText xml:space="preserve">PAGE  </w:instrText>
    </w:r>
    <w:r>
      <w:fldChar w:fldCharType="end"/>
    </w:r>
  </w:p>
  <w:p>
    <w:pP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Cs w:val="21"/>
      </w:rPr>
      <w:t xml:space="preserve">- </w:t>
    </w:r>
    <w:r>
      <w:rPr>
        <w:szCs w:val="21"/>
      </w:rPr>
      <w:fldChar w:fldCharType="begin"/>
    </w:r>
    <w:r>
      <w:rPr>
        <w:szCs w:val="21"/>
      </w:rPr>
      <w:instrText xml:space="preserve"> PAGE </w:instrText>
    </w:r>
    <w:r>
      <w:rPr>
        <w:szCs w:val="21"/>
      </w:rPr>
      <w:fldChar w:fldCharType="separate"/>
    </w:r>
    <w:r>
      <w:rPr>
        <w:szCs w:val="21"/>
      </w:rPr>
      <w:t>144</w:t>
    </w:r>
    <w:r>
      <w:rPr>
        <w:szCs w:val="21"/>
      </w:rPr>
      <w:fldChar w:fldCharType="end"/>
    </w:r>
    <w:r>
      <w:rPr>
        <w:szCs w:val="21"/>
      </w:rPr>
      <w:t xml:space="preserve"> -</w:t>
    </w:r>
  </w:p>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Cs w:val="21"/>
      </w:rPr>
      <w:t xml:space="preserve">- </w:t>
    </w:r>
    <w:r>
      <w:rPr>
        <w:szCs w:val="21"/>
      </w:rPr>
      <w:fldChar w:fldCharType="begin"/>
    </w:r>
    <w:r>
      <w:rPr>
        <w:szCs w:val="21"/>
      </w:rPr>
      <w:instrText xml:space="preserve"> PAGE </w:instrText>
    </w:r>
    <w:r>
      <w:rPr>
        <w:szCs w:val="21"/>
      </w:rPr>
      <w:fldChar w:fldCharType="separate"/>
    </w:r>
    <w:r>
      <w:rPr>
        <w:szCs w:val="21"/>
      </w:rPr>
      <w:t>153</w:t>
    </w:r>
    <w:r>
      <w:rPr>
        <w:szCs w:val="21"/>
      </w:rPr>
      <w:fldChar w:fldCharType="end"/>
    </w:r>
    <w:r>
      <w:rPr>
        <w:szCs w:val="21"/>
      </w:rPr>
      <w:t xml:space="preserve"> -</w:t>
    </w:r>
  </w:p>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rPr>
        <w:sz w:val="21"/>
        <w:szCs w:val="21"/>
      </w:rPr>
    </w:pPr>
    <w:r>
      <w:rPr>
        <w:sz w:val="21"/>
        <w:szCs w:val="21"/>
      </w:rPr>
      <w:fldChar w:fldCharType="begin"/>
    </w:r>
    <w:r>
      <w:rPr>
        <w:sz w:val="21"/>
        <w:szCs w:val="21"/>
      </w:rPr>
      <w:instrText xml:space="preserve">PAGE  </w:instrText>
    </w:r>
    <w:r>
      <w:rPr>
        <w:sz w:val="21"/>
        <w:szCs w:val="21"/>
      </w:rPr>
      <w:fldChar w:fldCharType="separate"/>
    </w:r>
    <w:r>
      <w:rPr>
        <w:sz w:val="21"/>
        <w:szCs w:val="21"/>
      </w:rPr>
      <w:t>199</w:t>
    </w:r>
    <w:r>
      <w:rPr>
        <w:sz w:val="21"/>
        <w:szCs w:val="21"/>
      </w:rPr>
      <w:fldChar w:fldCharType="end"/>
    </w:r>
  </w:p>
  <w:p>
    <w:pPr>
      <w:ind w:right="360"/>
      <w:rPr>
        <w:rFonts w:eastAsia="楷体_GB2312"/>
        <w:i/>
        <w:sz w:val="21"/>
        <w:szCs w:val="21"/>
      </w:rPr>
    </w:pP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thinThickSmallGap" w:color="auto" w:sz="12" w:space="1"/>
      </w:pBdr>
      <w:jc w:val="center"/>
    </w:pPr>
    <w:r>
      <w:rPr>
        <w:rFonts w:hint="eastAsia"/>
      </w:rPr>
      <w:t>年产38万吨新能源汽车轻量化铝合金材料项目环境影响报告书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rFonts w:hint="eastAsia" w:eastAsia="华文新魏"/>
      </w:rPr>
      <w:t>云南铜业股份有限责任公司电解技改及辅助工程项目竣工环保验收监测方案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20C295"/>
    <w:multiLevelType w:val="singleLevel"/>
    <w:tmpl w:val="8520C295"/>
    <w:lvl w:ilvl="0" w:tentative="0">
      <w:start w:val="2"/>
      <w:numFmt w:val="decimal"/>
      <w:suff w:val="nothing"/>
      <w:lvlText w:val="（%1）"/>
      <w:lvlJc w:val="left"/>
    </w:lvl>
  </w:abstractNum>
  <w:abstractNum w:abstractNumId="1">
    <w:nsid w:val="A66D0B00"/>
    <w:multiLevelType w:val="singleLevel"/>
    <w:tmpl w:val="A66D0B00"/>
    <w:lvl w:ilvl="0" w:tentative="0">
      <w:start w:val="2"/>
      <w:numFmt w:val="decimal"/>
      <w:suff w:val="nothing"/>
      <w:lvlText w:val="（%1）"/>
      <w:lvlJc w:val="left"/>
    </w:lvl>
  </w:abstractNum>
  <w:abstractNum w:abstractNumId="2">
    <w:nsid w:val="CBF3EEF3"/>
    <w:multiLevelType w:val="singleLevel"/>
    <w:tmpl w:val="CBF3EEF3"/>
    <w:lvl w:ilvl="0" w:tentative="0">
      <w:start w:val="3"/>
      <w:numFmt w:val="decimal"/>
      <w:suff w:val="nothing"/>
      <w:lvlText w:val="（%1）"/>
      <w:lvlJc w:val="left"/>
    </w:lvl>
  </w:abstractNum>
  <w:abstractNum w:abstractNumId="3">
    <w:nsid w:val="00CEB0DB"/>
    <w:multiLevelType w:val="singleLevel"/>
    <w:tmpl w:val="00CEB0DB"/>
    <w:lvl w:ilvl="0" w:tentative="0">
      <w:start w:val="1"/>
      <w:numFmt w:val="bullet"/>
      <w:pStyle w:val="11"/>
      <w:lvlText w:val=""/>
      <w:lvlJc w:val="left"/>
      <w:pPr>
        <w:tabs>
          <w:tab w:val="left" w:pos="1620"/>
        </w:tabs>
        <w:ind w:left="1620" w:hanging="360"/>
      </w:pPr>
      <w:rPr>
        <w:rFonts w:hint="default" w:ascii="Wingdings" w:hAnsi="Wingdings"/>
      </w:rPr>
    </w:lvl>
  </w:abstractNum>
  <w:abstractNum w:abstractNumId="4">
    <w:nsid w:val="1A742FCB"/>
    <w:multiLevelType w:val="singleLevel"/>
    <w:tmpl w:val="1A742FCB"/>
    <w:lvl w:ilvl="0" w:tentative="0">
      <w:start w:val="1"/>
      <w:numFmt w:val="decimal"/>
      <w:suff w:val="nothing"/>
      <w:lvlText w:val="%1、"/>
      <w:lvlJc w:val="left"/>
    </w:lvl>
  </w:abstractNum>
  <w:abstractNum w:abstractNumId="5">
    <w:nsid w:val="2F35BE87"/>
    <w:multiLevelType w:val="singleLevel"/>
    <w:tmpl w:val="2F35BE87"/>
    <w:lvl w:ilvl="0" w:tentative="0">
      <w:start w:val="1"/>
      <w:numFmt w:val="decimal"/>
      <w:suff w:val="nothing"/>
      <w:lvlText w:val="（%1）"/>
      <w:lvlJc w:val="left"/>
    </w:lvl>
  </w:abstractNum>
  <w:abstractNum w:abstractNumId="6">
    <w:nsid w:val="41612BD9"/>
    <w:multiLevelType w:val="singleLevel"/>
    <w:tmpl w:val="41612BD9"/>
    <w:lvl w:ilvl="0" w:tentative="0">
      <w:start w:val="1"/>
      <w:numFmt w:val="decimal"/>
      <w:suff w:val="nothing"/>
      <w:lvlText w:val="%1、"/>
      <w:lvlJc w:val="left"/>
    </w:lvl>
  </w:abstractNum>
  <w:abstractNum w:abstractNumId="7">
    <w:nsid w:val="5C7B81EB"/>
    <w:multiLevelType w:val="singleLevel"/>
    <w:tmpl w:val="5C7B81EB"/>
    <w:lvl w:ilvl="0" w:tentative="0">
      <w:start w:val="2"/>
      <w:numFmt w:val="decimal"/>
      <w:suff w:val="nothing"/>
      <w:lvlText w:val="%1、"/>
      <w:lvlJc w:val="left"/>
    </w:lvl>
  </w:abstractNum>
  <w:abstractNum w:abstractNumId="8">
    <w:nsid w:val="7BCF513B"/>
    <w:multiLevelType w:val="singleLevel"/>
    <w:tmpl w:val="7BCF513B"/>
    <w:lvl w:ilvl="0" w:tentative="0">
      <w:start w:val="2"/>
      <w:numFmt w:val="decimal"/>
      <w:suff w:val="nothing"/>
      <w:lvlText w:val="%1、"/>
      <w:lvlJc w:val="left"/>
      <w:pPr>
        <w:ind w:left="-2"/>
      </w:pPr>
    </w:lvl>
  </w:abstractNum>
  <w:num w:numId="1">
    <w:abstractNumId w:val="3"/>
  </w:num>
  <w:num w:numId="2">
    <w:abstractNumId w:val="2"/>
  </w:num>
  <w:num w:numId="3">
    <w:abstractNumId w:val="1"/>
  </w:num>
  <w:num w:numId="4">
    <w:abstractNumId w:val="0"/>
  </w:num>
  <w:num w:numId="5">
    <w:abstractNumId w:val="7"/>
  </w:num>
  <w:num w:numId="6">
    <w:abstractNumId w:val="6"/>
  </w:num>
  <w:num w:numId="7">
    <w:abstractNumId w:val="8"/>
  </w:num>
  <w:num w:numId="8">
    <w:abstractNumId w:val="5"/>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45214C"/>
    <w:rsid w:val="00004BA9"/>
    <w:rsid w:val="0007113B"/>
    <w:rsid w:val="00084367"/>
    <w:rsid w:val="00106DEB"/>
    <w:rsid w:val="001263EA"/>
    <w:rsid w:val="00163CBB"/>
    <w:rsid w:val="0016451F"/>
    <w:rsid w:val="00173F96"/>
    <w:rsid w:val="001A5B7C"/>
    <w:rsid w:val="001D2CA0"/>
    <w:rsid w:val="00203325"/>
    <w:rsid w:val="00215F49"/>
    <w:rsid w:val="0022066F"/>
    <w:rsid w:val="00250D51"/>
    <w:rsid w:val="002531E4"/>
    <w:rsid w:val="002F19DD"/>
    <w:rsid w:val="003107E9"/>
    <w:rsid w:val="00331B01"/>
    <w:rsid w:val="0034001A"/>
    <w:rsid w:val="0037328C"/>
    <w:rsid w:val="00373E72"/>
    <w:rsid w:val="00395DFD"/>
    <w:rsid w:val="003F4E84"/>
    <w:rsid w:val="00406DCA"/>
    <w:rsid w:val="004E1EA0"/>
    <w:rsid w:val="00517227"/>
    <w:rsid w:val="005371D2"/>
    <w:rsid w:val="00542BED"/>
    <w:rsid w:val="00544DC9"/>
    <w:rsid w:val="005F7CFE"/>
    <w:rsid w:val="006019F1"/>
    <w:rsid w:val="00613CCF"/>
    <w:rsid w:val="0066514A"/>
    <w:rsid w:val="006A3C95"/>
    <w:rsid w:val="007B12EE"/>
    <w:rsid w:val="007D56D7"/>
    <w:rsid w:val="008040CA"/>
    <w:rsid w:val="00814767"/>
    <w:rsid w:val="00854E39"/>
    <w:rsid w:val="00880AFB"/>
    <w:rsid w:val="00884FBA"/>
    <w:rsid w:val="008B3A5C"/>
    <w:rsid w:val="008C24E5"/>
    <w:rsid w:val="008E09A6"/>
    <w:rsid w:val="008E64B9"/>
    <w:rsid w:val="00904264"/>
    <w:rsid w:val="009257A2"/>
    <w:rsid w:val="0099409E"/>
    <w:rsid w:val="009B4DF0"/>
    <w:rsid w:val="00A05B6A"/>
    <w:rsid w:val="00A201A0"/>
    <w:rsid w:val="00A54241"/>
    <w:rsid w:val="00A64841"/>
    <w:rsid w:val="00AB76FC"/>
    <w:rsid w:val="00B820DD"/>
    <w:rsid w:val="00BA7CE1"/>
    <w:rsid w:val="00C276B0"/>
    <w:rsid w:val="00C81FA6"/>
    <w:rsid w:val="00CB4485"/>
    <w:rsid w:val="00CD374B"/>
    <w:rsid w:val="00D07398"/>
    <w:rsid w:val="00D077EA"/>
    <w:rsid w:val="00D16FCC"/>
    <w:rsid w:val="00D3249B"/>
    <w:rsid w:val="00DE7DEB"/>
    <w:rsid w:val="00E23F21"/>
    <w:rsid w:val="00E825B2"/>
    <w:rsid w:val="00E91BC2"/>
    <w:rsid w:val="00EB70CA"/>
    <w:rsid w:val="00EF632E"/>
    <w:rsid w:val="00F335F5"/>
    <w:rsid w:val="00F34F25"/>
    <w:rsid w:val="00F73050"/>
    <w:rsid w:val="00F9232D"/>
    <w:rsid w:val="00FD19F8"/>
    <w:rsid w:val="00FF5216"/>
    <w:rsid w:val="01E25DF2"/>
    <w:rsid w:val="0322327C"/>
    <w:rsid w:val="03462228"/>
    <w:rsid w:val="04DB54FE"/>
    <w:rsid w:val="05E92511"/>
    <w:rsid w:val="05ED4441"/>
    <w:rsid w:val="06A76FC1"/>
    <w:rsid w:val="06AA2977"/>
    <w:rsid w:val="06BE2668"/>
    <w:rsid w:val="0DD90C8B"/>
    <w:rsid w:val="0E556FB6"/>
    <w:rsid w:val="0FCF4DD3"/>
    <w:rsid w:val="1092768D"/>
    <w:rsid w:val="121A01D6"/>
    <w:rsid w:val="159255C0"/>
    <w:rsid w:val="16B61E91"/>
    <w:rsid w:val="184A4A45"/>
    <w:rsid w:val="1A4178DE"/>
    <w:rsid w:val="1AEA093F"/>
    <w:rsid w:val="1B9812AF"/>
    <w:rsid w:val="1C953337"/>
    <w:rsid w:val="1FD53B1B"/>
    <w:rsid w:val="200F3C0F"/>
    <w:rsid w:val="22E02B55"/>
    <w:rsid w:val="23687328"/>
    <w:rsid w:val="23D07309"/>
    <w:rsid w:val="23E53828"/>
    <w:rsid w:val="256C1167"/>
    <w:rsid w:val="26DC3E08"/>
    <w:rsid w:val="272953A7"/>
    <w:rsid w:val="27BA5522"/>
    <w:rsid w:val="28B13A68"/>
    <w:rsid w:val="2AA05276"/>
    <w:rsid w:val="2C991850"/>
    <w:rsid w:val="2C9A6C79"/>
    <w:rsid w:val="2D1553AA"/>
    <w:rsid w:val="2D556441"/>
    <w:rsid w:val="2D687212"/>
    <w:rsid w:val="2E0F1C1E"/>
    <w:rsid w:val="2E1B296B"/>
    <w:rsid w:val="2F305C6B"/>
    <w:rsid w:val="30815625"/>
    <w:rsid w:val="3246183B"/>
    <w:rsid w:val="32663014"/>
    <w:rsid w:val="346C2C88"/>
    <w:rsid w:val="35D41CE8"/>
    <w:rsid w:val="3ADF4AB1"/>
    <w:rsid w:val="3B934E03"/>
    <w:rsid w:val="3CCC51CF"/>
    <w:rsid w:val="41DE7E81"/>
    <w:rsid w:val="427779B8"/>
    <w:rsid w:val="42E65E9B"/>
    <w:rsid w:val="433F4B40"/>
    <w:rsid w:val="44FA3BE7"/>
    <w:rsid w:val="46B218C9"/>
    <w:rsid w:val="4826148D"/>
    <w:rsid w:val="48F81CF1"/>
    <w:rsid w:val="4A091A14"/>
    <w:rsid w:val="4A8E581E"/>
    <w:rsid w:val="4BA7714E"/>
    <w:rsid w:val="4D343DB0"/>
    <w:rsid w:val="4EA44E90"/>
    <w:rsid w:val="521B673C"/>
    <w:rsid w:val="535410EA"/>
    <w:rsid w:val="54F24CA3"/>
    <w:rsid w:val="55EE6697"/>
    <w:rsid w:val="56190E8E"/>
    <w:rsid w:val="58314C14"/>
    <w:rsid w:val="5939703D"/>
    <w:rsid w:val="5A59319C"/>
    <w:rsid w:val="5BFE4E8B"/>
    <w:rsid w:val="5C8C215F"/>
    <w:rsid w:val="5E94079D"/>
    <w:rsid w:val="5F116586"/>
    <w:rsid w:val="5F64385D"/>
    <w:rsid w:val="606F5DBF"/>
    <w:rsid w:val="618914CD"/>
    <w:rsid w:val="63A77153"/>
    <w:rsid w:val="64090EAC"/>
    <w:rsid w:val="690272DF"/>
    <w:rsid w:val="6B45214C"/>
    <w:rsid w:val="6C04561F"/>
    <w:rsid w:val="6D3469CD"/>
    <w:rsid w:val="6DFD7F1B"/>
    <w:rsid w:val="6EB92A69"/>
    <w:rsid w:val="6F3A1ED6"/>
    <w:rsid w:val="71565F35"/>
    <w:rsid w:val="71AB0BDA"/>
    <w:rsid w:val="73BD6C92"/>
    <w:rsid w:val="750E1CF2"/>
    <w:rsid w:val="79BD38E2"/>
    <w:rsid w:val="7AB413AB"/>
    <w:rsid w:val="7BB01F56"/>
    <w:rsid w:val="7C2E079C"/>
    <w:rsid w:val="7D290E12"/>
    <w:rsid w:val="7DD34E55"/>
    <w:rsid w:val="7E0C47F2"/>
    <w:rsid w:val="7E433DB2"/>
    <w:rsid w:val="7E6B3939"/>
    <w:rsid w:val="7F7650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qFormat="1"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4">
    <w:name w:val="heading 1"/>
    <w:basedOn w:val="1"/>
    <w:next w:val="1"/>
    <w:qFormat/>
    <w:uiPriority w:val="0"/>
    <w:pPr>
      <w:keepNext/>
      <w:keepLines/>
      <w:spacing w:before="360" w:after="360"/>
      <w:jc w:val="center"/>
      <w:outlineLvl w:val="0"/>
    </w:pPr>
    <w:rPr>
      <w:rFonts w:eastAsia="黑体"/>
      <w:b/>
      <w:kern w:val="44"/>
      <w:sz w:val="32"/>
    </w:rPr>
  </w:style>
  <w:style w:type="paragraph" w:styleId="5">
    <w:name w:val="heading 2"/>
    <w:basedOn w:val="6"/>
    <w:next w:val="7"/>
    <w:unhideWhenUsed/>
    <w:qFormat/>
    <w:uiPriority w:val="0"/>
    <w:pPr>
      <w:keepNext/>
      <w:keepLines/>
      <w:spacing w:before="400" w:after="120" w:line="400" w:lineRule="exact"/>
      <w:jc w:val="left"/>
      <w:outlineLvl w:val="1"/>
    </w:pPr>
    <w:rPr>
      <w:rFonts w:ascii="Times New Roman" w:hAnsi="Times New Roman" w:eastAsia="黑体"/>
      <w:sz w:val="28"/>
    </w:rPr>
  </w:style>
  <w:style w:type="paragraph" w:styleId="8">
    <w:name w:val="heading 3"/>
    <w:basedOn w:val="1"/>
    <w:next w:val="1"/>
    <w:link w:val="39"/>
    <w:unhideWhenUsed/>
    <w:qFormat/>
    <w:uiPriority w:val="0"/>
    <w:pPr>
      <w:keepNext/>
      <w:keepLines/>
      <w:spacing w:before="240" w:after="120" w:line="360" w:lineRule="auto"/>
      <w:jc w:val="left"/>
      <w:outlineLvl w:val="2"/>
    </w:pPr>
    <w:rPr>
      <w:rFonts w:ascii="Times New Roman" w:hAnsi="Times New Roman" w:eastAsia="黑体"/>
      <w:b/>
    </w:rPr>
  </w:style>
  <w:style w:type="paragraph" w:styleId="9">
    <w:name w:val="heading 4"/>
    <w:basedOn w:val="1"/>
    <w:next w:val="1"/>
    <w:unhideWhenUsed/>
    <w:qFormat/>
    <w:uiPriority w:val="0"/>
    <w:pPr>
      <w:keepNext/>
      <w:keepLines/>
      <w:spacing w:line="360" w:lineRule="auto"/>
      <w:outlineLvl w:val="3"/>
    </w:pPr>
    <w:rPr>
      <w:b/>
    </w:rPr>
  </w:style>
  <w:style w:type="paragraph" w:styleId="10">
    <w:name w:val="heading 5"/>
    <w:basedOn w:val="1"/>
    <w:next w:val="1"/>
    <w:unhideWhenUsed/>
    <w:qFormat/>
    <w:uiPriority w:val="0"/>
    <w:pPr>
      <w:keepNext/>
      <w:keepLines/>
      <w:spacing w:before="280" w:after="290" w:line="372" w:lineRule="auto"/>
      <w:outlineLvl w:val="4"/>
    </w:pPr>
    <w:rPr>
      <w:b/>
      <w:sz w:val="28"/>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unhideWhenUsed/>
    <w:qFormat/>
    <w:uiPriority w:val="99"/>
    <w:pPr>
      <w:ind w:firstLine="420" w:firstLineChars="200"/>
    </w:pPr>
  </w:style>
  <w:style w:type="paragraph" w:styleId="3">
    <w:name w:val="Body Text Indent"/>
    <w:basedOn w:val="1"/>
    <w:unhideWhenUsed/>
    <w:qFormat/>
    <w:uiPriority w:val="99"/>
    <w:pPr>
      <w:spacing w:after="120"/>
      <w:ind w:left="420" w:leftChars="200"/>
    </w:pPr>
  </w:style>
  <w:style w:type="paragraph" w:styleId="6">
    <w:name w:val="Title"/>
    <w:basedOn w:val="1"/>
    <w:qFormat/>
    <w:uiPriority w:val="0"/>
    <w:pPr>
      <w:spacing w:before="240" w:after="60"/>
      <w:jc w:val="center"/>
      <w:outlineLvl w:val="0"/>
    </w:pPr>
    <w:rPr>
      <w:rFonts w:ascii="Arial" w:hAnsi="Arial"/>
      <w:b/>
      <w:sz w:val="32"/>
    </w:rPr>
  </w:style>
  <w:style w:type="paragraph" w:customStyle="1" w:styleId="7">
    <w:name w:val="正文LTT"/>
    <w:basedOn w:val="1"/>
    <w:link w:val="53"/>
    <w:qFormat/>
    <w:uiPriority w:val="0"/>
    <w:pPr>
      <w:spacing w:line="360" w:lineRule="auto"/>
      <w:ind w:firstLine="440" w:firstLineChars="200"/>
    </w:pPr>
  </w:style>
  <w:style w:type="paragraph" w:styleId="11">
    <w:name w:val="List Bullet 4"/>
    <w:basedOn w:val="1"/>
    <w:qFormat/>
    <w:uiPriority w:val="0"/>
    <w:pPr>
      <w:numPr>
        <w:ilvl w:val="0"/>
        <w:numId w:val="1"/>
      </w:numPr>
    </w:pPr>
  </w:style>
  <w:style w:type="paragraph" w:styleId="12">
    <w:name w:val="Normal Indent"/>
    <w:basedOn w:val="1"/>
    <w:next w:val="9"/>
    <w:qFormat/>
    <w:uiPriority w:val="0"/>
    <w:pPr>
      <w:ind w:firstLine="420"/>
    </w:pPr>
    <w:rPr>
      <w:szCs w:val="20"/>
    </w:rPr>
  </w:style>
  <w:style w:type="paragraph" w:styleId="13">
    <w:name w:val="caption"/>
    <w:basedOn w:val="1"/>
    <w:next w:val="1"/>
    <w:qFormat/>
    <w:uiPriority w:val="0"/>
    <w:pPr>
      <w:snapToGrid w:val="0"/>
      <w:spacing w:before="60" w:after="60" w:line="240" w:lineRule="exact"/>
      <w:ind w:firstLine="200" w:firstLineChars="200"/>
      <w:jc w:val="center"/>
    </w:pPr>
    <w:rPr>
      <w:rFonts w:ascii="Arial" w:hAnsi="Arial" w:eastAsia="黑体"/>
      <w:szCs w:val="20"/>
    </w:rPr>
  </w:style>
  <w:style w:type="paragraph" w:styleId="14">
    <w:name w:val="annotation text"/>
    <w:basedOn w:val="1"/>
    <w:link w:val="67"/>
    <w:qFormat/>
    <w:uiPriority w:val="0"/>
    <w:pPr>
      <w:jc w:val="left"/>
    </w:pPr>
  </w:style>
  <w:style w:type="paragraph" w:styleId="15">
    <w:name w:val="Body Text"/>
    <w:basedOn w:val="1"/>
    <w:next w:val="1"/>
    <w:qFormat/>
    <w:uiPriority w:val="0"/>
    <w:pPr>
      <w:spacing w:after="120"/>
    </w:pPr>
  </w:style>
  <w:style w:type="paragraph" w:styleId="16">
    <w:name w:val="Plain Text"/>
    <w:basedOn w:val="1"/>
    <w:next w:val="1"/>
    <w:qFormat/>
    <w:uiPriority w:val="99"/>
    <w:pPr>
      <w:widowControl/>
      <w:spacing w:before="100" w:beforeAutospacing="1" w:after="100" w:afterAutospacing="1"/>
      <w:jc w:val="left"/>
    </w:pPr>
    <w:rPr>
      <w:rFonts w:ascii="Arial Unicode MS" w:hAnsi="Arial Unicode MS" w:eastAsia="Arial Unicode MS" w:cs="Arial Unicode MS"/>
      <w:kern w:val="0"/>
    </w:rPr>
  </w:style>
  <w:style w:type="paragraph" w:styleId="17">
    <w:name w:val="Body Text Indent 2"/>
    <w:basedOn w:val="1"/>
    <w:qFormat/>
    <w:uiPriority w:val="0"/>
    <w:pPr>
      <w:adjustRightInd w:val="0"/>
      <w:snapToGrid w:val="0"/>
      <w:spacing w:line="360" w:lineRule="auto"/>
      <w:ind w:firstLine="480" w:firstLineChars="200"/>
    </w:pPr>
    <w:rPr>
      <w:rFonts w:ascii="宋体" w:hAnsi="宋体"/>
    </w:rPr>
  </w:style>
  <w:style w:type="paragraph" w:styleId="18">
    <w:name w:val="Balloon Text"/>
    <w:basedOn w:val="1"/>
    <w:link w:val="69"/>
    <w:qFormat/>
    <w:uiPriority w:val="0"/>
    <w:rPr>
      <w:sz w:val="18"/>
      <w:szCs w:val="18"/>
    </w:rPr>
  </w:style>
  <w:style w:type="paragraph" w:styleId="19">
    <w:name w:val="footer"/>
    <w:basedOn w:val="1"/>
    <w:unhideWhenUsed/>
    <w:qFormat/>
    <w:uiPriority w:val="99"/>
    <w:pPr>
      <w:tabs>
        <w:tab w:val="center" w:pos="4153"/>
        <w:tab w:val="right" w:pos="8306"/>
      </w:tabs>
      <w:snapToGrid w:val="0"/>
      <w:jc w:val="left"/>
    </w:pPr>
    <w:rPr>
      <w:sz w:val="18"/>
      <w:szCs w:val="18"/>
    </w:rPr>
  </w:style>
  <w:style w:type="paragraph" w:styleId="20">
    <w:name w:val="header"/>
    <w:basedOn w:val="1"/>
    <w:next w:val="1"/>
    <w:link w:val="52"/>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1">
    <w:name w:val="toc 1"/>
    <w:basedOn w:val="1"/>
    <w:next w:val="1"/>
    <w:qFormat/>
    <w:uiPriority w:val="39"/>
    <w:pPr>
      <w:spacing w:before="120" w:after="120"/>
      <w:jc w:val="left"/>
    </w:pPr>
    <w:rPr>
      <w:b/>
      <w:bCs/>
      <w:caps/>
    </w:rPr>
  </w:style>
  <w:style w:type="paragraph" w:styleId="22">
    <w:name w:val="table of figures"/>
    <w:basedOn w:val="1"/>
    <w:next w:val="1"/>
    <w:qFormat/>
    <w:uiPriority w:val="0"/>
    <w:pPr>
      <w:ind w:left="200" w:leftChars="200" w:hanging="200" w:hangingChars="200"/>
    </w:pPr>
  </w:style>
  <w:style w:type="paragraph" w:styleId="23">
    <w:name w:val="toc 2"/>
    <w:basedOn w:val="1"/>
    <w:next w:val="1"/>
    <w:qFormat/>
    <w:uiPriority w:val="0"/>
    <w:pPr>
      <w:ind w:left="420" w:leftChars="200"/>
    </w:pPr>
  </w:style>
  <w:style w:type="paragraph" w:styleId="24">
    <w:name w:val="Normal (Web)"/>
    <w:basedOn w:val="1"/>
    <w:qFormat/>
    <w:uiPriority w:val="0"/>
    <w:pPr>
      <w:widowControl/>
      <w:spacing w:before="100" w:beforeAutospacing="1" w:after="100" w:afterAutospacing="1"/>
      <w:jc w:val="left"/>
    </w:pPr>
    <w:rPr>
      <w:rFonts w:ascii="Arial Unicode MS" w:hAnsi="Arial Unicode MS" w:eastAsia="Arial Unicode MS" w:cs="Arial Unicode MS"/>
    </w:rPr>
  </w:style>
  <w:style w:type="paragraph" w:styleId="25">
    <w:name w:val="annotation subject"/>
    <w:basedOn w:val="14"/>
    <w:next w:val="14"/>
    <w:link w:val="68"/>
    <w:qFormat/>
    <w:uiPriority w:val="0"/>
    <w:rPr>
      <w:b/>
      <w:bCs/>
    </w:rPr>
  </w:style>
  <w:style w:type="paragraph" w:styleId="26">
    <w:name w:val="Body Text First Indent"/>
    <w:basedOn w:val="15"/>
    <w:qFormat/>
    <w:uiPriority w:val="0"/>
    <w:pPr>
      <w:ind w:firstLine="420" w:firstLineChars="100"/>
    </w:pPr>
  </w:style>
  <w:style w:type="table" w:styleId="28">
    <w:name w:val="Table Grid"/>
    <w:basedOn w:val="2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annotation reference"/>
    <w:basedOn w:val="29"/>
    <w:qFormat/>
    <w:uiPriority w:val="0"/>
    <w:rPr>
      <w:sz w:val="21"/>
      <w:szCs w:val="21"/>
    </w:rPr>
  </w:style>
  <w:style w:type="paragraph" w:customStyle="1" w:styleId="31">
    <w:name w:val="表格标题LTT"/>
    <w:basedOn w:val="1"/>
    <w:next w:val="7"/>
    <w:link w:val="40"/>
    <w:qFormat/>
    <w:uiPriority w:val="0"/>
    <w:pPr>
      <w:spacing w:before="120"/>
      <w:jc w:val="center"/>
    </w:pPr>
    <w:rPr>
      <w:b/>
      <w:sz w:val="21"/>
    </w:rPr>
  </w:style>
  <w:style w:type="paragraph" w:customStyle="1" w:styleId="32">
    <w:name w:val="表格文字LTT"/>
    <w:basedOn w:val="1"/>
    <w:next w:val="1"/>
    <w:link w:val="54"/>
    <w:qFormat/>
    <w:uiPriority w:val="0"/>
    <w:pPr>
      <w:spacing w:before="40" w:after="40"/>
      <w:jc w:val="center"/>
    </w:pPr>
    <w:rPr>
      <w:sz w:val="21"/>
    </w:rPr>
  </w:style>
  <w:style w:type="paragraph" w:customStyle="1" w:styleId="33">
    <w:name w:val="表格文字LTT0磅"/>
    <w:basedOn w:val="1"/>
    <w:link w:val="51"/>
    <w:qFormat/>
    <w:uiPriority w:val="0"/>
    <w:pPr>
      <w:jc w:val="center"/>
    </w:pPr>
    <w:rPr>
      <w:sz w:val="21"/>
    </w:rPr>
  </w:style>
  <w:style w:type="paragraph" w:customStyle="1" w:styleId="34">
    <w:name w:val="正文首行缩进2"/>
    <w:basedOn w:val="15"/>
    <w:qFormat/>
    <w:uiPriority w:val="99"/>
    <w:pPr>
      <w:spacing w:line="500" w:lineRule="atLeast"/>
      <w:ind w:firstLine="560"/>
    </w:pPr>
  </w:style>
  <w:style w:type="paragraph" w:customStyle="1" w:styleId="35">
    <w:name w:val="样式 标题 1 + 四号 段前: 0 磅 段后: 0 磅 行距: 1.5 倍行距"/>
    <w:basedOn w:val="36"/>
    <w:next w:val="37"/>
    <w:qFormat/>
    <w:uiPriority w:val="0"/>
    <w:pPr>
      <w:spacing w:line="360" w:lineRule="auto"/>
      <w:jc w:val="center"/>
    </w:pPr>
    <w:rPr>
      <w:rFonts w:hAnsi="黑体"/>
      <w:sz w:val="21"/>
    </w:rPr>
  </w:style>
  <w:style w:type="paragraph" w:customStyle="1" w:styleId="36">
    <w:name w:val="1正文"/>
    <w:basedOn w:val="1"/>
    <w:qFormat/>
    <w:uiPriority w:val="0"/>
    <w:pPr>
      <w:spacing w:line="500" w:lineRule="exact"/>
      <w:ind w:firstLine="588" w:firstLineChars="196"/>
    </w:pPr>
    <w:rPr>
      <w:rFonts w:eastAsia="楷体_GB2312"/>
      <w:sz w:val="30"/>
      <w:szCs w:val="30"/>
    </w:rPr>
  </w:style>
  <w:style w:type="paragraph" w:customStyle="1" w:styleId="37">
    <w:name w:val="文本正文"/>
    <w:basedOn w:val="1"/>
    <w:qFormat/>
    <w:uiPriority w:val="0"/>
    <w:pPr>
      <w:autoSpaceDE w:val="0"/>
      <w:autoSpaceDN w:val="0"/>
      <w:adjustRightInd w:val="0"/>
      <w:spacing w:line="360" w:lineRule="auto"/>
      <w:ind w:firstLine="510"/>
      <w:jc w:val="left"/>
      <w:textAlignment w:val="baseline"/>
    </w:pPr>
    <w:rPr>
      <w:rFonts w:ascii="宋体" w:hAnsi="宋体"/>
      <w:color w:val="000000"/>
      <w:spacing w:val="4"/>
      <w:kern w:val="18"/>
    </w:rPr>
  </w:style>
  <w:style w:type="paragraph" w:customStyle="1" w:styleId="38">
    <w:name w:val="报告正文"/>
    <w:basedOn w:val="1"/>
    <w:qFormat/>
    <w:uiPriority w:val="0"/>
    <w:pPr>
      <w:adjustRightInd w:val="0"/>
      <w:snapToGrid w:val="0"/>
      <w:spacing w:before="120" w:beforeLines="50" w:after="120" w:afterLines="50"/>
    </w:pPr>
    <w:rPr>
      <w:spacing w:val="4"/>
    </w:rPr>
  </w:style>
  <w:style w:type="character" w:customStyle="1" w:styleId="39">
    <w:name w:val="标题 3 字符"/>
    <w:link w:val="8"/>
    <w:qFormat/>
    <w:uiPriority w:val="0"/>
    <w:rPr>
      <w:rFonts w:ascii="Times New Roman" w:hAnsi="Times New Roman" w:eastAsia="黑体"/>
      <w:b/>
    </w:rPr>
  </w:style>
  <w:style w:type="character" w:customStyle="1" w:styleId="40">
    <w:name w:val="表格标题LTT Char"/>
    <w:link w:val="31"/>
    <w:qFormat/>
    <w:uiPriority w:val="0"/>
    <w:rPr>
      <w:rFonts w:ascii="Times New Roman" w:hAnsi="Times New Roman" w:eastAsia="宋体" w:cs="Times New Roman"/>
      <w:b/>
      <w:sz w:val="21"/>
    </w:rPr>
  </w:style>
  <w:style w:type="paragraph" w:customStyle="1" w:styleId="41">
    <w:name w:val="表标题LTT"/>
    <w:basedOn w:val="1"/>
    <w:next w:val="7"/>
    <w:qFormat/>
    <w:uiPriority w:val="0"/>
    <w:pPr>
      <w:spacing w:before="120"/>
      <w:jc w:val="center"/>
    </w:pPr>
    <w:rPr>
      <w:rFonts w:ascii="Times New Roman" w:hAnsi="Times New Roman" w:eastAsia="宋体"/>
      <w:b/>
      <w:sz w:val="21"/>
    </w:rPr>
  </w:style>
  <w:style w:type="paragraph" w:customStyle="1" w:styleId="42">
    <w:name w:val="列表段落1"/>
    <w:basedOn w:val="1"/>
    <w:qFormat/>
    <w:uiPriority w:val="99"/>
    <w:pPr>
      <w:ind w:firstLine="420" w:firstLineChars="200"/>
    </w:pPr>
    <w:rPr>
      <w:rFonts w:ascii="仿宋_GB2312" w:eastAsia="仿宋_GB2312" w:hAnsiTheme="minorHAnsi" w:cstheme="minorBidi"/>
      <w:sz w:val="28"/>
    </w:rPr>
  </w:style>
  <w:style w:type="paragraph" w:customStyle="1" w:styleId="43">
    <w:name w:val="表格文字LTT3磅"/>
    <w:basedOn w:val="32"/>
    <w:link w:val="71"/>
    <w:qFormat/>
    <w:uiPriority w:val="0"/>
    <w:pPr>
      <w:spacing w:before="60" w:after="60"/>
    </w:pPr>
    <w:rPr>
      <w:rFonts w:hint="eastAsia"/>
    </w:rPr>
  </w:style>
  <w:style w:type="paragraph" w:customStyle="1" w:styleId="44">
    <w:name w:val="图题LTT"/>
    <w:basedOn w:val="1"/>
    <w:next w:val="7"/>
    <w:link w:val="47"/>
    <w:qFormat/>
    <w:uiPriority w:val="0"/>
    <w:pPr>
      <w:spacing w:after="120"/>
      <w:jc w:val="center"/>
    </w:pPr>
    <w:rPr>
      <w:b/>
      <w:sz w:val="21"/>
    </w:rPr>
  </w:style>
  <w:style w:type="character" w:customStyle="1" w:styleId="45">
    <w:name w:val="fontstyle01"/>
    <w:basedOn w:val="29"/>
    <w:qFormat/>
    <w:uiPriority w:val="0"/>
    <w:rPr>
      <w:rFonts w:hint="eastAsia" w:ascii="宋体" w:hAnsi="宋体" w:eastAsia="宋体" w:cs="宋体"/>
      <w:color w:val="000000"/>
      <w:sz w:val="22"/>
      <w:szCs w:val="22"/>
    </w:rPr>
  </w:style>
  <w:style w:type="paragraph" w:customStyle="1" w:styleId="46">
    <w:name w:val="p0"/>
    <w:basedOn w:val="1"/>
    <w:qFormat/>
    <w:uiPriority w:val="0"/>
    <w:pPr>
      <w:widowControl/>
      <w:jc w:val="left"/>
    </w:pPr>
    <w:rPr>
      <w:rFonts w:ascii="宋体" w:hAnsi="宋体" w:cs="宋体"/>
      <w:kern w:val="0"/>
    </w:rPr>
  </w:style>
  <w:style w:type="character" w:customStyle="1" w:styleId="47">
    <w:name w:val="图题LTT Char"/>
    <w:link w:val="44"/>
    <w:qFormat/>
    <w:uiPriority w:val="0"/>
    <w:rPr>
      <w:b/>
      <w:sz w:val="21"/>
    </w:rPr>
  </w:style>
  <w:style w:type="paragraph" w:customStyle="1" w:styleId="48">
    <w:name w:val="样式4"/>
    <w:basedOn w:val="1"/>
    <w:qFormat/>
    <w:uiPriority w:val="0"/>
    <w:pPr>
      <w:adjustRightInd w:val="0"/>
      <w:snapToGrid w:val="0"/>
      <w:spacing w:line="320" w:lineRule="exact"/>
      <w:jc w:val="center"/>
    </w:pPr>
    <w:rPr>
      <w:sz w:val="22"/>
      <w:szCs w:val="22"/>
    </w:rPr>
  </w:style>
  <w:style w:type="paragraph" w:customStyle="1" w:styleId="49">
    <w:name w:val="Char"/>
    <w:basedOn w:val="1"/>
    <w:qFormat/>
    <w:uiPriority w:val="0"/>
    <w:pPr>
      <w:spacing w:line="360" w:lineRule="auto"/>
      <w:ind w:firstLine="200" w:firstLineChars="200"/>
    </w:pPr>
    <w:rPr>
      <w:rFonts w:ascii="宋体" w:hAnsi="宋体" w:cs="宋体"/>
    </w:rPr>
  </w:style>
  <w:style w:type="paragraph" w:customStyle="1" w:styleId="50">
    <w:name w:val="9"/>
    <w:basedOn w:val="1"/>
    <w:next w:val="1"/>
    <w:qFormat/>
    <w:uiPriority w:val="34"/>
    <w:pPr>
      <w:adjustRightInd w:val="0"/>
      <w:snapToGrid w:val="0"/>
      <w:ind w:left="142" w:firstLine="422" w:firstLineChars="200"/>
      <w:jc w:val="left"/>
    </w:pPr>
    <w:rPr>
      <w:rFonts w:ascii="仿宋_GB2312" w:eastAsia="仿宋_GB2312" w:hAnsiTheme="minorHAnsi" w:cstheme="minorBidi"/>
      <w:b/>
      <w:bCs/>
      <w:szCs w:val="21"/>
    </w:rPr>
  </w:style>
  <w:style w:type="character" w:customStyle="1" w:styleId="51">
    <w:name w:val="表格文字LTT0磅 Char"/>
    <w:link w:val="33"/>
    <w:qFormat/>
    <w:uiPriority w:val="0"/>
    <w:rPr>
      <w:rFonts w:ascii="Times New Roman" w:hAnsi="Times New Roman" w:eastAsia="宋体"/>
      <w:sz w:val="21"/>
    </w:rPr>
  </w:style>
  <w:style w:type="character" w:customStyle="1" w:styleId="52">
    <w:name w:val="页眉 字符"/>
    <w:link w:val="20"/>
    <w:qFormat/>
    <w:uiPriority w:val="0"/>
    <w:rPr>
      <w:sz w:val="18"/>
    </w:rPr>
  </w:style>
  <w:style w:type="character" w:customStyle="1" w:styleId="53">
    <w:name w:val="正文LTT Char"/>
    <w:link w:val="7"/>
    <w:qFormat/>
    <w:uiPriority w:val="0"/>
    <w:rPr>
      <w:rFonts w:ascii="Times New Roman" w:hAnsi="Times New Roman" w:eastAsia="宋体" w:cs="Times New Roman"/>
      <w:sz w:val="24"/>
    </w:rPr>
  </w:style>
  <w:style w:type="character" w:customStyle="1" w:styleId="54">
    <w:name w:val="表格文字LTT Char"/>
    <w:link w:val="32"/>
    <w:qFormat/>
    <w:uiPriority w:val="0"/>
    <w:rPr>
      <w:rFonts w:ascii="Times New Roman" w:hAnsi="Times New Roman" w:eastAsia="宋体" w:cs="Times New Roman"/>
      <w:sz w:val="21"/>
    </w:rPr>
  </w:style>
  <w:style w:type="paragraph" w:customStyle="1" w:styleId="55">
    <w:name w:val="表2019"/>
    <w:basedOn w:val="17"/>
    <w:qFormat/>
    <w:uiPriority w:val="0"/>
    <w:pPr>
      <w:spacing w:line="320" w:lineRule="exact"/>
      <w:ind w:firstLine="0" w:firstLineChars="0"/>
      <w:jc w:val="center"/>
    </w:pPr>
    <w:rPr>
      <w:rFonts w:ascii="仿宋_GB2312" w:eastAsiaTheme="minorEastAsia" w:cstheme="minorBidi"/>
      <w:color w:val="000000"/>
      <w:sz w:val="21"/>
      <w:lang w:val="zh-CN"/>
    </w:rPr>
  </w:style>
  <w:style w:type="paragraph" w:customStyle="1" w:styleId="56">
    <w:name w:val="表头"/>
    <w:basedOn w:val="57"/>
    <w:next w:val="1"/>
    <w:qFormat/>
    <w:uiPriority w:val="99"/>
    <w:pPr>
      <w:snapToGrid w:val="0"/>
      <w:spacing w:line="520" w:lineRule="atLeast"/>
      <w:jc w:val="center"/>
    </w:pPr>
    <w:rPr>
      <w:b/>
    </w:rPr>
  </w:style>
  <w:style w:type="paragraph" w:customStyle="1" w:styleId="57">
    <w:name w:val="正文1"/>
    <w:link w:val="78"/>
    <w:qFormat/>
    <w:uiPriority w:val="0"/>
    <w:pPr>
      <w:jc w:val="both"/>
    </w:pPr>
    <w:rPr>
      <w:rFonts w:ascii="Times New Roman" w:hAnsi="Times New Roman" w:eastAsia="宋体" w:cs="宋体"/>
      <w:kern w:val="2"/>
      <w:sz w:val="21"/>
      <w:szCs w:val="21"/>
      <w:lang w:val="en-US" w:eastAsia="zh-CN" w:bidi="ar-SA"/>
    </w:rPr>
  </w:style>
  <w:style w:type="paragraph" w:customStyle="1" w:styleId="58">
    <w:name w:val="表中文字"/>
    <w:basedOn w:val="59"/>
    <w:qFormat/>
    <w:uiPriority w:val="0"/>
    <w:pPr>
      <w:tabs>
        <w:tab w:val="left" w:pos="7937"/>
      </w:tabs>
      <w:spacing w:line="240" w:lineRule="auto"/>
    </w:pPr>
    <w:rPr>
      <w:color w:val="000000"/>
    </w:rPr>
  </w:style>
  <w:style w:type="paragraph" w:customStyle="1" w:styleId="59">
    <w:name w:val="表中文字2015"/>
    <w:basedOn w:val="1"/>
    <w:next w:val="1"/>
    <w:qFormat/>
    <w:uiPriority w:val="39"/>
    <w:pPr>
      <w:spacing w:line="0" w:lineRule="atLeast"/>
      <w:jc w:val="center"/>
    </w:pPr>
    <w:rPr>
      <w:snapToGrid w:val="0"/>
    </w:rPr>
  </w:style>
  <w:style w:type="paragraph" w:customStyle="1" w:styleId="60">
    <w:name w:val="表内bceer"/>
    <w:next w:val="1"/>
    <w:qFormat/>
    <w:uiPriority w:val="0"/>
    <w:pPr>
      <w:adjustRightInd w:val="0"/>
      <w:snapToGrid w:val="0"/>
      <w:jc w:val="center"/>
    </w:pPr>
    <w:rPr>
      <w:rFonts w:ascii="Arial" w:hAnsi="Arial" w:cs="Arial" w:eastAsiaTheme="minorEastAsia"/>
      <w:kern w:val="2"/>
      <w:sz w:val="21"/>
      <w:szCs w:val="21"/>
      <w:lang w:val="en-US" w:eastAsia="zh-CN" w:bidi="ar-SA"/>
    </w:rPr>
  </w:style>
  <w:style w:type="character" w:customStyle="1" w:styleId="61">
    <w:name w:val="fontstyle21"/>
    <w:basedOn w:val="29"/>
    <w:qFormat/>
    <w:uiPriority w:val="0"/>
    <w:rPr>
      <w:rFonts w:ascii="ArialUnicodeMS" w:hAnsi="ArialUnicodeMS" w:eastAsia="ArialUnicodeMS" w:cs="ArialUnicodeMS"/>
      <w:color w:val="000000"/>
      <w:sz w:val="24"/>
      <w:szCs w:val="24"/>
    </w:rPr>
  </w:style>
  <w:style w:type="character" w:customStyle="1" w:styleId="62">
    <w:name w:val="fontstyle11"/>
    <w:basedOn w:val="29"/>
    <w:qFormat/>
    <w:uiPriority w:val="0"/>
    <w:rPr>
      <w:rFonts w:ascii="ArialUnicodeMS" w:hAnsi="ArialUnicodeMS" w:eastAsia="ArialUnicodeMS" w:cs="ArialUnicodeMS"/>
      <w:color w:val="000000"/>
      <w:sz w:val="24"/>
      <w:szCs w:val="24"/>
    </w:rPr>
  </w:style>
  <w:style w:type="paragraph" w:customStyle="1" w:styleId="63">
    <w:name w:val="样式 左侧:  1 字符 首行缩进:  1 字符"/>
    <w:basedOn w:val="1"/>
    <w:qFormat/>
    <w:uiPriority w:val="0"/>
    <w:pPr>
      <w:ind w:left="200" w:leftChars="200" w:firstLine="200" w:firstLineChars="200"/>
    </w:pPr>
    <w:rPr>
      <w:rFonts w:cs="宋体"/>
      <w:sz w:val="28"/>
      <w:szCs w:val="20"/>
    </w:rPr>
  </w:style>
  <w:style w:type="paragraph" w:customStyle="1" w:styleId="64">
    <w:name w:val="正文（首行缩进两字）m"/>
    <w:basedOn w:val="12"/>
    <w:link w:val="70"/>
    <w:qFormat/>
    <w:uiPriority w:val="0"/>
    <w:pPr>
      <w:tabs>
        <w:tab w:val="left" w:pos="1848"/>
        <w:tab w:val="left" w:pos="6061"/>
        <w:tab w:val="left" w:pos="8665"/>
      </w:tabs>
      <w:adjustRightInd w:val="0"/>
      <w:snapToGrid w:val="0"/>
      <w:spacing w:before="163" w:beforeLines="50" w:line="460" w:lineRule="exact"/>
      <w:ind w:firstLine="480" w:firstLineChars="200"/>
    </w:pPr>
    <w:rPr>
      <w:rFonts w:asciiTheme="minorHAnsi" w:hAnsiTheme="minorHAnsi" w:cstheme="minorBidi"/>
      <w:color w:val="339966"/>
      <w:szCs w:val="22"/>
    </w:rPr>
  </w:style>
  <w:style w:type="paragraph" w:customStyle="1" w:styleId="65">
    <w:name w:val="Table Paragraph"/>
    <w:basedOn w:val="1"/>
    <w:qFormat/>
    <w:uiPriority w:val="1"/>
    <w:pPr>
      <w:jc w:val="left"/>
    </w:pPr>
    <w:rPr>
      <w:rFonts w:ascii="Calibri" w:hAnsi="Calibri"/>
      <w:kern w:val="0"/>
      <w:sz w:val="22"/>
      <w:szCs w:val="22"/>
      <w:lang w:eastAsia="en-US"/>
    </w:rPr>
  </w:style>
  <w:style w:type="paragraph" w:customStyle="1" w:styleId="66">
    <w:name w:val="正常段落"/>
    <w:basedOn w:val="12"/>
    <w:qFormat/>
    <w:uiPriority w:val="0"/>
    <w:pPr>
      <w:spacing w:line="440" w:lineRule="exact"/>
      <w:ind w:firstLine="200" w:firstLineChars="200"/>
    </w:pPr>
    <w:rPr>
      <w:rFonts w:ascii="宋体" w:eastAsia="仿宋_GB2312" w:hAnsiTheme="minorHAnsi" w:cstheme="minorBidi"/>
      <w:b/>
      <w:szCs w:val="28"/>
    </w:rPr>
  </w:style>
  <w:style w:type="character" w:customStyle="1" w:styleId="67">
    <w:name w:val="批注文字 字符"/>
    <w:basedOn w:val="29"/>
    <w:link w:val="14"/>
    <w:qFormat/>
    <w:uiPriority w:val="0"/>
    <w:rPr>
      <w:kern w:val="2"/>
      <w:sz w:val="24"/>
      <w:szCs w:val="24"/>
    </w:rPr>
  </w:style>
  <w:style w:type="character" w:customStyle="1" w:styleId="68">
    <w:name w:val="批注主题 字符"/>
    <w:basedOn w:val="67"/>
    <w:link w:val="25"/>
    <w:qFormat/>
    <w:uiPriority w:val="0"/>
    <w:rPr>
      <w:b/>
      <w:bCs/>
      <w:kern w:val="2"/>
      <w:sz w:val="24"/>
      <w:szCs w:val="24"/>
    </w:rPr>
  </w:style>
  <w:style w:type="character" w:customStyle="1" w:styleId="69">
    <w:name w:val="批注框文本 字符"/>
    <w:basedOn w:val="29"/>
    <w:link w:val="18"/>
    <w:qFormat/>
    <w:uiPriority w:val="0"/>
    <w:rPr>
      <w:kern w:val="2"/>
      <w:sz w:val="18"/>
      <w:szCs w:val="18"/>
    </w:rPr>
  </w:style>
  <w:style w:type="character" w:customStyle="1" w:styleId="70">
    <w:name w:val="正文（首行缩进两字）m Char"/>
    <w:link w:val="64"/>
    <w:qFormat/>
    <w:uiPriority w:val="0"/>
    <w:rPr>
      <w:rFonts w:asciiTheme="minorHAnsi" w:hAnsiTheme="minorHAnsi" w:cstheme="minorBidi"/>
      <w:color w:val="339966"/>
      <w:szCs w:val="22"/>
    </w:rPr>
  </w:style>
  <w:style w:type="character" w:customStyle="1" w:styleId="71">
    <w:name w:val="表格文字LTT3磅 Char"/>
    <w:link w:val="43"/>
    <w:qFormat/>
    <w:uiPriority w:val="0"/>
    <w:rPr>
      <w:rFonts w:hint="eastAsia"/>
    </w:rPr>
  </w:style>
  <w:style w:type="paragraph" w:customStyle="1" w:styleId="72">
    <w:name w:val="dxj正文"/>
    <w:basedOn w:val="1"/>
    <w:qFormat/>
    <w:uiPriority w:val="0"/>
    <w:pPr>
      <w:widowControl/>
      <w:spacing w:line="360" w:lineRule="auto"/>
      <w:ind w:firstLine="200" w:firstLineChars="200"/>
      <w:jc w:val="left"/>
    </w:pPr>
    <w:rPr>
      <w:snapToGrid w:val="0"/>
      <w:kern w:val="0"/>
    </w:rPr>
  </w:style>
  <w:style w:type="paragraph" w:customStyle="1" w:styleId="73">
    <w:name w:val="Body text2"/>
    <w:basedOn w:val="1"/>
    <w:qFormat/>
    <w:uiPriority w:val="0"/>
    <w:pPr>
      <w:shd w:val="clear" w:color="auto" w:fill="FFFFFF"/>
      <w:spacing w:line="0" w:lineRule="atLeast"/>
    </w:pPr>
    <w:rPr>
      <w:rFonts w:ascii="MingLiU" w:hAnsi="MingLiU" w:eastAsia="MingLiU"/>
      <w:spacing w:val="10"/>
      <w:sz w:val="22"/>
      <w:szCs w:val="22"/>
    </w:rPr>
  </w:style>
  <w:style w:type="character" w:customStyle="1" w:styleId="74">
    <w:name w:val="Body text + Spacing 0 pt5"/>
    <w:qFormat/>
    <w:uiPriority w:val="0"/>
    <w:rPr>
      <w:rFonts w:ascii="MingLiU" w:hAnsi="MingLiU" w:eastAsia="MingLiU" w:cs="MingLiU"/>
      <w:color w:val="000000"/>
      <w:spacing w:val="0"/>
      <w:w w:val="100"/>
      <w:position w:val="0"/>
      <w:sz w:val="22"/>
      <w:szCs w:val="22"/>
      <w:lang w:val="zh-TW"/>
    </w:rPr>
  </w:style>
  <w:style w:type="paragraph" w:customStyle="1" w:styleId="75">
    <w:name w:val="表格文字"/>
    <w:basedOn w:val="1"/>
    <w:qFormat/>
    <w:uiPriority w:val="0"/>
    <w:pPr>
      <w:widowControl/>
      <w:adjustRightInd w:val="0"/>
      <w:snapToGrid w:val="0"/>
      <w:spacing w:before="60" w:after="60"/>
      <w:jc w:val="center"/>
    </w:pPr>
    <w:rPr>
      <w:rFonts w:asciiTheme="minorHAnsi" w:hAnsiTheme="minorHAnsi" w:eastAsiaTheme="minorEastAsia" w:cstheme="minorBidi"/>
      <w:kern w:val="21"/>
      <w:sz w:val="28"/>
      <w:szCs w:val="22"/>
    </w:rPr>
  </w:style>
  <w:style w:type="character" w:customStyle="1" w:styleId="76">
    <w:name w:val="font31"/>
    <w:basedOn w:val="29"/>
    <w:qFormat/>
    <w:uiPriority w:val="0"/>
    <w:rPr>
      <w:rFonts w:hint="default" w:ascii="Times New Roman" w:hAnsi="Times New Roman" w:cs="Times New Roman"/>
      <w:color w:val="000000"/>
      <w:sz w:val="18"/>
      <w:szCs w:val="18"/>
      <w:u w:val="none"/>
    </w:rPr>
  </w:style>
  <w:style w:type="paragraph" w:customStyle="1" w:styleId="77">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78">
    <w:name w:val="正文1 Char"/>
    <w:link w:val="57"/>
    <w:uiPriority w:val="0"/>
    <w:rPr>
      <w:rFonts w:ascii="Times New Roman" w:hAnsi="Times New Roman" w:eastAsia="宋体" w:cs="宋体"/>
      <w:kern w:val="2"/>
      <w:sz w:val="21"/>
      <w:szCs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65.png"/><Relationship Id="rId98" Type="http://schemas.openxmlformats.org/officeDocument/2006/relationships/image" Target="media/image64.png"/><Relationship Id="rId97" Type="http://schemas.openxmlformats.org/officeDocument/2006/relationships/image" Target="media/image63.png"/><Relationship Id="rId96" Type="http://schemas.openxmlformats.org/officeDocument/2006/relationships/image" Target="media/image62.png"/><Relationship Id="rId95" Type="http://schemas.openxmlformats.org/officeDocument/2006/relationships/image" Target="media/image61.jpeg"/><Relationship Id="rId94" Type="http://schemas.openxmlformats.org/officeDocument/2006/relationships/image" Target="media/image60.png"/><Relationship Id="rId93" Type="http://schemas.openxmlformats.org/officeDocument/2006/relationships/image" Target="media/image59.wmf"/><Relationship Id="rId92" Type="http://schemas.openxmlformats.org/officeDocument/2006/relationships/image" Target="media/image58.png"/><Relationship Id="rId91" Type="http://schemas.openxmlformats.org/officeDocument/2006/relationships/image" Target="media/image57.png"/><Relationship Id="rId90" Type="http://schemas.openxmlformats.org/officeDocument/2006/relationships/image" Target="media/image56.png"/><Relationship Id="rId9" Type="http://schemas.openxmlformats.org/officeDocument/2006/relationships/footer" Target="footer5.xml"/><Relationship Id="rId89" Type="http://schemas.openxmlformats.org/officeDocument/2006/relationships/image" Target="media/image55.wmf"/><Relationship Id="rId88" Type="http://schemas.openxmlformats.org/officeDocument/2006/relationships/image" Target="media/image54.wmf"/><Relationship Id="rId87" Type="http://schemas.openxmlformats.org/officeDocument/2006/relationships/image" Target="media/image53.wmf"/><Relationship Id="rId86" Type="http://schemas.openxmlformats.org/officeDocument/2006/relationships/oleObject" Target="embeddings/oleObject20.bin"/><Relationship Id="rId85" Type="http://schemas.openxmlformats.org/officeDocument/2006/relationships/image" Target="media/image52.wmf"/><Relationship Id="rId84" Type="http://schemas.openxmlformats.org/officeDocument/2006/relationships/oleObject" Target="embeddings/oleObject19.bin"/><Relationship Id="rId83" Type="http://schemas.openxmlformats.org/officeDocument/2006/relationships/image" Target="media/image51.wmf"/><Relationship Id="rId82" Type="http://schemas.openxmlformats.org/officeDocument/2006/relationships/oleObject" Target="embeddings/oleObject18.bin"/><Relationship Id="rId81" Type="http://schemas.openxmlformats.org/officeDocument/2006/relationships/image" Target="media/image50.jpeg"/><Relationship Id="rId80" Type="http://schemas.openxmlformats.org/officeDocument/2006/relationships/image" Target="media/image49.jpeg"/><Relationship Id="rId8" Type="http://schemas.openxmlformats.org/officeDocument/2006/relationships/header" Target="header2.xml"/><Relationship Id="rId79" Type="http://schemas.openxmlformats.org/officeDocument/2006/relationships/image" Target="media/image48.jpeg"/><Relationship Id="rId78" Type="http://schemas.openxmlformats.org/officeDocument/2006/relationships/image" Target="media/image47.jpeg"/><Relationship Id="rId77" Type="http://schemas.openxmlformats.org/officeDocument/2006/relationships/image" Target="media/image46.emf"/><Relationship Id="rId76" Type="http://schemas.openxmlformats.org/officeDocument/2006/relationships/oleObject" Target="embeddings/oleObject17.bin"/><Relationship Id="rId75" Type="http://schemas.openxmlformats.org/officeDocument/2006/relationships/image" Target="media/image45.jpeg"/><Relationship Id="rId74" Type="http://schemas.openxmlformats.org/officeDocument/2006/relationships/image" Target="media/image44.png"/><Relationship Id="rId73" Type="http://schemas.openxmlformats.org/officeDocument/2006/relationships/image" Target="media/image43.wmf"/><Relationship Id="rId72" Type="http://schemas.openxmlformats.org/officeDocument/2006/relationships/oleObject" Target="embeddings/oleObject16.bin"/><Relationship Id="rId71" Type="http://schemas.openxmlformats.org/officeDocument/2006/relationships/image" Target="media/image42.png"/><Relationship Id="rId70" Type="http://schemas.openxmlformats.org/officeDocument/2006/relationships/image" Target="media/image41.png"/><Relationship Id="rId7" Type="http://schemas.openxmlformats.org/officeDocument/2006/relationships/footer" Target="footer4.xml"/><Relationship Id="rId69" Type="http://schemas.openxmlformats.org/officeDocument/2006/relationships/image" Target="media/image40.png"/><Relationship Id="rId68" Type="http://schemas.openxmlformats.org/officeDocument/2006/relationships/image" Target="media/image39.png"/><Relationship Id="rId67" Type="http://schemas.openxmlformats.org/officeDocument/2006/relationships/image" Target="media/image38.png"/><Relationship Id="rId66" Type="http://schemas.openxmlformats.org/officeDocument/2006/relationships/image" Target="media/image37.png"/><Relationship Id="rId65" Type="http://schemas.openxmlformats.org/officeDocument/2006/relationships/image" Target="media/image36.png"/><Relationship Id="rId64" Type="http://schemas.openxmlformats.org/officeDocument/2006/relationships/image" Target="media/image35.png"/><Relationship Id="rId63" Type="http://schemas.openxmlformats.org/officeDocument/2006/relationships/image" Target="media/image34.png"/><Relationship Id="rId62" Type="http://schemas.openxmlformats.org/officeDocument/2006/relationships/image" Target="media/image33.png"/><Relationship Id="rId61" Type="http://schemas.openxmlformats.org/officeDocument/2006/relationships/image" Target="media/image32.png"/><Relationship Id="rId60" Type="http://schemas.openxmlformats.org/officeDocument/2006/relationships/image" Target="media/image31.png"/><Relationship Id="rId6" Type="http://schemas.openxmlformats.org/officeDocument/2006/relationships/footer" Target="footer3.xml"/><Relationship Id="rId59" Type="http://schemas.openxmlformats.org/officeDocument/2006/relationships/image" Target="media/image30.png"/><Relationship Id="rId58" Type="http://schemas.openxmlformats.org/officeDocument/2006/relationships/image" Target="media/image29.png"/><Relationship Id="rId57" Type="http://schemas.openxmlformats.org/officeDocument/2006/relationships/image" Target="media/image28.png"/><Relationship Id="rId56" Type="http://schemas.openxmlformats.org/officeDocument/2006/relationships/image" Target="media/image27.emf"/><Relationship Id="rId55" Type="http://schemas.openxmlformats.org/officeDocument/2006/relationships/image" Target="media/image26.emf"/><Relationship Id="rId54" Type="http://schemas.openxmlformats.org/officeDocument/2006/relationships/image" Target="media/image25.emf"/><Relationship Id="rId53" Type="http://schemas.openxmlformats.org/officeDocument/2006/relationships/image" Target="media/image24.emf"/><Relationship Id="rId52" Type="http://schemas.openxmlformats.org/officeDocument/2006/relationships/image" Target="media/image23.emf"/><Relationship Id="rId51" Type="http://schemas.openxmlformats.org/officeDocument/2006/relationships/image" Target="media/image22.emf"/><Relationship Id="rId50" Type="http://schemas.openxmlformats.org/officeDocument/2006/relationships/image" Target="media/image21.emf"/><Relationship Id="rId5" Type="http://schemas.openxmlformats.org/officeDocument/2006/relationships/footer" Target="footer2.xml"/><Relationship Id="rId49" Type="http://schemas.openxmlformats.org/officeDocument/2006/relationships/image" Target="media/image20.emf"/><Relationship Id="rId48" Type="http://schemas.openxmlformats.org/officeDocument/2006/relationships/image" Target="media/image19.emf"/><Relationship Id="rId47" Type="http://schemas.openxmlformats.org/officeDocument/2006/relationships/image" Target="media/image18.jpeg"/><Relationship Id="rId46" Type="http://schemas.openxmlformats.org/officeDocument/2006/relationships/image" Target="media/image17.emf"/><Relationship Id="rId45" Type="http://schemas.openxmlformats.org/officeDocument/2006/relationships/oleObject" Target="embeddings/oleObject15.bin"/><Relationship Id="rId44" Type="http://schemas.openxmlformats.org/officeDocument/2006/relationships/image" Target="media/image16.emf"/><Relationship Id="rId43" Type="http://schemas.openxmlformats.org/officeDocument/2006/relationships/oleObject" Target="embeddings/oleObject14.bin"/><Relationship Id="rId42" Type="http://schemas.openxmlformats.org/officeDocument/2006/relationships/image" Target="media/image15.emf"/><Relationship Id="rId41" Type="http://schemas.openxmlformats.org/officeDocument/2006/relationships/oleObject" Target="embeddings/oleObject13.bin"/><Relationship Id="rId40" Type="http://schemas.openxmlformats.org/officeDocument/2006/relationships/image" Target="media/image14.emf"/><Relationship Id="rId4" Type="http://schemas.openxmlformats.org/officeDocument/2006/relationships/header" Target="header1.xml"/><Relationship Id="rId39" Type="http://schemas.openxmlformats.org/officeDocument/2006/relationships/oleObject" Target="embeddings/oleObject12.bin"/><Relationship Id="rId38" Type="http://schemas.openxmlformats.org/officeDocument/2006/relationships/image" Target="media/image13.emf"/><Relationship Id="rId37" Type="http://schemas.openxmlformats.org/officeDocument/2006/relationships/oleObject" Target="embeddings/oleObject11.bin"/><Relationship Id="rId36" Type="http://schemas.openxmlformats.org/officeDocument/2006/relationships/image" Target="media/image12.emf"/><Relationship Id="rId35" Type="http://schemas.openxmlformats.org/officeDocument/2006/relationships/oleObject" Target="embeddings/oleObject10.bin"/><Relationship Id="rId34" Type="http://schemas.openxmlformats.org/officeDocument/2006/relationships/image" Target="media/image11.emf"/><Relationship Id="rId33" Type="http://schemas.openxmlformats.org/officeDocument/2006/relationships/oleObject" Target="embeddings/oleObject9.bin"/><Relationship Id="rId32" Type="http://schemas.openxmlformats.org/officeDocument/2006/relationships/image" Target="media/image10.emf"/><Relationship Id="rId31" Type="http://schemas.openxmlformats.org/officeDocument/2006/relationships/oleObject" Target="embeddings/oleObject8.bin"/><Relationship Id="rId30" Type="http://schemas.openxmlformats.org/officeDocument/2006/relationships/image" Target="media/image9.emf"/><Relationship Id="rId3" Type="http://schemas.openxmlformats.org/officeDocument/2006/relationships/footer" Target="footer1.xml"/><Relationship Id="rId29" Type="http://schemas.openxmlformats.org/officeDocument/2006/relationships/oleObject" Target="embeddings/oleObject7.bin"/><Relationship Id="rId28" Type="http://schemas.openxmlformats.org/officeDocument/2006/relationships/image" Target="media/image8.emf"/><Relationship Id="rId27" Type="http://schemas.openxmlformats.org/officeDocument/2006/relationships/oleObject" Target="embeddings/oleObject6.bin"/><Relationship Id="rId26" Type="http://schemas.openxmlformats.org/officeDocument/2006/relationships/image" Target="media/image7.emf"/><Relationship Id="rId25" Type="http://schemas.openxmlformats.org/officeDocument/2006/relationships/oleObject" Target="embeddings/oleObject5.bin"/><Relationship Id="rId24" Type="http://schemas.openxmlformats.org/officeDocument/2006/relationships/image" Target="media/image6.emf"/><Relationship Id="rId23" Type="http://schemas.openxmlformats.org/officeDocument/2006/relationships/oleObject" Target="embeddings/oleObject4.bin"/><Relationship Id="rId22" Type="http://schemas.openxmlformats.org/officeDocument/2006/relationships/image" Target="media/image5.emf"/><Relationship Id="rId21" Type="http://schemas.openxmlformats.org/officeDocument/2006/relationships/oleObject" Target="embeddings/oleObject3.bin"/><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3.jpeg"/><Relationship Id="rId17" Type="http://schemas.openxmlformats.org/officeDocument/2006/relationships/image" Target="media/image2.png"/><Relationship Id="rId16" Type="http://schemas.openxmlformats.org/officeDocument/2006/relationships/image" Target="media/image1.wmf"/><Relationship Id="rId15" Type="http://schemas.openxmlformats.org/officeDocument/2006/relationships/oleObject" Target="embeddings/oleObject1.bin"/><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7" Type="http://schemas.openxmlformats.org/officeDocument/2006/relationships/fontTable" Target="fontTable.xml"/><Relationship Id="rId106" Type="http://schemas.openxmlformats.org/officeDocument/2006/relationships/customXml" Target="../customXml/item2.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69.png"/><Relationship Id="rId102" Type="http://schemas.openxmlformats.org/officeDocument/2006/relationships/image" Target="media/image68.png"/><Relationship Id="rId101" Type="http://schemas.openxmlformats.org/officeDocument/2006/relationships/image" Target="media/image67.png"/><Relationship Id="rId100" Type="http://schemas.openxmlformats.org/officeDocument/2006/relationships/image" Target="media/image66.png"/><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91DA8FB-72FF-4D65-A214-8C62131CED03}">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361</Pages>
  <Words>46589</Words>
  <Characters>265562</Characters>
  <Lines>2213</Lines>
  <Paragraphs>623</Paragraphs>
  <TotalTime>3</TotalTime>
  <ScaleCrop>false</ScaleCrop>
  <LinksUpToDate>false</LinksUpToDate>
  <CharactersWithSpaces>311528</CharactersWithSpaces>
  <Application>WPS Office_11.1.0.11035_F1E327BC-269C-435d-A152-05C5408002CA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2022-03-06T05:55:00Z</dcterms:created>
  <dc:creator>LTT</dc:creator>
  <cp:lastModifiedBy>LTT</cp:lastModifiedBy>
  <cp:lastPrinted>2022-04-20T01:15:00Z</cp:lastPrinted>
  <dcterms:modified xsi:type="dcterms:W3CDTF">2022-05-23T08:21:50Z</dcterms:modified>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2052-11.1.0.11035</vt:lpwstr>
  </property>
  <property fmtid="{D5CDD505-2E9C-101B-9397-08002B2CF9AE}" pid="3" name="ICV">
    <vt:lpwstr>52C202A90311435B94D8DBF2894AF992</vt:lpwstr>
  </property>
</Properties>
</file>